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00" w:right="1900" w:hanging="3892"/>
        <w:spacing w:after="0" w:line="503" w:lineRule="auto"/>
        <w:tabs>
          <w:tab w:leader="none" w:pos="3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2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2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23-2679963</w:t>
            </w:r>
          </w:p>
        </w:tc>
        <w:tc>
          <w:tcPr>
            <w:tcW w:w="740" w:type="dxa"/>
            <w:vAlign w:val="bottom"/>
          </w:tcPr>
          <w:p>
            <w:pPr>
              <w:spacing w:after="0"/>
              <w:rPr>
                <w:sz w:val="21"/>
                <w:szCs w:val="21"/>
                <w:color w:val="auto"/>
              </w:rPr>
            </w:pPr>
          </w:p>
        </w:tc>
      </w:tr>
      <w:tr>
        <w:trPr>
          <w:trHeight w:val="230"/>
        </w:trPr>
        <w:tc>
          <w:tcPr>
            <w:tcW w:w="57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gridSpan w:val="5"/>
          </w:tcPr>
          <w:p>
            <w:pPr>
              <w:jc w:val="center"/>
              <w:ind w:left="157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27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spacing w:after="0"/>
              <w:rPr>
                <w:sz w:val="20"/>
                <w:szCs w:val="20"/>
                <w:color w:val="auto"/>
              </w:rPr>
            </w:pPr>
          </w:p>
        </w:tc>
        <w:tc>
          <w:tcPr>
            <w:tcW w:w="1880" w:type="dxa"/>
            <w:vAlign w:val="bottom"/>
            <w:gridSpan w:val="4"/>
          </w:tcPr>
          <w:p>
            <w:pPr>
              <w:jc w:val="center"/>
              <w:ind w:right="76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(610) 989-0340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75" w:right="239" w:bottom="1440" w:gutter="0" w:footer="0" w:header="0"/>
        </w:sectPr>
      </w:pPr>
    </w:p>
    <w:p>
      <w:pPr>
        <w:spacing w:after="0" w:line="114" w:lineRule="exact"/>
        <w:rPr>
          <w:sz w:val="24"/>
          <w:szCs w:val="24"/>
          <w:color w:val="auto"/>
        </w:rPr>
      </w:pPr>
    </w:p>
    <w:p>
      <w:pPr>
        <w:ind w:left="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12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3">
            <w:col w:w="4020" w:space="720"/>
            <w:col w:w="3340" w:space="720"/>
            <w:col w:w="2620"/>
          </w:cols>
          <w:pgMar w:left="240" w:top="67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2016, there were 36,734,629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gridSpan w:val="6"/>
          </w:tcPr>
          <w:p>
            <w:pPr>
              <w:jc w:val="center"/>
              <w:ind w:right="1120"/>
              <w:spacing w:after="0"/>
              <w:rPr>
                <w:sz w:val="20"/>
                <w:szCs w:val="20"/>
                <w:color w:val="auto"/>
              </w:rPr>
            </w:pPr>
            <w:r>
              <w:rPr>
                <w:rFonts w:ascii="Arial" w:cs="Arial" w:eastAsia="Arial" w:hAnsi="Arial"/>
                <w:sz w:val="18"/>
                <w:szCs w:val="18"/>
                <w:color w:val="auto"/>
                <w:w w:val="96"/>
              </w:rPr>
              <w:t>USA TECHNOLOGIES, INC.</w:t>
            </w:r>
          </w:p>
        </w:tc>
        <w:tc>
          <w:tcPr>
            <w:tcW w:w="31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40" w:type="dxa"/>
            <w:vAlign w:val="bottom"/>
            <w:gridSpan w:val="6"/>
          </w:tcPr>
          <w:p>
            <w:pPr>
              <w:jc w:val="center"/>
              <w:ind w:right="1120"/>
              <w:spacing w:after="0"/>
              <w:rPr>
                <w:sz w:val="20"/>
                <w:szCs w:val="20"/>
                <w:color w:val="auto"/>
              </w:rPr>
            </w:pPr>
            <w:r>
              <w:rPr>
                <w:rFonts w:ascii="Arial" w:cs="Arial" w:eastAsia="Arial" w:hAnsi="Arial"/>
                <w:sz w:val="18"/>
                <w:szCs w:val="18"/>
                <w:color w:val="auto"/>
                <w:w w:val="95"/>
              </w:rPr>
              <w:t>TABLE OF CONTENTS</w:t>
            </w:r>
          </w:p>
        </w:tc>
        <w:tc>
          <w:tcPr>
            <w:tcW w:w="3180" w:type="dxa"/>
            <w:vAlign w:val="bottom"/>
          </w:tcPr>
          <w:p>
            <w:pPr>
              <w:spacing w:after="0"/>
              <w:rPr>
                <w:sz w:val="24"/>
                <w:szCs w:val="24"/>
                <w:color w:val="auto"/>
              </w:rPr>
            </w:pPr>
          </w:p>
        </w:tc>
      </w:tr>
      <w:tr>
        <w:trPr>
          <w:trHeight w:val="432"/>
        </w:trPr>
        <w:tc>
          <w:tcPr>
            <w:tcW w:w="8240" w:type="dxa"/>
            <w:vAlign w:val="bottom"/>
            <w:gridSpan w:val="15"/>
          </w:tcPr>
          <w:p>
            <w:pPr>
              <w:spacing w:after="0"/>
              <w:rPr>
                <w:sz w:val="20"/>
                <w:szCs w:val="20"/>
                <w:color w:val="auto"/>
              </w:rPr>
            </w:pPr>
            <w:r>
              <w:rPr>
                <w:rFonts w:ascii="Arial" w:cs="Arial" w:eastAsia="Arial" w:hAnsi="Arial"/>
                <w:sz w:val="18"/>
                <w:szCs w:val="18"/>
                <w:color w:val="auto"/>
              </w:rPr>
              <w:t>Part I - Financial Information</w:t>
            </w:r>
          </w:p>
        </w:tc>
        <w:tc>
          <w:tcPr>
            <w:tcW w:w="318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sz w:val="20"/>
                <w:szCs w:val="20"/>
                <w:color w:val="auto"/>
              </w:rPr>
            </w:pPr>
            <w:r>
              <w:rPr>
                <w:rFonts w:ascii="Arial" w:cs="Arial" w:eastAsia="Arial" w:hAnsi="Arial"/>
                <w:sz w:val="18"/>
                <w:szCs w:val="18"/>
                <w:color w:val="auto"/>
              </w:rPr>
              <w:t>Consolidated Financial Statements (Unaudited)</w:t>
            </w:r>
          </w:p>
        </w:tc>
        <w:tc>
          <w:tcPr>
            <w:tcW w:w="31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2016 and June 30, 2015</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 Three and nine months ended March 31, 2016 and 2015</w:t>
              </w:r>
            </w:hyperlink>
          </w:p>
        </w:tc>
        <w:tc>
          <w:tcPr>
            <w:tcW w:w="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Nine months ended March 31, 2016</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Three and nine months ended March 31, 2016 and 2015</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640" w:type="dxa"/>
            <w:vAlign w:val="bottom"/>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620" w:type="dxa"/>
            <w:vAlign w:val="bottom"/>
            <w:gridSpan w:val="2"/>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64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720" w:type="dxa"/>
            <w:vAlign w:val="bottom"/>
            <w:gridSpan w:val="5"/>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20" w:type="dxa"/>
            <w:vAlign w:val="bottom"/>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64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19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Part II - Other Information</w:t>
              </w:r>
            </w:hyperlink>
          </w:p>
        </w:tc>
        <w:tc>
          <w:tcPr>
            <w:tcW w:w="6300" w:type="dxa"/>
            <w:vAlign w:val="bottom"/>
            <w:gridSpan w:val="10"/>
          </w:tcPr>
          <w:p>
            <w:pPr>
              <w:spacing w:after="0"/>
              <w:rPr>
                <w:sz w:val="24"/>
                <w:szCs w:val="24"/>
                <w:color w:val="auto"/>
              </w:rPr>
            </w:pPr>
          </w:p>
        </w:tc>
        <w:tc>
          <w:tcPr>
            <w:tcW w:w="31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1.</w:t>
              </w:r>
            </w:hyperlink>
          </w:p>
        </w:tc>
        <w:tc>
          <w:tcPr>
            <w:tcW w:w="64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5740" w:type="dxa"/>
            <w:vAlign w:val="bottom"/>
            <w:gridSpan w:val="9"/>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20" w:type="dxa"/>
            <w:vAlign w:val="bottom"/>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64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64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1680" w:type="dxa"/>
            <w:vAlign w:val="bottom"/>
            <w:tcBorders>
              <w:top w:val="single" w:sz="8" w:color="0000EE"/>
            </w:tcBorders>
            <w:gridSpan w:val="5"/>
          </w:tcPr>
          <w:p>
            <w:pPr>
              <w:spacing w:after="0"/>
              <w:rPr>
                <w:sz w:val="24"/>
                <w:szCs w:val="24"/>
                <w:color w:val="auto"/>
              </w:rPr>
            </w:pPr>
          </w:p>
        </w:tc>
        <w:tc>
          <w:tcPr>
            <w:tcW w:w="4800" w:type="dxa"/>
            <w:vAlign w:val="bottom"/>
            <w:gridSpan w:val="7"/>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6320" w:type="dxa"/>
            <w:vAlign w:val="bottom"/>
            <w:gridSpan w:val="11"/>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69"/>
        </w:trPr>
        <w:tc>
          <w:tcPr>
            <w:tcW w:w="52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4760" w:type="dxa"/>
            <w:vAlign w:val="bottom"/>
            <w:tcBorders>
              <w:bottom w:val="single" w:sz="8" w:color="DCDCDC"/>
            </w:tcBorders>
            <w:gridSpan w:val="9"/>
          </w:tcPr>
          <w:p>
            <w:pPr>
              <w:jc w:val="center"/>
              <w:ind w:left="4270"/>
              <w:spacing w:after="0"/>
              <w:rPr>
                <w:sz w:val="20"/>
                <w:szCs w:val="20"/>
                <w:color w:val="auto"/>
              </w:rPr>
            </w:pPr>
            <w:r>
              <w:rPr>
                <w:rFonts w:ascii="Arial" w:cs="Arial" w:eastAsia="Arial" w:hAnsi="Arial"/>
                <w:sz w:val="18"/>
                <w:szCs w:val="18"/>
                <w:color w:val="auto"/>
                <w:w w:val="79"/>
              </w:rPr>
              <w:t>2</w:t>
            </w:r>
          </w:p>
        </w:tc>
        <w:tc>
          <w:tcPr>
            <w:tcW w:w="14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March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836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14,901</w:t>
            </w:r>
          </w:p>
        </w:tc>
        <w:tc>
          <w:tcPr>
            <w:tcW w:w="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doubtful accounts of $2,058 and $1,309, respectively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29,600</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3,042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10,584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25,701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Goodwill and intangibles</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12,976</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12,029</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3,339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6,980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5,964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29,797</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Warrant liabilities, less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2,016</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3,781</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31,813</w:t>
            </w:r>
          </w:p>
        </w:tc>
        <w:tc>
          <w:tcPr>
            <w:tcW w:w="14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21,823</w:t>
            </w:r>
          </w:p>
        </w:tc>
        <w:tc>
          <w:tcPr>
            <w:tcW w:w="1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w w:val="92"/>
              </w:rPr>
              <w:t>Authorized shares- 1,800,000 Series A convertible preferred- Authorized shares- 900,000 Issued and outstanding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shares- 445,063 with liquidation preference of $18,108 and $17,440,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3,138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Common stock, no par value: Authorized shares- 640,000,000 Issued and outstanding shares- 36,578,715 and</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35,763,663, respectively</w:t>
            </w: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227,924</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224,874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(180,635)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50,427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82,240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75,134</w:t>
            </w: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DCDCDC"/>
            </w:tcBorders>
          </w:tcPr>
          <w:p>
            <w:pPr>
              <w:ind w:left="566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9"/>
                <w:szCs w:val="19"/>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56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14,727</w:t>
            </w:r>
          </w:p>
        </w:tc>
        <w:tc>
          <w:tcPr>
            <w:tcW w:w="38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11,059</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41,326</w:t>
            </w:r>
          </w:p>
        </w:tc>
        <w:tc>
          <w:tcPr>
            <w:tcW w:w="38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31,695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4,298</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14,138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20,361</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15,357</w:t>
            </w: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55,464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40,431</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27,475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3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11,787</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34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14,689</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10,211</w:t>
            </w:r>
          </w:p>
        </w:tc>
        <w:tc>
          <w:tcPr>
            <w:tcW w:w="20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39,262</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28,416</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5,672</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5,146</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16,202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15,652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11,444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6,267</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4,416</w:t>
            </w:r>
          </w:p>
        </w:tc>
        <w:tc>
          <w:tcPr>
            <w:tcW w:w="20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16,091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11,900</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(4,918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Borders>
              <w:top w:val="single" w:sz="8" w:color="F0FFFF"/>
              <w:bottom w:val="single" w:sz="8" w:color="F0FFFF"/>
            </w:tcBorders>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(5,957</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(5,846)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3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loss applicable to common shares</w:t>
            </w:r>
          </w:p>
        </w:tc>
        <w:tc>
          <w:tcPr>
            <w:tcW w:w="34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top w:val="single" w:sz="8" w:color="F0FF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F0FFFF"/>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34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F0FFFF"/>
            </w:tcBorders>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F0FFFF"/>
            </w:tcBorders>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8"/>
                <w:szCs w:val="18"/>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F0FFFF"/>
          </w:tcPr>
          <w:p>
            <w:pPr>
              <w:spacing w:after="0" w:line="20" w:lineRule="exact"/>
              <w:rPr>
                <w:sz w:val="1"/>
                <w:szCs w:val="1"/>
                <w:color w:val="auto"/>
              </w:rPr>
            </w:pPr>
          </w:p>
        </w:tc>
        <w:tc>
          <w:tcPr>
            <w:tcW w:w="34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6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9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8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w w:val="95"/>
              </w:rPr>
              <w:t>Basic and diluted weighted average number of common shares outstanding</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36,161,613</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w w:val="93"/>
              </w:rPr>
              <w:t>35,747,979</w:t>
            </w:r>
          </w:p>
        </w:tc>
        <w:tc>
          <w:tcPr>
            <w:tcW w:w="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w w:val="99"/>
              </w:rPr>
              <w:t>35,961,648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w w:val="90"/>
              </w:rPr>
              <w:t>35,705,210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color w:val="auto"/>
                <w:w w:val="88"/>
              </w:rPr>
              <w:t>Series 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Convertible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Preferred Stock</w:t>
            </w:r>
          </w:p>
        </w:tc>
        <w:tc>
          <w:tcPr>
            <w:tcW w:w="2420" w:type="dxa"/>
            <w:vAlign w:val="bottom"/>
            <w:gridSpan w:val="6"/>
          </w:tcPr>
          <w:p>
            <w:pPr>
              <w:jc w:val="right"/>
              <w:ind w:right="7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11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2015, as previously reported</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3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35,747,242</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224,874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(174,701)</w:t>
            </w: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Adjustments (See Note 18 of the Notes to</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20" w:type="dxa"/>
            <w:vAlign w:val="bottom"/>
            <w:gridSpan w:val="2"/>
          </w:tcPr>
          <w:p>
            <w:pPr>
              <w:spacing w:after="0"/>
              <w:rPr>
                <w:sz w:val="20"/>
                <w:szCs w:val="20"/>
                <w:color w:val="auto"/>
              </w:rPr>
            </w:pPr>
            <w:r>
              <w:rPr>
                <w:rFonts w:ascii="Arial" w:cs="Arial" w:eastAsia="Arial" w:hAnsi="Arial"/>
                <w:sz w:val="18"/>
                <w:szCs w:val="18"/>
                <w:color w:val="auto"/>
              </w:rPr>
              <w:t>Consolidated Financial Statements)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16,421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June 30, 2015, as adjusted</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445,063</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3,138</w:t>
            </w:r>
          </w:p>
        </w:tc>
        <w:tc>
          <w:tcPr>
            <w:tcW w:w="24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35,763,663</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224,874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(174,701)</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Warrants issued in conjunction with Line of Credit</w:t>
            </w: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Agreement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Reclass of fair value of warrant liability upon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645,100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2013 Stock Incentive Plan</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169,913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2014 Stock Option Incentive Plan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(12,746)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March 31, 2016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445,063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36,578,715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227,924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(180,635)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50,427</w:t>
            </w:r>
          </w:p>
        </w:tc>
        <w:tc>
          <w:tcPr>
            <w:tcW w:w="0" w:type="dxa"/>
            <w:vAlign w:val="bottom"/>
          </w:tcPr>
          <w:p>
            <w:pPr>
              <w:spacing w:after="0"/>
              <w:rPr>
                <w:sz w:val="1"/>
                <w:szCs w:val="1"/>
                <w:color w:val="auto"/>
              </w:rPr>
            </w:pPr>
          </w:p>
        </w:tc>
      </w:tr>
      <w:tr>
        <w:trPr>
          <w:trHeight w:val="21"/>
        </w:trPr>
        <w:tc>
          <w:tcPr>
            <w:tcW w:w="40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jc w:val="right"/>
              <w:ind w:right="49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8"/>
                <w:szCs w:val="18"/>
                <w:color w:val="auto"/>
                <w:w w:val="99"/>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(5,420)</w:t>
            </w:r>
          </w:p>
        </w:tc>
        <w:tc>
          <w:tcPr>
            <w:tcW w:w="38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(567)</w:t>
            </w: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(5,934)</w:t>
            </w:r>
          </w:p>
        </w:tc>
        <w:tc>
          <w:tcPr>
            <w:tcW w:w="38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Adjustments to reconcile net loss to net cash provided by (used in) operating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 stock and</w:t>
            </w:r>
          </w:p>
        </w:tc>
        <w:tc>
          <w:tcPr>
            <w:tcW w:w="1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common stock options for employee and director compensation</w:t>
            </w:r>
          </w:p>
        </w:tc>
        <w:tc>
          <w:tcPr>
            <w:tcW w:w="14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Bad debt expense</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Changes in operating assets and liabilities, net of acquisition:</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(2,248)</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Purchase and additions of property and equipment</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Cash paid for assets acquired from VendScreen</w:t>
            </w:r>
          </w:p>
        </w:tc>
        <w:tc>
          <w:tcPr>
            <w:tcW w:w="14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(5,625)</w:t>
            </w:r>
          </w:p>
        </w:tc>
        <w:tc>
          <w:tcPr>
            <w:tcW w:w="8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(5,832)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used for the retirement of 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exercise of common stock warrants</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(payments) from line of credit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long-term debt</w:t>
            </w: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14,809</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6,734</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11,374</w:t>
            </w:r>
          </w:p>
        </w:tc>
        <w:tc>
          <w:tcPr>
            <w:tcW w:w="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Interest paid in cash</w:t>
            </w:r>
          </w:p>
        </w:tc>
        <w:tc>
          <w:tcPr>
            <w:tcW w:w="34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191</w:t>
            </w:r>
          </w:p>
        </w:tc>
        <w:tc>
          <w:tcPr>
            <w:tcW w:w="38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404</w:t>
            </w:r>
          </w:p>
        </w:tc>
        <w:tc>
          <w:tcPr>
            <w:tcW w:w="38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Depreciation expense allocated to cost of services</w:t>
            </w: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1,051</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1,271</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3,436</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3,867</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14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Prepaid items financed with debt</w:t>
            </w: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103</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103</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14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Disposal of property and equipment</w:t>
            </w: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189</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343</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526</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395</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14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Fair value of common stock warrants at issuance recorded as a debt discount</w:t>
            </w: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52</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52</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Debt financing costs financed with debt</w:t>
            </w:r>
          </w:p>
        </w:tc>
        <w:tc>
          <w:tcPr>
            <w:tcW w:w="14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p>
    <w:p>
      <w:pPr>
        <w:sectPr>
          <w:pgSz w:w="11900" w:h="16874" w:orient="portrait"/>
          <w:cols w:equalWidth="0" w:num="1">
            <w:col w:w="11420"/>
          </w:cols>
          <w:pgMar w:left="240" w:top="904" w:right="239" w:bottom="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2015. In the opinion of management, all adjustments considered necessary for a fair presentation, consisting of normal recurring adjustments, have been included. Operating results for the three and nine-month periods ended March 31, 2016 are not necessarily indicative of the results that may be expected for the year ending June 30, 2016. The balance sheet at June 30, 2015 has been derived from the audited consolidated financial statements at that date, but does not include all of the information and footnotes required by U.S. generally accepted accounting principles for complete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UNCOLLECTIBLE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uncollectible accounts receivable is management’s best estimate as of the respective reporting date. If the factors described above were to deteriorate, additional amounts may need to be added to the allowance.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estimated allowance are due to write-offs or collections of receivables. Other changes in the estimated allowance in the period are charged to bad debt expense and included in selling, general and administrative expenses on the statements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QuickStart Program. In accordance with the Financial Accounting Standards Board (“FASB”) Accounting Standards Codification® (“ASC”) Topic 840, “Leases”, agreements under the QuickStart Program qualify for sales-type lease accounting. Accordingly, the future minimum lease payments are classified as finance receivables in the Company’s consolidated balance sheets. Finance receivables or QuickStart leases are generally for a sixty-month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include goodwill, trademarks, non-compete agreements, brand, developed technology and customer relationships.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at its residual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is recorded on the balance sheet in the equity section at its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nine months ended March 31,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effect of potential common shares unless such effect is anti-dilutive.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reported in the Company’s Form 10-Q for the quarter ended September 30, 2015, commencing with the September 30, 2015 financial statements, the Company changed the manner in which it presents certain uncollected customer accounts receivable and the related allowance in its consolidated balance sheets and the related statements of cash flows. These accounts receivable represent a large number of small balance amounts due from customers for processing and service fees which had not been billed to customers, and as to which, there had been no customer transaction proceeds from which the Company could collect the amounts due in accordance with its normal procedures. The previous accounting classification recorded these amounts as a reduction of its accounts payable in the consolidated balance sheets and the related statements of cash flows. The new accounting classification moves these amounts to accounts receivable and allowance for bad debt.</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Accordingly, the respective balances for all prior periods presented in these financial statements were reclassified in order to be consistent with and comparable to the accounting classification of these items in our March 31, 2016 financial statements. The new accounting classification as well as the reclassification for prior periods had no effect on the consolidated statements of operations or the consolidated statements of shareholders’ equity. The details of the reclassification of the respective consolidated balance sheets and the consolidated statements of cash flows amounts are presented in the table below:</w:t>
      </w:r>
    </w:p>
    <w:p>
      <w:pPr>
        <w:sectPr>
          <w:pgSz w:w="11900" w:h="16838" w:orient="portrait"/>
          <w:cols w:equalWidth="0" w:num="1">
            <w:col w:w="11420"/>
          </w:cols>
          <w:pgMar w:left="240" w:top="904" w:right="239" w:bottom="1440" w:gutter="0" w:footer="0" w:header="0"/>
        </w:sectPr>
      </w:pP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Balance Sheet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3447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12" w:lineRule="exact"/>
        <w:rPr>
          <w:sz w:val="20"/>
          <w:szCs w:val="20"/>
          <w:color w:val="auto"/>
        </w:rPr>
      </w:pPr>
    </w:p>
    <w:p>
      <w:pPr>
        <w:ind w:left="1320" w:hanging="161"/>
        <w:spacing w:after="0" w:line="257" w:lineRule="auto"/>
        <w:rPr>
          <w:sz w:val="20"/>
          <w:szCs w:val="20"/>
          <w:color w:val="auto"/>
        </w:rPr>
      </w:pPr>
      <w:r>
        <w:rPr>
          <w:rFonts w:ascii="Arial" w:cs="Arial" w:eastAsia="Arial" w:hAnsi="Arial"/>
          <w:sz w:val="18"/>
          <w:szCs w:val="18"/>
          <w:b w:val="1"/>
          <w:bCs w:val="1"/>
          <w:color w:val="auto"/>
        </w:rPr>
        <w:t xml:space="preserve">Accounts Receivable, net of allowance for doubtful accounts: </w:t>
      </w:r>
      <w:r>
        <w:rPr>
          <w:rFonts w:ascii="Arial" w:cs="Arial" w:eastAsia="Arial" w:hAnsi="Arial"/>
          <w:sz w:val="18"/>
          <w:szCs w:val="18"/>
          <w:color w:val="auto"/>
        </w:rPr>
        <w:t>Reclassification of balances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320" w:right="160"/>
        <w:spacing w:after="0" w:line="261" w:lineRule="auto"/>
        <w:rPr>
          <w:sz w:val="20"/>
          <w:szCs w:val="20"/>
          <w:color w:val="auto"/>
        </w:rPr>
      </w:pPr>
      <w:r>
        <w:rPr>
          <w:rFonts w:ascii="Arial" w:cs="Arial" w:eastAsia="Arial" w:hAnsi="Arial"/>
          <w:sz w:val="18"/>
          <w:szCs w:val="18"/>
          <w:color w:val="auto"/>
        </w:rPr>
        <w:t>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320" w:right="160"/>
        <w:spacing w:after="0" w:line="261" w:lineRule="auto"/>
        <w:rPr>
          <w:sz w:val="20"/>
          <w:szCs w:val="20"/>
          <w:color w:val="auto"/>
        </w:rPr>
      </w:pPr>
      <w:r>
        <w:rPr>
          <w:rFonts w:ascii="Arial" w:cs="Arial" w:eastAsia="Arial" w:hAnsi="Arial"/>
          <w:sz w:val="18"/>
          <w:szCs w:val="18"/>
          <w:color w:val="auto"/>
        </w:rPr>
        <w:t>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22860</wp:posOffset>
            </wp:positionV>
            <wp:extent cx="57975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Accounts Payable:</w:t>
      </w:r>
    </w:p>
    <w:p>
      <w:pPr>
        <w:spacing w:after="0" w:line="27" w:lineRule="exact"/>
        <w:rPr>
          <w:sz w:val="20"/>
          <w:szCs w:val="20"/>
          <w:color w:val="auto"/>
        </w:rPr>
      </w:pPr>
    </w:p>
    <w:p>
      <w:pPr>
        <w:ind w:left="1320"/>
        <w:spacing w:after="0" w:line="250" w:lineRule="auto"/>
        <w:rPr>
          <w:sz w:val="20"/>
          <w:szCs w:val="20"/>
          <w:color w:val="auto"/>
        </w:rPr>
      </w:pPr>
      <w:r>
        <w:rPr>
          <w:rFonts w:ascii="Arial" w:cs="Arial" w:eastAsia="Arial" w:hAnsi="Arial"/>
          <w:sz w:val="18"/>
          <w:szCs w:val="18"/>
          <w:color w:val="auto"/>
        </w:rPr>
        <w:t>Reclassification of balances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320" w:right="160"/>
        <w:spacing w:after="0" w:line="261" w:lineRule="auto"/>
        <w:rPr>
          <w:sz w:val="20"/>
          <w:szCs w:val="20"/>
          <w:color w:val="auto"/>
        </w:rPr>
      </w:pPr>
      <w:r>
        <w:rPr>
          <w:rFonts w:ascii="Arial" w:cs="Arial" w:eastAsia="Arial" w:hAnsi="Arial"/>
          <w:sz w:val="18"/>
          <w:szCs w:val="18"/>
          <w:color w:val="auto"/>
        </w:rPr>
        <w:t>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June 30, 2015 Balances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previously</w:t>
            </w: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5"/>
              </w:rPr>
              <w:t>reported</w:t>
            </w:r>
          </w:p>
        </w:tc>
        <w:tc>
          <w:tcPr>
            <w:tcW w:w="100" w:type="dxa"/>
            <w:vAlign w:val="bottom"/>
          </w:tcPr>
          <w:p>
            <w:pPr>
              <w:spacing w:after="0"/>
              <w:rPr>
                <w:sz w:val="20"/>
                <w:szCs w:val="20"/>
                <w:color w:val="auto"/>
              </w:rPr>
            </w:pP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Reclassification</w:t>
            </w:r>
          </w:p>
        </w:tc>
        <w:tc>
          <w:tcPr>
            <w:tcW w:w="1120" w:type="dxa"/>
            <w:vAlign w:val="bottom"/>
            <w:gridSpan w:val="4"/>
          </w:tcPr>
          <w:p>
            <w:pPr>
              <w:spacing w:after="0"/>
              <w:rPr>
                <w:sz w:val="20"/>
                <w:szCs w:val="20"/>
                <w:color w:val="auto"/>
              </w:rPr>
            </w:pPr>
            <w:r>
              <w:rPr>
                <w:rFonts w:ascii="Arial" w:cs="Arial" w:eastAsia="Arial" w:hAnsi="Arial"/>
                <w:sz w:val="18"/>
                <w:szCs w:val="18"/>
                <w:color w:val="auto"/>
                <w:w w:val="94"/>
              </w:rPr>
              <w:t>As reclassified</w:t>
            </w:r>
          </w:p>
        </w:tc>
      </w:tr>
      <w:tr>
        <w:trPr>
          <w:trHeight w:val="27"/>
        </w:trPr>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48"/>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9"/>
                <w:szCs w:val="19"/>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60" w:type="dxa"/>
            <w:vAlign w:val="bottom"/>
          </w:tcPr>
          <w:p>
            <w:pPr>
              <w:spacing w:after="0"/>
              <w:rPr>
                <w:sz w:val="19"/>
                <w:szCs w:val="19"/>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(1,309)</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9"/>
                <w:szCs w:val="19"/>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60" w:type="dxa"/>
            <w:vAlign w:val="bottom"/>
          </w:tcPr>
          <w:p>
            <w:pPr>
              <w:spacing w:after="0"/>
              <w:rPr>
                <w:sz w:val="19"/>
                <w:szCs w:val="19"/>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360"/>
            <w:col w:w="4760"/>
          </w:cols>
          <w:pgMar w:left="240" w:top="904" w:right="23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ind w:left="1140" w:right="1840"/>
        <w:spacing w:after="0" w:line="274" w:lineRule="auto"/>
        <w:rPr>
          <w:sz w:val="20"/>
          <w:szCs w:val="20"/>
          <w:color w:val="auto"/>
        </w:rPr>
      </w:pPr>
      <w:r>
        <w:rPr>
          <w:rFonts w:ascii="Arial" w:cs="Arial" w:eastAsia="Arial" w:hAnsi="Arial"/>
          <w:sz w:val="18"/>
          <w:szCs w:val="18"/>
          <w:color w:val="auto"/>
        </w:rPr>
        <w:t xml:space="preserve">Consolidated Statement of Cash Flow Line Items </w:t>
      </w:r>
      <w:r>
        <w:rPr>
          <w:rFonts w:ascii="Arial" w:cs="Arial" w:eastAsia="Arial" w:hAnsi="Arial"/>
          <w:sz w:val="18"/>
          <w:szCs w:val="18"/>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-153035</wp:posOffset>
            </wp:positionV>
            <wp:extent cx="34474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ind w:left="1320"/>
        <w:spacing w:after="0" w:line="261" w:lineRule="auto"/>
        <w:rPr>
          <w:sz w:val="20"/>
          <w:szCs w:val="20"/>
          <w:color w:val="auto"/>
        </w:rPr>
      </w:pPr>
      <w:r>
        <w:rPr>
          <w:rFonts w:ascii="Arial" w:cs="Arial" w:eastAsia="Arial" w:hAnsi="Arial"/>
          <w:sz w:val="18"/>
          <w:szCs w:val="18"/>
          <w:color w:val="auto"/>
        </w:rPr>
        <w:t>Reclassification of cash provided by and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-285115</wp:posOffset>
            </wp:positionV>
            <wp:extent cx="579755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7"/>
          <w:szCs w:val="17"/>
          <w:color w:val="auto"/>
        </w:rPr>
        <w:t>For the three months ended March 31, 2015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previously</w:t>
            </w: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20"/>
                <w:szCs w:val="20"/>
                <w:color w:val="auto"/>
              </w:rPr>
            </w:pP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Reclassification</w:t>
            </w:r>
          </w:p>
        </w:tc>
        <w:tc>
          <w:tcPr>
            <w:tcW w:w="1120" w:type="dxa"/>
            <w:vAlign w:val="bottom"/>
            <w:gridSpan w:val="4"/>
          </w:tcPr>
          <w:p>
            <w:pPr>
              <w:spacing w:after="0"/>
              <w:rPr>
                <w:sz w:val="20"/>
                <w:szCs w:val="20"/>
                <w:color w:val="auto"/>
              </w:rPr>
            </w:pPr>
            <w:r>
              <w:rPr>
                <w:rFonts w:ascii="Arial" w:cs="Arial" w:eastAsia="Arial" w:hAnsi="Arial"/>
                <w:sz w:val="18"/>
                <w:szCs w:val="18"/>
                <w:color w:val="auto"/>
                <w:w w:val="94"/>
              </w:rPr>
              <w:t>As reclassified</w:t>
            </w:r>
          </w:p>
        </w:tc>
      </w:tr>
      <w:tr>
        <w:trPr>
          <w:trHeight w:val="27"/>
        </w:trPr>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7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(984)</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120"/>
            <w:col w:w="476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2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Accounts Payable:</w:t>
            </w: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260" w:type="dxa"/>
            <w:vAlign w:val="bottom"/>
          </w:tcPr>
          <w:p>
            <w:pPr>
              <w:ind w:left="160"/>
              <w:spacing w:after="0" w:line="201" w:lineRule="exact"/>
              <w:rPr>
                <w:sz w:val="20"/>
                <w:szCs w:val="20"/>
                <w:color w:val="auto"/>
              </w:rPr>
            </w:pPr>
            <w:r>
              <w:rPr>
                <w:rFonts w:ascii="Arial" w:cs="Arial" w:eastAsia="Arial" w:hAnsi="Arial"/>
                <w:sz w:val="18"/>
                <w:szCs w:val="18"/>
                <w:color w:val="auto"/>
                <w:w w:val="93"/>
              </w:rPr>
              <w:t>Reclassification of cash used in and included in accounts payable to</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(151) $</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42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6420" w:type="dxa"/>
            <w:vAlign w:val="bottom"/>
            <w:tcBorders>
              <w:bottom w:val="single" w:sz="8" w:color="DCDCDC"/>
            </w:tcBorders>
            <w:gridSpan w:val="2"/>
            <w:vMerge w:val="continue"/>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ectPr>
          <w:pgSz w:w="11900" w:h="16838" w:orient="portrait"/>
          <w:cols w:equalWidth="0" w:num="1">
            <w:col w:w="11420"/>
          </w:cols>
          <w:pgMar w:left="240" w:top="1121" w:right="239" w:bottom="1440" w:gutter="0" w:footer="0" w:header="0"/>
        </w:sectPr>
      </w:pP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ind w:left="1140" w:right="1840"/>
        <w:spacing w:after="0" w:line="274" w:lineRule="auto"/>
        <w:rPr>
          <w:sz w:val="20"/>
          <w:szCs w:val="20"/>
          <w:color w:val="auto"/>
        </w:rPr>
      </w:pPr>
      <w:r>
        <w:rPr>
          <w:rFonts w:ascii="Arial" w:cs="Arial" w:eastAsia="Arial" w:hAnsi="Arial"/>
          <w:sz w:val="18"/>
          <w:szCs w:val="18"/>
          <w:color w:val="auto"/>
        </w:rPr>
        <w:t xml:space="preserve">Consolidated Statement of Cash Flow Line Items </w:t>
      </w:r>
      <w:r>
        <w:rPr>
          <w:rFonts w:ascii="Arial" w:cs="Arial" w:eastAsia="Arial" w:hAnsi="Arial"/>
          <w:sz w:val="18"/>
          <w:szCs w:val="18"/>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-153035</wp:posOffset>
            </wp:positionV>
            <wp:extent cx="34474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ind w:left="1320"/>
        <w:spacing w:after="0" w:line="261" w:lineRule="auto"/>
        <w:rPr>
          <w:sz w:val="20"/>
          <w:szCs w:val="20"/>
          <w:color w:val="auto"/>
        </w:rPr>
      </w:pPr>
      <w:r>
        <w:rPr>
          <w:rFonts w:ascii="Arial" w:cs="Arial" w:eastAsia="Arial" w:hAnsi="Arial"/>
          <w:sz w:val="18"/>
          <w:szCs w:val="18"/>
          <w:color w:val="auto"/>
        </w:rPr>
        <w:t>Reclassification of cash provided by and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-285115</wp:posOffset>
            </wp:positionV>
            <wp:extent cx="579755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nine months ended March 31, 2015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previously</w:t>
            </w: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20"/>
                <w:szCs w:val="20"/>
                <w:color w:val="auto"/>
              </w:rPr>
            </w:pP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Reclassification</w:t>
            </w:r>
          </w:p>
        </w:tc>
        <w:tc>
          <w:tcPr>
            <w:tcW w:w="1120" w:type="dxa"/>
            <w:vAlign w:val="bottom"/>
            <w:gridSpan w:val="4"/>
          </w:tcPr>
          <w:p>
            <w:pPr>
              <w:spacing w:after="0"/>
              <w:rPr>
                <w:sz w:val="20"/>
                <w:szCs w:val="20"/>
                <w:color w:val="auto"/>
              </w:rPr>
            </w:pPr>
            <w:r>
              <w:rPr>
                <w:rFonts w:ascii="Arial" w:cs="Arial" w:eastAsia="Arial" w:hAnsi="Arial"/>
                <w:sz w:val="18"/>
                <w:szCs w:val="18"/>
                <w:color w:val="auto"/>
                <w:w w:val="94"/>
              </w:rPr>
              <w:t>As reclassified</w:t>
            </w:r>
          </w:p>
        </w:tc>
      </w:tr>
      <w:tr>
        <w:trPr>
          <w:trHeight w:val="27"/>
        </w:trPr>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7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(1,821)</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540" w:space="120"/>
            <w:col w:w="4760"/>
          </w:cols>
          <w:pgMar w:left="240" w:top="112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20"/>
        </w:trPr>
        <w:tc>
          <w:tcPr>
            <w:tcW w:w="52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w w:val="93"/>
              </w:rPr>
              <w:t>Reclassification of cash used in and included in accounts payable to</w:t>
            </w: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7"/>
        </w:trPr>
        <w:tc>
          <w:tcPr>
            <w:tcW w:w="52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(2,610) $</w:t>
            </w:r>
          </w:p>
        </w:tc>
        <w:tc>
          <w:tcPr>
            <w:tcW w:w="740" w:type="dxa"/>
            <w:vAlign w:val="bottom"/>
          </w:tcPr>
          <w:p>
            <w:pPr>
              <w:jc w:val="right"/>
              <w:spacing w:after="0"/>
              <w:rPr>
                <w:sz w:val="20"/>
                <w:szCs w:val="20"/>
                <w:color w:val="auto"/>
              </w:rPr>
            </w:pPr>
            <w:r>
              <w:rPr>
                <w:rFonts w:ascii="Arial" w:cs="Arial" w:eastAsia="Arial" w:hAnsi="Arial"/>
                <w:sz w:val="18"/>
                <w:szCs w:val="18"/>
                <w:color w:val="auto"/>
              </w:rPr>
              <w:t>564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-427990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0</wp:posOffset>
            </wp:positionV>
            <wp:extent cx="224663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6630" cy="342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second quarter of fiscal 2016, the Company changed the manner in which it treats certain costs for software developed for internal use, which are accounted for through the capitalization of those costs incurred in connection with developing or obtaining internal-use software. These capitalized costs for internal-use software are included in fixed assets in the consolidated balance sheet and are amortized over three years.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the three and nine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2015, the FASB issued ASU 2015-16, "Simplifying the Accounting for Measurement-Period Adjustments". ASU 2015-16 eliminates the requirement for an acquirer in a business combination to account for measurement-period adjustments retrospectively. ASU 2015-16 will be effective for the Company beginning with the quarter ending September 30, 2016. Since this standard is prospective, the impact of ASU 2015-16 on the Company's financial condition, results of operations and cash flows will depend upon the nature of any measurement period adjustments identified in future periods.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("ASU 2015-17"), which will require entities to present all deferred tax liabilities and assets as noncurrent on the balance sheet instead of separating deferred taxes into current and noncurrent amounts. The standard will be effective for the Company beginning with the quarter ending September 30, 2017. Early application is permitted. The standard can be applied either prospectively to all deferred tax liabilities and assets or retrospectively to all periods presented.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ASU 2016-02 “Leases” (Topic 842). This pronouncement will be effective for the Company beginning with the quarter ending September 30,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2016, the FASB issued ASU 2016-09 “Compensation – Stock Compensation” (Topic 718). This pronouncement will be effective for the Company beginning with the quarter ending September 30,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VENDSCREEN,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2016, the Company executed an Asset Purchase Agreement with Vendscreen, Inc. (“VendScreen”), a Portland, Oregon based developer of vending industry cashless payment technology, by which it acquired substantially all of VendScreen’s assets and assumed specified liabilities, for a cash payment of $5.625 million. The purchase price was funded using $2.625 million in cash, and the balance of $3.0 million from a term loan which was converted from a line of credit.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acquisition expands the Company’s capability with interactive media (touchscreen) and content delivery through VendScreen’s cloud-based content delivery platform, device platform and products, customer base, vendor management system (VMS) integration, and consumer product information including nutritional data. In addition to new technology and services, the acquisition adds a West Coast operational footprint, with former VendScreen employees able to offer expanded customer services, sales and technical support.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to reflect the fair values of the assets acquired and liabilities assumed at the date of acquisition.</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Consideration:</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shd w:val="clear" w:color="auto" w:fill="F0FFFF"/>
          </w:tcPr>
          <w:p>
            <w:pPr>
              <w:spacing w:after="0"/>
              <w:rPr>
                <w:sz w:val="20"/>
                <w:szCs w:val="20"/>
                <w:color w:val="auto"/>
              </w:rPr>
            </w:pPr>
            <w:r>
              <w:rPr>
                <w:rFonts w:ascii="Arial" w:cs="Arial" w:eastAsia="Arial" w:hAnsi="Arial"/>
                <w:sz w:val="18"/>
                <w:szCs w:val="18"/>
                <w:color w:val="auto"/>
              </w:rPr>
              <w:t>Fair value of total consideration paid in cash</w:t>
            </w:r>
          </w:p>
        </w:tc>
        <w:tc>
          <w:tcPr>
            <w:tcW w:w="1620" w:type="dxa"/>
            <w:vAlign w:val="bottom"/>
            <w:gridSpan w:val="2"/>
            <w:shd w:val="clear" w:color="auto" w:fill="F0FF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Acquisition / integration expenses:</w:t>
            </w:r>
          </w:p>
        </w:tc>
        <w:tc>
          <w:tcPr>
            <w:tcW w:w="1620" w:type="dxa"/>
            <w:vAlign w:val="bottom"/>
            <w:gridSpan w:val="2"/>
            <w:shd w:val="clear" w:color="auto" w:fill="F0FF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-119380</wp:posOffset>
            </wp:positionV>
            <wp:extent cx="434784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2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Financial Assets:</w:t>
            </w: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Finance receivables</w:t>
            </w: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628</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Deferred income taxes</w:t>
            </w:r>
          </w:p>
        </w:tc>
        <w:tc>
          <w:tcPr>
            <w:tcW w:w="2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669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Property, and &amp; equipment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639</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Brand</w:t>
            </w: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Fair value of intangible assets</w:t>
            </w:r>
          </w:p>
        </w:tc>
        <w:tc>
          <w:tcPr>
            <w:tcW w:w="2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885</w:t>
            </w:r>
          </w:p>
        </w:tc>
        <w:tc>
          <w:tcPr>
            <w:tcW w:w="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3" w:lineRule="exact"/>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7"/>
                <w:szCs w:val="17"/>
                <w:color w:val="auto"/>
              </w:rPr>
            </w:pP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1,585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Total Fair Value</w:t>
            </w:r>
          </w:p>
        </w:tc>
        <w:tc>
          <w:tcPr>
            <w:tcW w:w="5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$885 thousand of acquired intangible assets, $639 thousand was assigned to developed technology that is subject to amortization over 5 years, $149 thousand was assigned to customer relationships which are subject to amortization over 10 years; $2 thousand was assigned to a non-compete agreement that is subject to amortization over 2 years, and $95 thousand was assigned to the brand that is subject to amortization over 3 years. All of the intangible assets are amortizable for income tax purposes.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goodwill is amortizable for income tax purposes.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VendScreen has been included in the accompanying consolidated financial statements of the Company since the date of acquisition. The $584 thousand of acquisition / integration expenses consists of non-recurring expenses incurred in connection with the acquisition and integration of the VendScreen business and were included in SG&amp;A expenses during the nine months ended March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3. EARNINGS PER SHARE CALCULATION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w w:val="94"/>
              </w:rPr>
              <w:t>The calculation of basic and diluted earnings per share is presented below:</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color w:val="auto"/>
                <w:w w:val="97"/>
              </w:rPr>
              <w:t>Three months ended</w:t>
            </w:r>
          </w:p>
        </w:tc>
        <w:tc>
          <w:tcPr>
            <w:tcW w:w="100" w:type="dxa"/>
            <w:vAlign w:val="bottom"/>
          </w:tcPr>
          <w:p>
            <w:pPr>
              <w:spacing w:after="0"/>
              <w:rPr>
                <w:sz w:val="24"/>
                <w:szCs w:val="24"/>
                <w:color w:val="auto"/>
              </w:rPr>
            </w:pPr>
          </w:p>
        </w:tc>
        <w:tc>
          <w:tcPr>
            <w:tcW w:w="2020" w:type="dxa"/>
            <w:vAlign w:val="bottom"/>
            <w:gridSpan w:val="6"/>
          </w:tcPr>
          <w:p>
            <w:pPr>
              <w:jc w:val="right"/>
              <w:ind w:right="400"/>
              <w:spacing w:after="0"/>
              <w:rPr>
                <w:sz w:val="20"/>
                <w:szCs w:val="20"/>
                <w:color w:val="auto"/>
              </w:rPr>
            </w:pPr>
            <w:r>
              <w:rPr>
                <w:rFonts w:ascii="Arial" w:cs="Arial" w:eastAsia="Arial" w:hAnsi="Arial"/>
                <w:sz w:val="18"/>
                <w:szCs w:val="18"/>
                <w:color w:val="auto"/>
              </w:rPr>
              <w:t>Nine months ended</w:t>
            </w:r>
          </w:p>
        </w:tc>
      </w:tr>
      <w:tr>
        <w:trPr>
          <w:trHeight w:val="237"/>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20"/>
                <w:szCs w:val="20"/>
                <w:color w:val="auto"/>
              </w:rPr>
            </w:pPr>
          </w:p>
        </w:tc>
        <w:tc>
          <w:tcPr>
            <w:tcW w:w="2020" w:type="dxa"/>
            <w:vAlign w:val="bottom"/>
            <w:gridSpan w:val="6"/>
          </w:tcPr>
          <w:p>
            <w:pPr>
              <w:jc w:val="right"/>
              <w:ind w:right="720"/>
              <w:spacing w:after="0"/>
              <w:rPr>
                <w:sz w:val="20"/>
                <w:szCs w:val="20"/>
                <w:color w:val="auto"/>
              </w:rPr>
            </w:pPr>
            <w:r>
              <w:rPr>
                <w:rFonts w:ascii="Arial" w:cs="Arial" w:eastAsia="Arial" w:hAnsi="Arial"/>
                <w:sz w:val="18"/>
                <w:szCs w:val="18"/>
                <w:color w:val="auto"/>
              </w:rPr>
              <w:t>March 31,</w:t>
            </w:r>
          </w:p>
        </w:tc>
      </w:tr>
      <w:tr>
        <w:trPr>
          <w:trHeight w:val="237"/>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 in thousands, except per share data)</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420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w w:val="99"/>
              </w:rPr>
              <w:t xml:space="preserve">Numerator for basic earnings per share - </w:t>
            </w:r>
            <w:r>
              <w:rPr>
                <w:rFonts w:ascii="Arial" w:cs="Arial" w:eastAsia="Arial" w:hAnsi="Arial"/>
                <w:sz w:val="18"/>
                <w:szCs w:val="18"/>
                <w:color w:val="auto"/>
                <w:w w:val="99"/>
              </w:rPr>
              <w:t>Net loss</w:t>
            </w: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4200" w:type="dxa"/>
            <w:vAlign w:val="bottom"/>
            <w:shd w:val="clear" w:color="auto" w:fill="F0FFFF"/>
          </w:tcPr>
          <w:p>
            <w:pPr>
              <w:spacing w:after="0"/>
              <w:rPr>
                <w:sz w:val="20"/>
                <w:szCs w:val="20"/>
                <w:color w:val="auto"/>
              </w:rPr>
            </w:pPr>
            <w:r>
              <w:rPr>
                <w:rFonts w:ascii="Arial" w:cs="Arial" w:eastAsia="Arial" w:hAnsi="Arial"/>
                <w:sz w:val="18"/>
                <w:szCs w:val="18"/>
                <w:color w:val="auto"/>
              </w:rPr>
              <w:t>available to common shareholders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(5,754)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(6,602)</w:t>
            </w: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(1,557)</w:t>
            </w:r>
          </w:p>
        </w:tc>
      </w:tr>
      <w:tr>
        <w:trPr>
          <w:trHeight w:val="237"/>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Gain recorded for reduction in fair value of warrants*</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8"/>
        </w:trPr>
        <w:tc>
          <w:tcPr>
            <w:tcW w:w="1440" w:type="dxa"/>
            <w:vAlign w:val="bottom"/>
          </w:tcPr>
          <w:p>
            <w:pPr>
              <w:spacing w:after="0"/>
              <w:rPr>
                <w:sz w:val="16"/>
                <w:szCs w:val="16"/>
                <w:color w:val="auto"/>
              </w:rPr>
            </w:pPr>
          </w:p>
        </w:tc>
        <w:tc>
          <w:tcPr>
            <w:tcW w:w="420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b w:val="1"/>
                <w:bCs w:val="1"/>
                <w:color w:val="auto"/>
                <w:w w:val="96"/>
              </w:rPr>
              <w:t xml:space="preserve">Numerator for diluted earnings per share - </w:t>
            </w:r>
            <w:r>
              <w:rPr>
                <w:rFonts w:ascii="Arial" w:cs="Arial" w:eastAsia="Arial" w:hAnsi="Arial"/>
                <w:sz w:val="18"/>
                <w:szCs w:val="18"/>
                <w:color w:val="auto"/>
                <w:w w:val="96"/>
              </w:rPr>
              <w:t>Net loss</w:t>
            </w:r>
          </w:p>
        </w:tc>
        <w:tc>
          <w:tcPr>
            <w:tcW w:w="1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4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r>
      <w:tr>
        <w:trPr>
          <w:trHeight w:val="277"/>
        </w:trPr>
        <w:tc>
          <w:tcPr>
            <w:tcW w:w="1440" w:type="dxa"/>
            <w:vAlign w:val="bottom"/>
          </w:tcPr>
          <w:p>
            <w:pPr>
              <w:spacing w:after="0"/>
              <w:rPr>
                <w:sz w:val="24"/>
                <w:szCs w:val="24"/>
                <w:color w:val="auto"/>
              </w:rPr>
            </w:pPr>
          </w:p>
        </w:tc>
        <w:tc>
          <w:tcPr>
            <w:tcW w:w="4200" w:type="dxa"/>
            <w:vAlign w:val="bottom"/>
            <w:shd w:val="clear" w:color="auto" w:fill="F0FFFF"/>
          </w:tcPr>
          <w:p>
            <w:pPr>
              <w:spacing w:after="0"/>
              <w:rPr>
                <w:sz w:val="20"/>
                <w:szCs w:val="20"/>
                <w:color w:val="auto"/>
              </w:rPr>
            </w:pPr>
            <w:r>
              <w:rPr>
                <w:rFonts w:ascii="Arial" w:cs="Arial" w:eastAsia="Arial" w:hAnsi="Arial"/>
                <w:sz w:val="18"/>
                <w:szCs w:val="18"/>
                <w:color w:val="auto"/>
              </w:rPr>
              <w:t>available to common shareholders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(5,754)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(6,602)</w:t>
            </w: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(1,557)</w:t>
            </w:r>
          </w:p>
        </w:tc>
      </w:tr>
      <w:tr>
        <w:trPr>
          <w:trHeight w:val="20"/>
        </w:trPr>
        <w:tc>
          <w:tcPr>
            <w:tcW w:w="1440" w:type="dxa"/>
            <w:vAlign w:val="bottom"/>
          </w:tcPr>
          <w:p>
            <w:pPr>
              <w:spacing w:after="0" w:line="20" w:lineRule="exact"/>
              <w:rPr>
                <w:sz w:val="1"/>
                <w:szCs w:val="1"/>
                <w:color w:val="auto"/>
              </w:rPr>
            </w:pPr>
          </w:p>
        </w:tc>
        <w:tc>
          <w:tcPr>
            <w:tcW w:w="4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r>
        <w:trPr>
          <w:trHeight w:val="190"/>
        </w:trPr>
        <w:tc>
          <w:tcPr>
            <w:tcW w:w="1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1440" w:type="dxa"/>
            <w:vAlign w:val="bottom"/>
          </w:tcPr>
          <w:p>
            <w:pPr>
              <w:spacing w:after="0"/>
              <w:rPr>
                <w:sz w:val="17"/>
                <w:szCs w:val="17"/>
                <w:color w:val="auto"/>
              </w:rPr>
            </w:pPr>
          </w:p>
        </w:tc>
        <w:tc>
          <w:tcPr>
            <w:tcW w:w="420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w w:val="93"/>
              </w:rPr>
              <w:t xml:space="preserve">Denominator for basic earnings per share - </w:t>
            </w:r>
            <w:r>
              <w:rPr>
                <w:rFonts w:ascii="Arial" w:cs="Arial" w:eastAsia="Arial" w:hAnsi="Arial"/>
                <w:sz w:val="18"/>
                <w:szCs w:val="18"/>
                <w:color w:val="auto"/>
                <w:w w:val="93"/>
              </w:rPr>
              <w:t>Weighted</w:t>
            </w: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4200" w:type="dxa"/>
            <w:vAlign w:val="bottom"/>
            <w:shd w:val="clear" w:color="auto" w:fill="F0FFFF"/>
          </w:tcPr>
          <w:p>
            <w:pPr>
              <w:spacing w:after="0"/>
              <w:rPr>
                <w:sz w:val="20"/>
                <w:szCs w:val="20"/>
                <w:color w:val="auto"/>
              </w:rPr>
            </w:pPr>
            <w:r>
              <w:rPr>
                <w:rFonts w:ascii="Arial" w:cs="Arial" w:eastAsia="Arial" w:hAnsi="Arial"/>
                <w:sz w:val="18"/>
                <w:szCs w:val="18"/>
                <w:color w:val="auto"/>
              </w:rPr>
              <w:t>average shares outstanding</w:t>
            </w:r>
          </w:p>
        </w:tc>
        <w:tc>
          <w:tcPr>
            <w:tcW w:w="1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88"/>
              </w:rPr>
              <w:t>36,161,613</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0"/>
              </w:rPr>
              <w:t>35,747,979</w:t>
            </w:r>
          </w:p>
        </w:tc>
        <w:tc>
          <w:tcPr>
            <w:tcW w:w="10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0"/>
              </w:rPr>
              <w:t>35,961,648</w:t>
            </w: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88"/>
              </w:rPr>
              <w:t>35,705,210</w:t>
            </w:r>
          </w:p>
        </w:tc>
      </w:tr>
      <w:tr>
        <w:trPr>
          <w:trHeight w:val="237"/>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8"/>
        </w:trPr>
        <w:tc>
          <w:tcPr>
            <w:tcW w:w="1440" w:type="dxa"/>
            <w:vAlign w:val="bottom"/>
          </w:tcPr>
          <w:p>
            <w:pPr>
              <w:spacing w:after="0"/>
              <w:rPr>
                <w:sz w:val="16"/>
                <w:szCs w:val="16"/>
                <w:color w:val="auto"/>
              </w:rPr>
            </w:pPr>
          </w:p>
        </w:tc>
        <w:tc>
          <w:tcPr>
            <w:tcW w:w="420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b w:val="1"/>
                <w:bCs w:val="1"/>
                <w:color w:val="auto"/>
              </w:rPr>
              <w:t>Denominator for diluted earnings per share -</w:t>
            </w:r>
          </w:p>
        </w:tc>
        <w:tc>
          <w:tcPr>
            <w:tcW w:w="1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84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4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r>
      <w:tr>
        <w:trPr>
          <w:trHeight w:val="277"/>
        </w:trPr>
        <w:tc>
          <w:tcPr>
            <w:tcW w:w="1440" w:type="dxa"/>
            <w:vAlign w:val="bottom"/>
          </w:tcPr>
          <w:p>
            <w:pPr>
              <w:spacing w:after="0"/>
              <w:rPr>
                <w:sz w:val="24"/>
                <w:szCs w:val="24"/>
                <w:color w:val="auto"/>
              </w:rPr>
            </w:pPr>
          </w:p>
        </w:tc>
        <w:tc>
          <w:tcPr>
            <w:tcW w:w="4200" w:type="dxa"/>
            <w:vAlign w:val="bottom"/>
            <w:shd w:val="clear" w:color="auto" w:fill="F0FFFF"/>
          </w:tcPr>
          <w:p>
            <w:pPr>
              <w:spacing w:after="0"/>
              <w:rPr>
                <w:sz w:val="20"/>
                <w:szCs w:val="20"/>
                <w:color w:val="auto"/>
              </w:rPr>
            </w:pPr>
            <w:r>
              <w:rPr>
                <w:rFonts w:ascii="Arial" w:cs="Arial" w:eastAsia="Arial" w:hAnsi="Arial"/>
                <w:sz w:val="18"/>
                <w:szCs w:val="18"/>
                <w:color w:val="auto"/>
              </w:rPr>
              <w:t>Adjusted weighted average shares outstanding</w:t>
            </w:r>
          </w:p>
        </w:tc>
        <w:tc>
          <w:tcPr>
            <w:tcW w:w="12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88"/>
              </w:rPr>
              <w:t>36,161,613</w:t>
            </w:r>
          </w:p>
        </w:tc>
        <w:tc>
          <w:tcPr>
            <w:tcW w:w="12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0"/>
              </w:rPr>
              <w:t>35,747,979</w:t>
            </w: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0"/>
              </w:rPr>
              <w:t>35,961,648</w:t>
            </w: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88"/>
              </w:rPr>
              <w:t>35,705,210</w:t>
            </w:r>
          </w:p>
        </w:tc>
      </w:tr>
      <w:tr>
        <w:trPr>
          <w:trHeight w:val="20"/>
        </w:trPr>
        <w:tc>
          <w:tcPr>
            <w:tcW w:w="1440" w:type="dxa"/>
            <w:vAlign w:val="bottom"/>
          </w:tcPr>
          <w:p>
            <w:pPr>
              <w:spacing w:after="0" w:line="20" w:lineRule="exact"/>
              <w:rPr>
                <w:sz w:val="1"/>
                <w:szCs w:val="1"/>
                <w:color w:val="auto"/>
              </w:rPr>
            </w:pPr>
          </w:p>
        </w:tc>
        <w:tc>
          <w:tcPr>
            <w:tcW w:w="4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r>
        <w:trPr>
          <w:trHeight w:val="190"/>
        </w:trPr>
        <w:tc>
          <w:tcPr>
            <w:tcW w:w="1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(0.18)</w:t>
            </w: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(0.04)</w:t>
            </w: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No adjustment necessary as the effects would be anti-dilutive.</w:t>
      </w:r>
    </w:p>
    <w:p>
      <w:pPr>
        <w:sectPr>
          <w:pgSz w:w="11900" w:h="16838" w:orient="portrait"/>
          <w:cols w:equalWidth="0" w:num="1">
            <w:col w:w="11420"/>
          </w:cols>
          <w:pgMar w:left="240" w:top="904" w:right="239" w:bottom="973"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00" w:lineRule="exact"/>
        <w:rPr>
          <w:sz w:val="20"/>
          <w:szCs w:val="20"/>
          <w:color w:val="auto"/>
        </w:rPr>
      </w:pPr>
    </w:p>
    <w:p>
      <w:pPr>
        <w:spacing w:after="0" w:line="26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5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Total finance receivables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Less current portion</w:t>
      </w:r>
    </w:p>
    <w:p>
      <w:pPr>
        <w:spacing w:after="0" w:line="2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Non-current portion of finance</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7"/>
        </w:trPr>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4,639</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446"/>
        </w:trPr>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3,698</w:t>
            </w: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-616585</wp:posOffset>
            </wp:positionV>
            <wp:extent cx="36188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-325120</wp:posOffset>
            </wp:positionV>
            <wp:extent cx="361886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904" w:right="239" w:bottom="973"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collects monthly payments of its finance receivables from the customers’ transaction fund flow. Accordingly, as the fund flow from these customers’ transactions is sufficient to satisfy the amount due to the Company, the risk of loss is considered remote and the Company has not provided for an allowance for credit losses for finance receivables as of March 31, 2016 and June 30,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904" w:right="239" w:bottom="973" w:gutter="0" w:footer="0" w:header="0"/>
          <w:type w:val="continuous"/>
        </w:sectPr>
      </w:pP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Credit risk profile based on payment activity:</w:t>
      </w:r>
    </w:p>
    <w:p>
      <w:pPr>
        <w:spacing w:after="0" w:line="28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8"/>
          <w:szCs w:val="18"/>
          <w:color w:val="auto"/>
        </w:rPr>
        <w:t>Nonperforming</w:t>
      </w:r>
    </w:p>
    <w:p>
      <w:pPr>
        <w:spacing w:after="0" w:line="2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r>
      <w:tr>
        <w:trPr>
          <w:trHeight w:val="237"/>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37"/>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60"/>
            <w:col w:w="5220"/>
          </w:cols>
          <w:pgMar w:left="240" w:top="904" w:right="239" w:bottom="973"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973" w:gutter="0" w:footer="0" w:header="0"/>
          <w:type w:val="continuous"/>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61 – 90</w:t>
            </w:r>
          </w:p>
        </w:tc>
        <w:tc>
          <w:tcPr>
            <w:tcW w:w="180" w:type="dxa"/>
            <w:vAlign w:val="bottom"/>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7"/>
              </w:rPr>
              <w:t>Greater than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5"/>
              </w:rPr>
              <w:t>Days Past</w:t>
            </w:r>
          </w:p>
        </w:tc>
        <w:tc>
          <w:tcPr>
            <w:tcW w:w="180" w:type="dxa"/>
            <w:vAlign w:val="bottom"/>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7"/>
              </w:rPr>
              <w:t>90 Days Past</w:t>
            </w:r>
          </w:p>
        </w:tc>
        <w:tc>
          <w:tcPr>
            <w:tcW w:w="180" w:type="dxa"/>
            <w:vAlign w:val="bottom"/>
          </w:tcPr>
          <w:p>
            <w:pPr>
              <w:spacing w:after="0"/>
              <w:rPr>
                <w:sz w:val="18"/>
                <w:szCs w:val="18"/>
                <w:color w:val="auto"/>
              </w:rPr>
            </w:pPr>
          </w:p>
        </w:tc>
        <w:tc>
          <w:tcPr>
            <w:tcW w:w="920" w:type="dxa"/>
            <w:vAlign w:val="bottom"/>
            <w:gridSpan w:val="3"/>
          </w:tcPr>
          <w:p>
            <w:pPr>
              <w:jc w:val="right"/>
              <w:ind w:right="93"/>
              <w:spacing w:after="0"/>
              <w:rPr>
                <w:sz w:val="20"/>
                <w:szCs w:val="20"/>
                <w:color w:val="auto"/>
              </w:rPr>
            </w:pPr>
            <w:r>
              <w:rPr>
                <w:rFonts w:ascii="Arial" w:cs="Arial" w:eastAsia="Arial" w:hAnsi="Arial"/>
                <w:sz w:val="18"/>
                <w:szCs w:val="18"/>
                <w:color w:val="auto"/>
                <w:w w:val="91"/>
              </w:rPr>
              <w:t>Total Past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Finance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gridSpan w:val="2"/>
          </w:tcPr>
          <w:p>
            <w:pPr>
              <w:ind w:left="28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6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Due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Due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Current</w:t>
            </w:r>
          </w:p>
        </w:tc>
        <w:tc>
          <w:tcPr>
            <w:tcW w:w="1220" w:type="dxa"/>
            <w:vAlign w:val="bottom"/>
            <w:gridSpan w:val="5"/>
          </w:tcPr>
          <w:p>
            <w:pPr>
              <w:spacing w:after="0"/>
              <w:rPr>
                <w:sz w:val="20"/>
                <w:szCs w:val="20"/>
                <w:color w:val="auto"/>
              </w:rPr>
            </w:pPr>
            <w:r>
              <w:rPr>
                <w:rFonts w:ascii="Arial" w:cs="Arial" w:eastAsia="Arial" w:hAnsi="Arial"/>
                <w:sz w:val="18"/>
                <w:szCs w:val="18"/>
                <w:color w:val="auto"/>
              </w:rPr>
              <w:t>Receivables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0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3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F0FF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F0FFFF"/>
          </w:tcPr>
          <w:p>
            <w:pPr>
              <w:jc w:val="center"/>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F0FFFF"/>
          </w:tcPr>
          <w:p>
            <w:pPr>
              <w:spacing w:after="0"/>
              <w:rPr>
                <w:sz w:val="19"/>
                <w:szCs w:val="19"/>
                <w:color w:val="auto"/>
              </w:rPr>
            </w:pPr>
          </w:p>
        </w:tc>
        <w:tc>
          <w:tcPr>
            <w:tcW w:w="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4,671</w:t>
            </w:r>
          </w:p>
        </w:tc>
        <w:tc>
          <w:tcPr>
            <w:tcW w:w="200" w:type="dxa"/>
            <w:vAlign w:val="bottom"/>
            <w:tcBorders>
              <w:right w:val="single" w:sz="8" w:color="F0FFFF"/>
            </w:tcBorders>
            <w:shd w:val="clear" w:color="auto" w:fill="F0FFFF"/>
          </w:tcPr>
          <w:p>
            <w:pPr>
              <w:spacing w:after="0"/>
              <w:rPr>
                <w:sz w:val="19"/>
                <w:szCs w:val="19"/>
                <w:color w:val="auto"/>
              </w:rPr>
            </w:pPr>
          </w:p>
        </w:tc>
        <w:tc>
          <w:tcPr>
            <w:tcW w:w="80" w:type="dxa"/>
            <w:vAlign w:val="bottom"/>
            <w:shd w:val="clear" w:color="auto" w:fill="F0FF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F0FFFF"/>
          </w:tcPr>
          <w:p>
            <w:pPr>
              <w:ind w:left="340"/>
              <w:spacing w:after="0"/>
              <w:rPr>
                <w:sz w:val="20"/>
                <w:szCs w:val="20"/>
                <w:color w:val="auto"/>
              </w:rPr>
            </w:pPr>
            <w:r>
              <w:rPr>
                <w:rFonts w:ascii="Arial" w:cs="Arial" w:eastAsia="Arial" w:hAnsi="Arial"/>
                <w:sz w:val="18"/>
                <w:szCs w:val="18"/>
                <w:color w:val="auto"/>
                <w:w w:val="88"/>
              </w:rPr>
              <w:t>4,719</w:t>
            </w:r>
          </w:p>
        </w:tc>
        <w:tc>
          <w:tcPr>
            <w:tcW w:w="80" w:type="dxa"/>
            <w:vAlign w:val="bottom"/>
            <w:shd w:val="clear" w:color="auto" w:fill="F0FFFF"/>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Borders>
              <w:right w:val="single" w:sz="8" w:color="F0FFFF"/>
            </w:tcBorders>
            <w:shd w:val="clear" w:color="auto" w:fill="F0FF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F0FFFF"/>
            </w:tcBorders>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gridSpan w:val="13"/>
          </w:tcPr>
          <w:p>
            <w:pPr>
              <w:jc w:val="right"/>
              <w:ind w:right="630"/>
              <w:spacing w:after="0"/>
              <w:rPr>
                <w:sz w:val="20"/>
                <w:szCs w:val="20"/>
                <w:color w:val="auto"/>
              </w:rPr>
            </w:pPr>
            <w:r>
              <w:rPr>
                <w:rFonts w:ascii="Arial" w:cs="Arial" w:eastAsia="Arial" w:hAnsi="Arial"/>
                <w:sz w:val="18"/>
                <w:szCs w:val="18"/>
                <w:color w:val="auto"/>
              </w:rPr>
              <w:t>Age Analysis of Past Due Finance Receivables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8"/>
          </w:tcPr>
          <w:p>
            <w:pPr>
              <w:jc w:val="center"/>
              <w:ind w:left="10"/>
              <w:spacing w:after="0"/>
              <w:rPr>
                <w:sz w:val="20"/>
                <w:szCs w:val="20"/>
                <w:color w:val="auto"/>
              </w:rPr>
            </w:pPr>
            <w:r>
              <w:rPr>
                <w:rFonts w:ascii="Arial" w:cs="Arial" w:eastAsia="Arial" w:hAnsi="Arial"/>
                <w:sz w:val="18"/>
                <w:szCs w:val="18"/>
                <w:color w:val="auto"/>
                <w:w w:val="89"/>
              </w:rPr>
              <w:t>As of June 30, 2015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61 – 90</w:t>
            </w:r>
          </w:p>
        </w:tc>
        <w:tc>
          <w:tcPr>
            <w:tcW w:w="18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7"/>
              </w:rPr>
              <w:t>Greater than</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5"/>
              </w:rPr>
              <w:t>Days Past</w:t>
            </w:r>
          </w:p>
        </w:tc>
        <w:tc>
          <w:tcPr>
            <w:tcW w:w="180" w:type="dxa"/>
            <w:vAlign w:val="bottom"/>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7"/>
              </w:rPr>
              <w:t>90 Days Past</w:t>
            </w:r>
          </w:p>
        </w:tc>
        <w:tc>
          <w:tcPr>
            <w:tcW w:w="180" w:type="dxa"/>
            <w:vAlign w:val="bottom"/>
          </w:tcPr>
          <w:p>
            <w:pPr>
              <w:spacing w:after="0"/>
              <w:rPr>
                <w:sz w:val="18"/>
                <w:szCs w:val="18"/>
                <w:color w:val="auto"/>
              </w:rPr>
            </w:pPr>
          </w:p>
        </w:tc>
        <w:tc>
          <w:tcPr>
            <w:tcW w:w="920" w:type="dxa"/>
            <w:vAlign w:val="bottom"/>
            <w:gridSpan w:val="3"/>
          </w:tcPr>
          <w:p>
            <w:pPr>
              <w:jc w:val="right"/>
              <w:ind w:right="93"/>
              <w:spacing w:after="0"/>
              <w:rPr>
                <w:sz w:val="20"/>
                <w:szCs w:val="20"/>
                <w:color w:val="auto"/>
              </w:rPr>
            </w:pPr>
            <w:r>
              <w:rPr>
                <w:rFonts w:ascii="Arial" w:cs="Arial" w:eastAsia="Arial" w:hAnsi="Arial"/>
                <w:sz w:val="18"/>
                <w:szCs w:val="18"/>
                <w:color w:val="auto"/>
                <w:w w:val="91"/>
              </w:rPr>
              <w:t>Total Past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Finance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gridSpan w:val="2"/>
          </w:tcPr>
          <w:p>
            <w:pPr>
              <w:ind w:left="28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6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Due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Due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Current</w:t>
            </w:r>
          </w:p>
        </w:tc>
        <w:tc>
          <w:tcPr>
            <w:tcW w:w="1220" w:type="dxa"/>
            <w:vAlign w:val="bottom"/>
            <w:gridSpan w:val="5"/>
          </w:tcPr>
          <w:p>
            <w:pPr>
              <w:spacing w:after="0"/>
              <w:rPr>
                <w:sz w:val="20"/>
                <w:szCs w:val="20"/>
                <w:color w:val="auto"/>
              </w:rPr>
            </w:pPr>
            <w:r>
              <w:rPr>
                <w:rFonts w:ascii="Arial" w:cs="Arial" w:eastAsia="Arial" w:hAnsi="Arial"/>
                <w:sz w:val="18"/>
                <w:szCs w:val="18"/>
                <w:color w:val="auto"/>
              </w:rPr>
              <w:t>Receivables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0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3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700" w:type="dxa"/>
            <w:vAlign w:val="bottom"/>
            <w:gridSpan w:val="2"/>
            <w:shd w:val="clear" w:color="auto" w:fill="F0FF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F0FFFF"/>
          </w:tcPr>
          <w:p>
            <w:pPr>
              <w:jc w:val="center"/>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F0FFFF"/>
          </w:tcPr>
          <w:p>
            <w:pPr>
              <w:spacing w:after="0"/>
              <w:rPr>
                <w:sz w:val="19"/>
                <w:szCs w:val="19"/>
                <w:color w:val="auto"/>
              </w:rPr>
            </w:pPr>
          </w:p>
        </w:tc>
        <w:tc>
          <w:tcPr>
            <w:tcW w:w="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4,619</w:t>
            </w:r>
          </w:p>
        </w:tc>
        <w:tc>
          <w:tcPr>
            <w:tcW w:w="200" w:type="dxa"/>
            <w:vAlign w:val="bottom"/>
            <w:tcBorders>
              <w:right w:val="single" w:sz="8" w:color="F0FFFF"/>
            </w:tcBorders>
            <w:shd w:val="clear" w:color="auto" w:fill="F0FFFF"/>
          </w:tcPr>
          <w:p>
            <w:pPr>
              <w:spacing w:after="0"/>
              <w:rPr>
                <w:sz w:val="19"/>
                <w:szCs w:val="19"/>
                <w:color w:val="auto"/>
              </w:rPr>
            </w:pPr>
          </w:p>
        </w:tc>
        <w:tc>
          <w:tcPr>
            <w:tcW w:w="80" w:type="dxa"/>
            <w:vAlign w:val="bottom"/>
            <w:shd w:val="clear" w:color="auto" w:fill="F0FF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F0FFFF"/>
          </w:tcPr>
          <w:p>
            <w:pPr>
              <w:ind w:left="340"/>
              <w:spacing w:after="0"/>
              <w:rPr>
                <w:sz w:val="20"/>
                <w:szCs w:val="20"/>
                <w:color w:val="auto"/>
              </w:rPr>
            </w:pPr>
            <w:r>
              <w:rPr>
                <w:rFonts w:ascii="Arial" w:cs="Arial" w:eastAsia="Arial" w:hAnsi="Arial"/>
                <w:sz w:val="18"/>
                <w:szCs w:val="18"/>
                <w:color w:val="auto"/>
                <w:w w:val="88"/>
              </w:rPr>
              <w:t>4,639</w:t>
            </w:r>
          </w:p>
        </w:tc>
        <w:tc>
          <w:tcPr>
            <w:tcW w:w="80" w:type="dxa"/>
            <w:vAlign w:val="bottom"/>
            <w:shd w:val="clear" w:color="auto" w:fill="F0FFFF"/>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5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right w:val="single" w:sz="8" w:color="F0FF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w w:val="93"/>
              </w:rPr>
              <w:t>Property and equipment, at cost, consist of the following:</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2"/>
              </w:rPr>
              <w:t>March 31, 2016</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4"/>
          </w:tcPr>
          <w:p>
            <w:pPr>
              <w:jc w:val="center"/>
              <w:ind w:right="260"/>
              <w:spacing w:after="0" w:line="201" w:lineRule="exact"/>
              <w:rPr>
                <w:sz w:val="20"/>
                <w:szCs w:val="20"/>
                <w:color w:val="auto"/>
              </w:rPr>
            </w:pPr>
            <w:r>
              <w:rPr>
                <w:rFonts w:ascii="Arial" w:cs="Arial" w:eastAsia="Arial" w:hAnsi="Arial"/>
                <w:sz w:val="18"/>
                <w:szCs w:val="18"/>
                <w:color w:val="auto"/>
                <w:w w:val="92"/>
              </w:rPr>
              <w:t>(unaudited)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Useful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580"/>
              <w:spacing w:after="0"/>
              <w:rPr>
                <w:sz w:val="20"/>
                <w:szCs w:val="20"/>
                <w:color w:val="auto"/>
              </w:rPr>
            </w:pPr>
            <w:r>
              <w:rPr>
                <w:rFonts w:ascii="Arial" w:cs="Arial" w:eastAsia="Arial" w:hAnsi="Arial"/>
                <w:sz w:val="18"/>
                <w:szCs w:val="18"/>
                <w:color w:val="auto"/>
              </w:rPr>
              <w:t>($'s in thousands)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Lives</w:t>
            </w:r>
          </w:p>
        </w:tc>
        <w:tc>
          <w:tcPr>
            <w:tcW w:w="340" w:type="dxa"/>
            <w:vAlign w:val="bottom"/>
          </w:tcPr>
          <w:p>
            <w:pPr>
              <w:spacing w:after="0"/>
              <w:rPr>
                <w:sz w:val="20"/>
                <w:szCs w:val="20"/>
                <w:color w:val="auto"/>
              </w:rPr>
            </w:pPr>
          </w:p>
        </w:tc>
        <w:tc>
          <w:tcPr>
            <w:tcW w:w="800" w:type="dxa"/>
            <w:vAlign w:val="bottom"/>
            <w:gridSpan w:val="2"/>
          </w:tcPr>
          <w:p>
            <w:pPr>
              <w:jc w:val="center"/>
              <w:ind w:right="270"/>
              <w:spacing w:after="0"/>
              <w:rPr>
                <w:sz w:val="20"/>
                <w:szCs w:val="20"/>
                <w:color w:val="auto"/>
              </w:rPr>
            </w:pPr>
            <w:r>
              <w:rPr>
                <w:rFonts w:ascii="Arial" w:cs="Arial" w:eastAsia="Arial" w:hAnsi="Arial"/>
                <w:sz w:val="18"/>
                <w:szCs w:val="18"/>
                <w:color w:val="auto"/>
                <w:w w:val="86"/>
              </w:rPr>
              <w:t>Cost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Depreciation</w:t>
            </w:r>
          </w:p>
        </w:tc>
        <w:tc>
          <w:tcPr>
            <w:tcW w:w="80" w:type="dxa"/>
            <w:vAlign w:val="bottom"/>
          </w:tcPr>
          <w:p>
            <w:pPr>
              <w:spacing w:after="0"/>
              <w:rPr>
                <w:sz w:val="20"/>
                <w:szCs w:val="20"/>
                <w:color w:val="auto"/>
              </w:rPr>
            </w:pPr>
          </w:p>
        </w:tc>
        <w:tc>
          <w:tcPr>
            <w:tcW w:w="1140" w:type="dxa"/>
            <w:vAlign w:val="bottom"/>
            <w:gridSpan w:val="4"/>
          </w:tcPr>
          <w:p>
            <w:pPr>
              <w:ind w:left="340"/>
              <w:spacing w:after="0"/>
              <w:rPr>
                <w:sz w:val="20"/>
                <w:szCs w:val="20"/>
                <w:color w:val="auto"/>
              </w:rPr>
            </w:pPr>
            <w:r>
              <w:rPr>
                <w:rFonts w:ascii="Arial" w:cs="Arial" w:eastAsia="Arial" w:hAnsi="Arial"/>
                <w:sz w:val="18"/>
                <w:szCs w:val="18"/>
                <w:color w:val="auto"/>
              </w:rPr>
              <w:t>Net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top w:val="single" w:sz="8" w:color="F0FFFF"/>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Borders>
              <w:top w:val="single" w:sz="8" w:color="F0FFFF"/>
            </w:tcBorders>
            <w:shd w:val="clear" w:color="auto" w:fill="F0FFFF"/>
          </w:tcPr>
          <w:p>
            <w:pPr>
              <w:spacing w:after="0"/>
              <w:rPr>
                <w:sz w:val="18"/>
                <w:szCs w:val="18"/>
                <w:color w:val="auto"/>
              </w:rPr>
            </w:pPr>
          </w:p>
        </w:tc>
        <w:tc>
          <w:tcPr>
            <w:tcW w:w="7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40" w:type="dxa"/>
            <w:vAlign w:val="bottom"/>
            <w:tcBorders>
              <w:top w:val="single" w:sz="8" w:color="auto"/>
            </w:tcBorders>
            <w:gridSpan w:val="3"/>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5,420</w:t>
            </w:r>
          </w:p>
        </w:tc>
        <w:tc>
          <w:tcPr>
            <w:tcW w:w="240" w:type="dxa"/>
            <w:vAlign w:val="bottom"/>
            <w:tcBorders>
              <w:top w:val="single" w:sz="8" w:color="F0FFFF"/>
              <w:right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(4,287)</w:t>
            </w:r>
          </w:p>
        </w:tc>
        <w:tc>
          <w:tcPr>
            <w:tcW w:w="200" w:type="dxa"/>
            <w:vAlign w:val="bottom"/>
            <w:tcBorders>
              <w:top w:val="single" w:sz="8" w:color="F0FFFF"/>
              <w:right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F0FFFF"/>
            </w:tcBorders>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Property and equipment used for rental program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5 years</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(17,553)</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60" w:type="dxa"/>
            <w:vAlign w:val="bottom"/>
            <w:gridSpan w:val="4"/>
            <w:shd w:val="clear" w:color="auto" w:fill="F0FFFF"/>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right w:val="single" w:sz="8" w:color="F0FFFF"/>
            </w:tcBorders>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F0FFFF"/>
          </w:tcPr>
          <w:p>
            <w:pPr>
              <w:spacing w:after="0"/>
              <w:rPr>
                <w:sz w:val="18"/>
                <w:szCs w:val="18"/>
                <w:color w:val="auto"/>
              </w:rPr>
            </w:pPr>
          </w:p>
        </w:tc>
        <w:tc>
          <w:tcPr>
            <w:tcW w:w="10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4"/>
          </w:tcPr>
          <w:p>
            <w:pPr>
              <w:jc w:val="center"/>
              <w:ind w:right="120"/>
              <w:spacing w:after="0" w:line="201" w:lineRule="exact"/>
              <w:rPr>
                <w:sz w:val="20"/>
                <w:szCs w:val="20"/>
                <w:color w:val="auto"/>
              </w:rPr>
            </w:pPr>
            <w:r>
              <w:rPr>
                <w:rFonts w:ascii="Arial" w:cs="Arial" w:eastAsia="Arial" w:hAnsi="Arial"/>
                <w:sz w:val="18"/>
                <w:szCs w:val="18"/>
                <w:color w:val="auto"/>
                <w:w w:val="94"/>
              </w:rPr>
              <w:t>Lesser of life or</w:t>
            </w:r>
          </w:p>
        </w:tc>
        <w:tc>
          <w:tcPr>
            <w:tcW w:w="34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85"/>
              </w:rPr>
              <w:t>lease term</w:t>
            </w:r>
          </w:p>
        </w:tc>
        <w:tc>
          <w:tcPr>
            <w:tcW w:w="3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336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7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5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5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33,612</w:t>
            </w:r>
          </w:p>
        </w:tc>
        <w:tc>
          <w:tcPr>
            <w:tcW w:w="24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7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(23,028</w:t>
            </w:r>
          </w:p>
        </w:tc>
        <w:tc>
          <w:tcPr>
            <w:tcW w:w="200" w:type="dxa"/>
            <w:vAlign w:val="bottom"/>
            <w:tcBorders>
              <w:top w:val="single" w:sz="8" w:color="F0FFFF"/>
              <w:bottom w:val="single" w:sz="8" w:color="F0FFFF"/>
              <w:right w:val="single" w:sz="8" w:color="F0FFFF"/>
            </w:tcBorders>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3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bottom w:val="single" w:sz="8" w:color="auto"/>
            </w:tcBorders>
            <w:gridSpan w:val="4"/>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7"/>
              </w:rPr>
              <w:t>June 30, 2015</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4"/>
          </w:tcPr>
          <w:p>
            <w:pPr>
              <w:jc w:val="center"/>
              <w:ind w:right="120"/>
              <w:spacing w:after="0" w:line="201" w:lineRule="exact"/>
              <w:rPr>
                <w:sz w:val="20"/>
                <w:szCs w:val="20"/>
                <w:color w:val="auto"/>
              </w:rPr>
            </w:pPr>
            <w:r>
              <w:rPr>
                <w:rFonts w:ascii="Arial" w:cs="Arial" w:eastAsia="Arial" w:hAnsi="Arial"/>
                <w:sz w:val="18"/>
                <w:szCs w:val="18"/>
                <w:color w:val="auto"/>
                <w:w w:val="93"/>
              </w:rPr>
              <w:t>Useful</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5"/>
          </w:tcPr>
          <w:p>
            <w:pPr>
              <w:jc w:val="center"/>
              <w:ind w:right="200"/>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580"/>
              <w:spacing w:after="0"/>
              <w:rPr>
                <w:sz w:val="20"/>
                <w:szCs w:val="20"/>
                <w:color w:val="auto"/>
              </w:rPr>
            </w:pPr>
            <w:r>
              <w:rPr>
                <w:rFonts w:ascii="Arial" w:cs="Arial" w:eastAsia="Arial" w:hAnsi="Arial"/>
                <w:sz w:val="18"/>
                <w:szCs w:val="18"/>
                <w:color w:val="auto"/>
              </w:rPr>
              <w:t>($'s in thousands)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Lives</w:t>
            </w:r>
          </w:p>
        </w:tc>
        <w:tc>
          <w:tcPr>
            <w:tcW w:w="340" w:type="dxa"/>
            <w:vAlign w:val="bottom"/>
          </w:tcPr>
          <w:p>
            <w:pPr>
              <w:spacing w:after="0"/>
              <w:rPr>
                <w:sz w:val="20"/>
                <w:szCs w:val="20"/>
                <w:color w:val="auto"/>
              </w:rPr>
            </w:pPr>
          </w:p>
        </w:tc>
        <w:tc>
          <w:tcPr>
            <w:tcW w:w="800" w:type="dxa"/>
            <w:vAlign w:val="bottom"/>
            <w:gridSpan w:val="2"/>
          </w:tcPr>
          <w:p>
            <w:pPr>
              <w:jc w:val="center"/>
              <w:ind w:right="270"/>
              <w:spacing w:after="0"/>
              <w:rPr>
                <w:sz w:val="20"/>
                <w:szCs w:val="20"/>
                <w:color w:val="auto"/>
              </w:rPr>
            </w:pPr>
            <w:r>
              <w:rPr>
                <w:rFonts w:ascii="Arial" w:cs="Arial" w:eastAsia="Arial" w:hAnsi="Arial"/>
                <w:sz w:val="18"/>
                <w:szCs w:val="18"/>
                <w:color w:val="auto"/>
                <w:w w:val="86"/>
              </w:rPr>
              <w:t>Cost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Depreciation</w:t>
            </w:r>
          </w:p>
        </w:tc>
        <w:tc>
          <w:tcPr>
            <w:tcW w:w="80" w:type="dxa"/>
            <w:vAlign w:val="bottom"/>
          </w:tcPr>
          <w:p>
            <w:pPr>
              <w:spacing w:after="0"/>
              <w:rPr>
                <w:sz w:val="20"/>
                <w:szCs w:val="20"/>
                <w:color w:val="auto"/>
              </w:rPr>
            </w:pPr>
          </w:p>
        </w:tc>
        <w:tc>
          <w:tcPr>
            <w:tcW w:w="1140" w:type="dxa"/>
            <w:vAlign w:val="bottom"/>
            <w:gridSpan w:val="4"/>
          </w:tcPr>
          <w:p>
            <w:pPr>
              <w:ind w:left="340"/>
              <w:spacing w:after="0"/>
              <w:rPr>
                <w:sz w:val="20"/>
                <w:szCs w:val="20"/>
                <w:color w:val="auto"/>
              </w:rPr>
            </w:pPr>
            <w:r>
              <w:rPr>
                <w:rFonts w:ascii="Arial" w:cs="Arial" w:eastAsia="Arial" w:hAnsi="Arial"/>
                <w:sz w:val="18"/>
                <w:szCs w:val="18"/>
                <w:color w:val="auto"/>
              </w:rPr>
              <w:t>Net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top w:val="single" w:sz="8" w:color="F0FFFF"/>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w w:val="99"/>
              </w:rPr>
              <w:t>Computer equipment and purchased software</w:t>
            </w:r>
          </w:p>
        </w:tc>
        <w:tc>
          <w:tcPr>
            <w:tcW w:w="120" w:type="dxa"/>
            <w:vAlign w:val="bottom"/>
            <w:tcBorders>
              <w:top w:val="single" w:sz="8" w:color="F0FFFF"/>
            </w:tcBorders>
            <w:shd w:val="clear" w:color="auto" w:fill="F0FFFF"/>
          </w:tcPr>
          <w:p>
            <w:pPr>
              <w:spacing w:after="0"/>
              <w:rPr>
                <w:sz w:val="18"/>
                <w:szCs w:val="18"/>
                <w:color w:val="auto"/>
              </w:rPr>
            </w:pPr>
          </w:p>
        </w:tc>
        <w:tc>
          <w:tcPr>
            <w:tcW w:w="7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40" w:type="dxa"/>
            <w:vAlign w:val="bottom"/>
            <w:tcBorders>
              <w:top w:val="single" w:sz="8" w:color="auto"/>
            </w:tcBorders>
            <w:gridSpan w:val="3"/>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4,670</w:t>
            </w:r>
          </w:p>
        </w:tc>
        <w:tc>
          <w:tcPr>
            <w:tcW w:w="240" w:type="dxa"/>
            <w:vAlign w:val="bottom"/>
            <w:tcBorders>
              <w:top w:val="single" w:sz="8" w:color="F0FFFF"/>
              <w:right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F0FFFF"/>
              <w:right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F0FFFF"/>
            </w:tcBorders>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Property and equipment used for rental program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5 years</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26,469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(14,476)</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60" w:type="dxa"/>
            <w:vAlign w:val="bottom"/>
            <w:gridSpan w:val="4"/>
            <w:shd w:val="clear" w:color="auto" w:fill="F0FFFF"/>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Borders>
              <w:right w:val="single" w:sz="8" w:color="F0FFFF"/>
            </w:tcBorders>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F0FFFF"/>
          </w:tcPr>
          <w:p>
            <w:pPr>
              <w:spacing w:after="0"/>
              <w:rPr>
                <w:sz w:val="18"/>
                <w:szCs w:val="18"/>
                <w:color w:val="auto"/>
              </w:rPr>
            </w:pPr>
          </w:p>
        </w:tc>
        <w:tc>
          <w:tcPr>
            <w:tcW w:w="10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4"/>
          </w:tcPr>
          <w:p>
            <w:pPr>
              <w:jc w:val="center"/>
              <w:ind w:right="120"/>
              <w:spacing w:after="0" w:line="201" w:lineRule="exact"/>
              <w:rPr>
                <w:sz w:val="20"/>
                <w:szCs w:val="20"/>
                <w:color w:val="auto"/>
              </w:rPr>
            </w:pPr>
            <w:r>
              <w:rPr>
                <w:rFonts w:ascii="Arial" w:cs="Arial" w:eastAsia="Arial" w:hAnsi="Arial"/>
                <w:sz w:val="18"/>
                <w:szCs w:val="18"/>
                <w:color w:val="auto"/>
                <w:w w:val="94"/>
              </w:rPr>
              <w:t>Lesser of life or</w:t>
            </w:r>
          </w:p>
        </w:tc>
        <w:tc>
          <w:tcPr>
            <w:tcW w:w="34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color w:val="auto"/>
                <w:w w:val="85"/>
              </w:rPr>
              <w:t>lease term</w:t>
            </w:r>
          </w:p>
        </w:tc>
        <w:tc>
          <w:tcPr>
            <w:tcW w:w="3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336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7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5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5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32,437</w:t>
            </w:r>
          </w:p>
        </w:tc>
        <w:tc>
          <w:tcPr>
            <w:tcW w:w="24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7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(19,568</w:t>
            </w:r>
          </w:p>
        </w:tc>
        <w:tc>
          <w:tcPr>
            <w:tcW w:w="200" w:type="dxa"/>
            <w:vAlign w:val="bottom"/>
            <w:tcBorders>
              <w:top w:val="single" w:sz="8" w:color="F0FFFF"/>
              <w:bottom w:val="single" w:sz="8" w:color="F0FFFF"/>
              <w:right w:val="single" w:sz="8" w:color="F0FFFF"/>
            </w:tcBorders>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3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bottom w:val="single" w:sz="8" w:color="F0FFFF"/>
            </w:tcBorders>
            <w:gridSpan w:val="2"/>
            <w:vMerge w:val="restart"/>
          </w:tcPr>
          <w:p>
            <w:pPr>
              <w:jc w:val="center"/>
              <w:ind w:right="10"/>
              <w:spacing w:after="0"/>
              <w:rPr>
                <w:sz w:val="20"/>
                <w:szCs w:val="20"/>
                <w:color w:val="auto"/>
              </w:rPr>
            </w:pPr>
            <w:r>
              <w:rPr>
                <w:rFonts w:ascii="Arial" w:cs="Arial" w:eastAsia="Arial" w:hAnsi="Arial"/>
                <w:sz w:val="18"/>
                <w:szCs w:val="18"/>
                <w:color w:val="auto"/>
                <w:w w:val="89"/>
              </w:rPr>
              <w:t>14</w:t>
            </w:r>
          </w:p>
        </w:tc>
        <w:tc>
          <w:tcPr>
            <w:tcW w:w="18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gridSpan w:val="2"/>
            <w:vMerge w:val="continue"/>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under capital lease totaled approximately $2.6 million and $2.1 million as of March 31, 2016 and June 30, 2015, respectively. Capital lease amortization of approximately $69 thousand and $130 thousand is included in depreciation expense for the three-month periods ended March 31, 2016 and 2015, respectively. Capital lease amortization of approximately $208 thousand and $271 thousand is included in depreciation expense for the nine-month periods ended March 31,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was $44 thousand of amortization expense relating to acquired intangible assets during the three and nine months ended March 31, 2016. There was no amortization expense relating to acquired intangible assets during the three and nine months ended March 31, 2015. Intangible asset balances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Beginning</w:t>
            </w:r>
          </w:p>
        </w:tc>
        <w:tc>
          <w:tcPr>
            <w:tcW w:w="2720" w:type="dxa"/>
            <w:vAlign w:val="bottom"/>
            <w:gridSpan w:val="14"/>
          </w:tcPr>
          <w:p>
            <w:pPr>
              <w:ind w:left="20"/>
              <w:spacing w:after="0"/>
              <w:rPr>
                <w:sz w:val="20"/>
                <w:szCs w:val="20"/>
                <w:color w:val="auto"/>
              </w:rPr>
            </w:pPr>
            <w:r>
              <w:rPr>
                <w:rFonts w:ascii="Arial" w:cs="Arial" w:eastAsia="Arial" w:hAnsi="Arial"/>
                <w:sz w:val="18"/>
                <w:szCs w:val="18"/>
                <w:color w:val="auto"/>
                <w:w w:val="93"/>
              </w:rPr>
              <w:t>Nine months ended March 31, 2016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Ending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8"/>
                <w:szCs w:val="18"/>
                <w:color w:val="auto"/>
                <w:w w:val="86"/>
              </w:rPr>
              <w:t>Balance</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6"/>
              </w:rPr>
              <w:t>Additions/</w:t>
            </w: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Balance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July 1, 2015</w:t>
            </w:r>
          </w:p>
        </w:tc>
        <w:tc>
          <w:tcPr>
            <w:tcW w:w="20" w:type="dxa"/>
            <w:vAlign w:val="bottom"/>
          </w:tcPr>
          <w:p>
            <w:pPr>
              <w:spacing w:after="0"/>
              <w:rPr>
                <w:sz w:val="20"/>
                <w:szCs w:val="20"/>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Adjustments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5"/>
          </w:tcPr>
          <w:p>
            <w:pPr>
              <w:spacing w:after="0"/>
              <w:rPr>
                <w:sz w:val="20"/>
                <w:szCs w:val="20"/>
                <w:color w:val="auto"/>
              </w:rPr>
            </w:pPr>
            <w:r>
              <w:rPr>
                <w:rFonts w:ascii="Arial" w:cs="Arial" w:eastAsia="Arial" w:hAnsi="Arial"/>
                <w:sz w:val="18"/>
                <w:szCs w:val="18"/>
                <w:color w:val="auto"/>
              </w:rPr>
              <w:t>Amortization</w:t>
            </w:r>
          </w:p>
        </w:tc>
        <w:tc>
          <w:tcPr>
            <w:tcW w:w="1320" w:type="dxa"/>
            <w:vAlign w:val="bottom"/>
            <w:gridSpan w:val="8"/>
          </w:tcPr>
          <w:p>
            <w:pPr>
              <w:jc w:val="center"/>
              <w:ind w:right="20"/>
              <w:spacing w:after="0"/>
              <w:rPr>
                <w:sz w:val="20"/>
                <w:szCs w:val="20"/>
                <w:color w:val="auto"/>
              </w:rPr>
            </w:pPr>
            <w:r>
              <w:rPr>
                <w:rFonts w:ascii="Arial" w:cs="Arial" w:eastAsia="Arial" w:hAnsi="Arial"/>
                <w:sz w:val="18"/>
                <w:szCs w:val="18"/>
                <w:color w:val="auto"/>
                <w:w w:val="91"/>
              </w:rPr>
              <w:t>March 31, 2016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color w:val="auto"/>
                <w:w w:val="88"/>
              </w:rPr>
              <w:t>Period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86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Goodwill</w:t>
            </w:r>
          </w:p>
        </w:tc>
        <w:tc>
          <w:tcPr>
            <w:tcW w:w="420" w:type="dxa"/>
            <w:vAlign w:val="bottom"/>
            <w:gridSpan w:val="2"/>
            <w:shd w:val="clear" w:color="auto" w:fill="F0FF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18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F0FFFF"/>
          </w:tcPr>
          <w:p>
            <w:pPr>
              <w:spacing w:after="0"/>
              <w:rPr>
                <w:sz w:val="18"/>
                <w:szCs w:val="18"/>
                <w:color w:val="auto"/>
              </w:rPr>
            </w:pPr>
          </w:p>
        </w:tc>
        <w:tc>
          <w:tcPr>
            <w:tcW w:w="1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Indefinite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Trademarks - Indefinite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 years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Brand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 years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 years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 years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30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3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F0FF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4,925</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12,976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2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gridSpan w:val="2"/>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gridSpan w:val="2"/>
          </w:tcPr>
          <w:p>
            <w:pPr>
              <w:spacing w:after="0" w:line="20" w:lineRule="exact"/>
              <w:rPr>
                <w:sz w:val="1"/>
                <w:szCs w:val="1"/>
                <w:color w:val="auto"/>
              </w:rPr>
            </w:pPr>
          </w:p>
        </w:tc>
        <w:tc>
          <w:tcPr>
            <w:tcW w:w="980" w:type="dxa"/>
            <w:vAlign w:val="bottom"/>
            <w:tcBorders>
              <w:top w:val="single" w:sz="8" w:color="F0FFFF"/>
              <w:bottom w:val="single" w:sz="8" w:color="auto"/>
            </w:tcBorders>
            <w:gridSpan w:val="2"/>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4"/>
              </w:rPr>
              <w:t>Beginning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10"/>
          </w:tcPr>
          <w:p>
            <w:pPr>
              <w:ind w:left="220"/>
              <w:spacing w:after="0"/>
              <w:rPr>
                <w:sz w:val="20"/>
                <w:szCs w:val="20"/>
                <w:color w:val="auto"/>
              </w:rPr>
            </w:pPr>
            <w:r>
              <w:rPr>
                <w:rFonts w:ascii="Arial" w:cs="Arial" w:eastAsia="Arial" w:hAnsi="Arial"/>
                <w:sz w:val="18"/>
                <w:szCs w:val="18"/>
                <w:color w:val="auto"/>
                <w:w w:val="98"/>
              </w:rPr>
              <w:t>Year ended June 30, 2015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Ending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Balance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Additions/</w:t>
            </w: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Balance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July 1, 2014</w:t>
            </w:r>
          </w:p>
        </w:tc>
        <w:tc>
          <w:tcPr>
            <w:tcW w:w="6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Adjustments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8"/>
                <w:szCs w:val="18"/>
                <w:color w:val="auto"/>
                <w:w w:val="87"/>
              </w:rPr>
              <w:t>June 30, 2015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color w:val="auto"/>
                <w:w w:val="92"/>
              </w:rPr>
              <w:t>Period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86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Goodwill</w:t>
            </w:r>
          </w:p>
        </w:tc>
        <w:tc>
          <w:tcPr>
            <w:tcW w:w="5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center"/>
              <w:ind w:right="5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F0FFFF"/>
          </w:tcPr>
          <w:p>
            <w:pPr>
              <w:spacing w:after="0"/>
              <w:rPr>
                <w:sz w:val="18"/>
                <w:szCs w:val="18"/>
                <w:color w:val="auto"/>
              </w:rPr>
            </w:pPr>
          </w:p>
        </w:tc>
        <w:tc>
          <w:tcPr>
            <w:tcW w:w="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300" w:type="dxa"/>
            <w:vAlign w:val="bottom"/>
            <w:gridSpan w:val="4"/>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Indefinite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8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Trademarks - Indefinite</w:t>
            </w:r>
          </w:p>
        </w:tc>
        <w:tc>
          <w:tcPr>
            <w:tcW w:w="12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bottom w:val="single" w:sz="8" w:color="F0FFFF"/>
            </w:tcBorders>
          </w:tcPr>
          <w:p>
            <w:pPr>
              <w:spacing w:after="0"/>
              <w:rPr>
                <w:sz w:val="19"/>
                <w:szCs w:val="19"/>
                <w:color w:val="auto"/>
              </w:rPr>
            </w:pPr>
          </w:p>
        </w:tc>
        <w:tc>
          <w:tcPr>
            <w:tcW w:w="60" w:type="dxa"/>
            <w:vAlign w:val="bottom"/>
            <w:tcBorders>
              <w:bottom w:val="single" w:sz="8" w:color="F0FF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60" w:type="dxa"/>
            <w:vAlign w:val="bottom"/>
            <w:tcBorders>
              <w:bottom w:val="single" w:sz="8" w:color="F0FF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6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280" w:type="dxa"/>
            <w:vAlign w:val="bottom"/>
            <w:tcBorders>
              <w:bottom w:val="single" w:sz="8" w:color="F0FFFF"/>
            </w:tcBorders>
          </w:tcPr>
          <w:p>
            <w:pPr>
              <w:spacing w:after="0"/>
              <w:rPr>
                <w:sz w:val="19"/>
                <w:szCs w:val="19"/>
                <w:color w:val="auto"/>
              </w:rPr>
            </w:pPr>
          </w:p>
        </w:tc>
        <w:tc>
          <w:tcPr>
            <w:tcW w:w="86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Indefinite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08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F0FFFF"/>
            </w:tcBorders>
            <w:gridSpan w:val="2"/>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4"/>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6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center"/>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F0FFFF"/>
          </w:tcPr>
          <w:p>
            <w:pPr>
              <w:spacing w:after="0"/>
              <w:rPr>
                <w:sz w:val="19"/>
                <w:szCs w:val="19"/>
                <w:color w:val="auto"/>
              </w:rPr>
            </w:pPr>
          </w:p>
        </w:tc>
        <w:tc>
          <w:tcPr>
            <w:tcW w:w="8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gridSpan w:val="2"/>
            <w:shd w:val="clear" w:color="auto" w:fill="F0FFFF"/>
          </w:tcPr>
          <w:p>
            <w:pPr>
              <w:spacing w:after="0"/>
              <w:rPr>
                <w:sz w:val="19"/>
                <w:szCs w:val="19"/>
                <w:color w:val="auto"/>
              </w:rPr>
            </w:pPr>
          </w:p>
        </w:tc>
        <w:tc>
          <w:tcPr>
            <w:tcW w:w="160" w:type="dxa"/>
            <w:vAlign w:val="bottom"/>
            <w:tcBorders>
              <w:bottom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F0FFFF"/>
              <w:right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shd w:val="clear" w:color="auto" w:fill="F0FFFF"/>
          </w:tcPr>
          <w:p>
            <w:pPr>
              <w:spacing w:after="0" w:line="20" w:lineRule="exact"/>
              <w:rPr>
                <w:sz w:val="1"/>
                <w:szCs w:val="1"/>
                <w:color w:val="auto"/>
              </w:rPr>
            </w:pPr>
          </w:p>
        </w:tc>
        <w:tc>
          <w:tcPr>
            <w:tcW w:w="224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86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60" w:type="dxa"/>
            <w:vAlign w:val="bottom"/>
            <w:shd w:val="clear" w:color="auto" w:fill="F0FF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w w:val="89"/>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080" w:type="dxa"/>
            <w:vAlign w:val="bottom"/>
            <w:gridSpan w:val="2"/>
          </w:tcPr>
          <w:p>
            <w:pPr>
              <w:ind w:left="84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ind w:left="9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(unaudited)</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00" w:type="dxa"/>
            <w:vAlign w:val="bottom"/>
            <w:gridSpan w:val="9"/>
            <w:shd w:val="clear" w:color="auto" w:fill="F0FFFF"/>
          </w:tcPr>
          <w:p>
            <w:pPr>
              <w:spacing w:after="0"/>
              <w:rPr>
                <w:sz w:val="20"/>
                <w:szCs w:val="20"/>
                <w:color w:val="auto"/>
              </w:rPr>
            </w:pPr>
            <w:r>
              <w:rPr>
                <w:rFonts w:ascii="Arial" w:cs="Arial" w:eastAsia="Arial" w:hAnsi="Arial"/>
                <w:sz w:val="18"/>
                <w:szCs w:val="18"/>
                <w:color w:val="auto"/>
                <w:w w:val="89"/>
              </w:rPr>
              <w:t>Accrued compensation and related sales commissions</w:t>
            </w:r>
          </w:p>
        </w:tc>
        <w:tc>
          <w:tcPr>
            <w:tcW w:w="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shd w:val="clear" w:color="auto" w:fill="F0FF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69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w w:val="93"/>
              </w:rPr>
              <w:t>673</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7"/>
          </w:tcPr>
          <w:p>
            <w:pPr>
              <w:jc w:val="right"/>
              <w:ind w:right="10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301</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w w:val="96"/>
              </w:rPr>
              <w:t>Accrued taxes and filing fees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7"/>
            <w:shd w:val="clear" w:color="auto" w:fill="F0FFFF"/>
          </w:tcPr>
          <w:p>
            <w:pPr>
              <w:jc w:val="right"/>
              <w:ind w:right="100"/>
              <w:spacing w:after="0"/>
              <w:rPr>
                <w:sz w:val="20"/>
                <w:szCs w:val="20"/>
                <w:color w:val="auto"/>
              </w:rPr>
            </w:pPr>
            <w:r>
              <w:rPr>
                <w:rFonts w:ascii="Arial" w:cs="Arial" w:eastAsia="Arial" w:hAnsi="Arial"/>
                <w:sz w:val="18"/>
                <w:szCs w:val="18"/>
                <w:color w:val="auto"/>
              </w:rPr>
              <w:t>526</w:t>
            </w:r>
          </w:p>
        </w:tc>
        <w:tc>
          <w:tcPr>
            <w:tcW w:w="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w w:val="93"/>
              </w:rPr>
              <w:t>505</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7"/>
          </w:tcPr>
          <w:p>
            <w:pPr>
              <w:jc w:val="right"/>
              <w:ind w:right="100"/>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390</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00" w:type="dxa"/>
            <w:vAlign w:val="bottom"/>
            <w:gridSpan w:val="4"/>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7"/>
          </w:tcPr>
          <w:p>
            <w:pPr>
              <w:jc w:val="right"/>
              <w:ind w:right="10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213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6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gridSpan w:val="6"/>
            <w:shd w:val="clear" w:color="auto" w:fill="F0FF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340" w:type="dxa"/>
            <w:vAlign w:val="bottom"/>
            <w:tcBorders>
              <w:top w:val="single" w:sz="8" w:color="auto"/>
              <w:right w:val="single" w:sz="8" w:color="F0FFFF"/>
            </w:tcBorders>
            <w:gridSpan w:val="6"/>
            <w:shd w:val="clear" w:color="auto" w:fill="F0FFFF"/>
          </w:tcPr>
          <w:p>
            <w:pPr>
              <w:jc w:val="right"/>
              <w:spacing w:after="0"/>
              <w:rPr>
                <w:sz w:val="20"/>
                <w:szCs w:val="20"/>
                <w:color w:val="auto"/>
              </w:rPr>
            </w:pPr>
            <w:r>
              <w:rPr>
                <w:rFonts w:ascii="Arial" w:cs="Arial" w:eastAsia="Arial" w:hAnsi="Arial"/>
                <w:sz w:val="18"/>
                <w:szCs w:val="18"/>
                <w:color w:val="auto"/>
              </w:rPr>
              <w:t>2,157</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7"/>
          </w:tcPr>
          <w:p>
            <w:pPr>
              <w:jc w:val="right"/>
              <w:ind w:right="40"/>
              <w:spacing w:after="0"/>
              <w:rPr>
                <w:sz w:val="20"/>
                <w:szCs w:val="20"/>
                <w:color w:val="auto"/>
              </w:rPr>
            </w:pPr>
            <w:r>
              <w:rPr>
                <w:rFonts w:ascii="Arial" w:cs="Arial" w:eastAsia="Arial" w:hAnsi="Arial"/>
                <w:sz w:val="18"/>
                <w:szCs w:val="18"/>
                <w:color w:val="auto"/>
              </w:rPr>
              <w:t>(3,339)</w:t>
            </w:r>
          </w:p>
        </w:tc>
        <w:tc>
          <w:tcPr>
            <w:tcW w:w="1380" w:type="dxa"/>
            <w:vAlign w:val="bottom"/>
            <w:gridSpan w:val="7"/>
          </w:tcPr>
          <w:p>
            <w:pPr>
              <w:jc w:val="right"/>
              <w:spacing w:after="0"/>
              <w:rPr>
                <w:sz w:val="20"/>
                <w:szCs w:val="20"/>
                <w:color w:val="auto"/>
              </w:rPr>
            </w:pPr>
            <w:r>
              <w:rPr>
                <w:rFonts w:ascii="Arial" w:cs="Arial" w:eastAsia="Arial" w:hAnsi="Arial"/>
                <w:sz w:val="18"/>
                <w:szCs w:val="18"/>
                <w:color w:val="auto"/>
              </w:rPr>
              <w:t>(2,108)</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1"/>
                <w:szCs w:val="21"/>
                <w:color w:val="auto"/>
              </w:rPr>
            </w:pPr>
          </w:p>
        </w:tc>
        <w:tc>
          <w:tcPr>
            <w:tcW w:w="40" w:type="dxa"/>
            <w:vAlign w:val="bottom"/>
            <w:tcBorders>
              <w:top w:val="single" w:sz="8" w:color="auto"/>
              <w:bottom w:val="single" w:sz="8" w:color="auto"/>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ind w:right="692"/>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360" w:type="dxa"/>
            <w:vAlign w:val="bottom"/>
            <w:tcBorders>
              <w:top w:val="single" w:sz="8" w:color="auto"/>
              <w:bottom w:val="single" w:sz="8" w:color="auto"/>
              <w:right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F0FFFF"/>
            </w:tcBorders>
            <w:gridSpan w:val="2"/>
            <w:vMerge w:val="restart"/>
          </w:tcPr>
          <w:p>
            <w:pPr>
              <w:jc w:val="center"/>
              <w:ind w:right="570"/>
              <w:spacing w:after="0"/>
              <w:rPr>
                <w:sz w:val="20"/>
                <w:szCs w:val="20"/>
                <w:color w:val="auto"/>
              </w:rPr>
            </w:pPr>
            <w:r>
              <w:rPr>
                <w:rFonts w:ascii="Arial" w:cs="Arial" w:eastAsia="Arial" w:hAnsi="Arial"/>
                <w:sz w:val="18"/>
                <w:szCs w:val="18"/>
                <w:color w:val="auto"/>
                <w:w w:val="89"/>
              </w:rPr>
              <w:t>15</w:t>
            </w: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8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gridSpan w:val="2"/>
            <w:vMerge w:val="continue"/>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asset-based revolving line of credit facility (the “Avidbank Line of Credit”) of up to $7.0 million. The outstanding balance of the amounts advanced under the Avidbank Line of Credit bear interest at 2% above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five percent (5%), whichever is higher. Avidbank also made a three-year term loan to the Company in the principal amount of $3.0 million (the “Term Loan”). The Term Loan was used by the Company to repay to Avidbank an advance that had been made to the Company under the Avidbank Line of Credit in December 2015, and which had been used by the Company to pay for the VendScreen business. The Term Loan provides that interest only is payable monthly during year one, interest and principal is payable monthly during years two and three, and all outstanding principal and accrued interest is due and payable on the third anniversary of the Term Loan. The Term Loan bears interest at an annual rate equal to 1.75% above the prime rate as published from time to time by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Wall Street Journal</w:t>
      </w:r>
      <w:r>
        <w:rPr>
          <w:rFonts w:ascii="Arial" w:cs="Arial" w:eastAsia="Arial" w:hAnsi="Arial"/>
          <w:sz w:val="17"/>
          <w:szCs w:val="17"/>
          <w:color w:val="auto"/>
        </w:rPr>
        <w:t>, or five percent (5%), whichever is higher. The Amendment increased the amount available under the Avidbank Line of Credit to $7.5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less the amount then outstanding under the Term Loan.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2016, the Company entered into a Loan and Security Agreement and other ancillary documents (the “Heritage Loan Documents”) with Heritage Bank of Commerce (“Heritage Bank”), providing for a secured asset-based revolving line of credit in an amount of up to $12.0 million (the “Heritage Line of Credit”).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utilized approximately $7.0 million under the Heritage Line of Credit to satisfy the existing Avidbank Line of Credit and related Term Loan, and approximately $100 thousand under the Heritage Line of Credit to pay closing fees, recorded as a debt discount, of Heritage Bank. The amount of advances remaining available to the Company under the Heritage Line of Credit as of March 31, 2016 was approximately $4.8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Heritage Loan Documents provide that the aggregate amount of advances under the Heritage Line of Credit shall not exceed the lesser of (i) $12.0 million, or (ii) eighty-five percent (85%) of license and transaction fee revenue (as is reflected as such in the Company’s consolidated statement of operations) for the preceding three (3) calendar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daily balance of the amounts advanced under the Heritage Line of Credit will bear interest at 2.25% above the prime rate as published from time to time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At March 31, 2016, this prime rate was 3.50%. Interest is payable by the Company to Heritage Bank on a monthly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Heritage Line of Credit and the Company’s obligations under the Heritage Loan Documents are secured by substantially all of the Company’s assets, including its intellectual property.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maturity date of the Heritage Line of Credit is March 29, 2017. 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Heritage Loan Documents contain customary representations and warranties and affirmative and negative covenants applicable to the Company. The Heritage Loan Documents also require the Company to achieve a minimum Adjusted EBITDA, as defined in the Heritage Loan Documents, measured on a quarterly basis. The Heritage Loan Documents also require that the number of the Company’s connections as of the end of each fiscal quarter shall not decrease by more than five percent as compared to the number of the Company’s connections as of the end of the immediately prior fiscal quarter.</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Heritage Loan Documents also contain customary events of default, including, among other things, payment defaults, breaches of covenants, and bankruptcy and insolvency events, subject to grace periods in certain instances. Upon an event of default, Heritage Bank may declare all of the outstanding obligations of the Company under the Heritage Line of Credit and Heritage Loan Documents to be immediately due and payable, and exercise any other rights provided for under the Heritage Loan Documents, including foreclosing on the collateral securing the Heritage Loan Documents.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Heritage Loan Documents, the Company issued to Heritage Bank warrants to purchase up to 23,978 shares of common stock of the Company at an exercise price of $5.00 per share. The warrants are exercisable at any time through March 29, 2021 subject to earlier termination in the event of a business combination (as defined in the Heritage Loan Documents).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warrants of $52 thousand was charged against the current obligation under the line of credit and will be amortized on a straight-line basis over 12 months. The Black-Sholes method was used to calculate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due on the Heritage line of credit was $7.1 million and $4.0 million at March 31, 2016 and June 30, 2015, respectively. As of March 31, 2016 $4.9 million was available under our line of credit.</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18"/>
                <w:szCs w:val="18"/>
                <w:color w:val="auto"/>
                <w:w w:val="92"/>
              </w:rPr>
              <w:t>As of or Nine Months Ended</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F0F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spacing w:after="0"/>
              <w:rPr>
                <w:sz w:val="20"/>
                <w:szCs w:val="20"/>
                <w:color w:val="auto"/>
              </w:rPr>
            </w:pPr>
            <w:r>
              <w:rPr>
                <w:rFonts w:ascii="Arial" w:cs="Arial" w:eastAsia="Arial" w:hAnsi="Arial"/>
                <w:sz w:val="18"/>
                <w:szCs w:val="18"/>
                <w:color w:val="auto"/>
              </w:rPr>
              <w:t>Principal balance at period-end</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7,111</w:t>
            </w:r>
          </w:p>
        </w:tc>
        <w:tc>
          <w:tcPr>
            <w:tcW w:w="220" w:type="dxa"/>
            <w:vAlign w:val="bottom"/>
            <w:shd w:val="clear" w:color="auto" w:fill="F0FFFF"/>
          </w:tcPr>
          <w:p>
            <w:pPr>
              <w:spacing w:after="0"/>
              <w:rPr>
                <w:sz w:val="18"/>
                <w:szCs w:val="18"/>
                <w:color w:val="auto"/>
              </w:rPr>
            </w:pPr>
          </w:p>
        </w:tc>
        <w:tc>
          <w:tcPr>
            <w:tcW w:w="360" w:type="dxa"/>
            <w:vAlign w:val="bottom"/>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Unamortized discount</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0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Line of credit, net</w:t>
            </w: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6,980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Maximum amount outstanding at any month end</w:t>
            </w: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220" w:type="dxa"/>
            <w:vAlign w:val="bottom"/>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7,111</w:t>
            </w:r>
          </w:p>
        </w:tc>
        <w:tc>
          <w:tcPr>
            <w:tcW w:w="220" w:type="dxa"/>
            <w:vAlign w:val="bottom"/>
            <w:vMerge w:val="continue"/>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5,000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spacing w:after="0"/>
              <w:rPr>
                <w:sz w:val="20"/>
                <w:szCs w:val="20"/>
                <w:color w:val="auto"/>
              </w:rPr>
            </w:pPr>
            <w:r>
              <w:rPr>
                <w:rFonts w:ascii="Arial" w:cs="Arial" w:eastAsia="Arial" w:hAnsi="Arial"/>
                <w:sz w:val="18"/>
                <w:szCs w:val="18"/>
                <w:color w:val="auto"/>
              </w:rPr>
              <w:t>Average balance outstanding during the period</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4,230</w:t>
            </w:r>
          </w:p>
        </w:tc>
        <w:tc>
          <w:tcPr>
            <w:tcW w:w="360" w:type="dxa"/>
            <w:vAlign w:val="bottom"/>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Weighted-average interest rate: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As of the period-end</w:t>
            </w:r>
          </w:p>
        </w:tc>
        <w:tc>
          <w:tcPr>
            <w:tcW w:w="22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020" w:type="dxa"/>
            <w:vAlign w:val="bottom"/>
          </w:tcPr>
          <w:p>
            <w:pPr>
              <w:ind w:left="320"/>
              <w:spacing w:after="0"/>
              <w:rPr>
                <w:sz w:val="20"/>
                <w:szCs w:val="20"/>
                <w:color w:val="auto"/>
              </w:rPr>
            </w:pPr>
            <w:r>
              <w:rPr>
                <w:rFonts w:ascii="Arial" w:cs="Arial" w:eastAsia="Arial" w:hAnsi="Arial"/>
                <w:sz w:val="18"/>
                <w:szCs w:val="18"/>
                <w:color w:val="auto"/>
              </w:rPr>
              <w:t>Paid during the period</w:t>
            </w:r>
          </w:p>
        </w:tc>
        <w:tc>
          <w:tcPr>
            <w:tcW w:w="2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7"/>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As of or Three Months Ended</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F0F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spacing w:after="0"/>
              <w:rPr>
                <w:sz w:val="20"/>
                <w:szCs w:val="20"/>
                <w:color w:val="auto"/>
              </w:rPr>
            </w:pPr>
            <w:r>
              <w:rPr>
                <w:rFonts w:ascii="Arial" w:cs="Arial" w:eastAsia="Arial" w:hAnsi="Arial"/>
                <w:sz w:val="18"/>
                <w:szCs w:val="18"/>
                <w:color w:val="auto"/>
              </w:rPr>
              <w:t>Principal balance at period-end</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7,111</w:t>
            </w:r>
          </w:p>
        </w:tc>
        <w:tc>
          <w:tcPr>
            <w:tcW w:w="220" w:type="dxa"/>
            <w:vAlign w:val="bottom"/>
            <w:shd w:val="clear" w:color="auto" w:fill="F0FFFF"/>
          </w:tcPr>
          <w:p>
            <w:pPr>
              <w:spacing w:after="0"/>
              <w:rPr>
                <w:sz w:val="18"/>
                <w:szCs w:val="18"/>
                <w:color w:val="auto"/>
              </w:rPr>
            </w:pPr>
          </w:p>
        </w:tc>
        <w:tc>
          <w:tcPr>
            <w:tcW w:w="360" w:type="dxa"/>
            <w:vAlign w:val="bottom"/>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Unamortized discount</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0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Line of credit, net</w:t>
            </w: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6,980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Maximum amount outstanding at any month end</w:t>
            </w: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220" w:type="dxa"/>
            <w:vAlign w:val="bottom"/>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7,111</w:t>
            </w:r>
          </w:p>
        </w:tc>
        <w:tc>
          <w:tcPr>
            <w:tcW w:w="220" w:type="dxa"/>
            <w:vAlign w:val="bottom"/>
            <w:vMerge w:val="continue"/>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4,000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spacing w:after="0"/>
              <w:rPr>
                <w:sz w:val="20"/>
                <w:szCs w:val="20"/>
                <w:color w:val="auto"/>
              </w:rPr>
            </w:pPr>
            <w:r>
              <w:rPr>
                <w:rFonts w:ascii="Arial" w:cs="Arial" w:eastAsia="Arial" w:hAnsi="Arial"/>
                <w:sz w:val="18"/>
                <w:szCs w:val="18"/>
                <w:color w:val="auto"/>
              </w:rPr>
              <w:t>Average balance outstanding during the period</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4,564</w:t>
            </w:r>
          </w:p>
        </w:tc>
        <w:tc>
          <w:tcPr>
            <w:tcW w:w="360" w:type="dxa"/>
            <w:vAlign w:val="bottom"/>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Weighted-average interest rate: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As of the period-end</w:t>
            </w:r>
          </w:p>
        </w:tc>
        <w:tc>
          <w:tcPr>
            <w:tcW w:w="22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020" w:type="dxa"/>
            <w:vAlign w:val="bottom"/>
          </w:tcPr>
          <w:p>
            <w:pPr>
              <w:ind w:left="320"/>
              <w:spacing w:after="0"/>
              <w:rPr>
                <w:sz w:val="20"/>
                <w:szCs w:val="20"/>
                <w:color w:val="auto"/>
              </w:rPr>
            </w:pPr>
            <w:r>
              <w:rPr>
                <w:rFonts w:ascii="Arial" w:cs="Arial" w:eastAsia="Arial" w:hAnsi="Arial"/>
                <w:sz w:val="18"/>
                <w:szCs w:val="18"/>
                <w:color w:val="auto"/>
              </w:rPr>
              <w:t>Paid during the period</w:t>
            </w:r>
          </w:p>
        </w:tc>
        <w:tc>
          <w:tcPr>
            <w:tcW w:w="2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on the applicable line of credit was approximately $48 thousand and $55 thousand during each of the three months ended March 31, 2016 and 2015, respectively. Interest expense on the applicable line of credit was approximately $156 thousand and $158 thousand during the nine months ended March 31,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periodically enters into capital lease obligations to finance certain office and network equipment for use in its daily operations. During the nine-month period ended March 31, 2016 the Company entered into capital lease obligations of $444 thousand. The interest rates on these obligations ranged from approximately 5.6% to 9.0%. The value of the acquired equipment is included in property and equipment and amortized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LOAN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other loan agreements to finance the purchase of various assets as needed, including computer equipment, insurance premiums, network equipment and software for use in its operations. During the nine-month period ended March 31, 2016, the Company entered into loan agreements for $103 thousand. The interest rates on these obligations were approximately 5.3%. The value of these financed insurance premiums acquired is included in prepaid expenses and other assets and expensed accordingly.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OF QUICKSTART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2015, the Company assigned its interest in certain finance receivables (various sixty-month QuickStart leases) to third-party finance companies in exchange for cash and the assumption of financing obligations in the aggregate of $1.8 million and $304 thousand, respectively. These assignment transactions contain recourse provisions for the Company which requires the proceeds from the assignment to be treated as long-term debt. The financing obligations range in rate from 9.4% to 9.5%.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long-term debt as of March 31, 2016 and June 30, 2015 are shown in the table below.</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color w:val="auto"/>
              </w:rPr>
              <w:t>June 30,</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 in thousands)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667</w:t>
            </w:r>
          </w:p>
        </w:tc>
        <w:tc>
          <w:tcPr>
            <w:tcW w:w="200" w:type="dxa"/>
            <w:vAlign w:val="bottom"/>
            <w:gridSpan w:val="2"/>
            <w:shd w:val="clear" w:color="auto" w:fill="F0FF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338</w:t>
            </w:r>
          </w:p>
        </w:tc>
        <w:tc>
          <w:tcPr>
            <w:tcW w:w="40" w:type="dxa"/>
            <w:vAlign w:val="bottom"/>
            <w:shd w:val="clear" w:color="auto" w:fill="F0FF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loan agreements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Lease financing obligations</w:t>
            </w:r>
          </w:p>
        </w:tc>
        <w:tc>
          <w:tcPr>
            <w:tcW w:w="160" w:type="dxa"/>
            <w:vAlign w:val="bottom"/>
            <w:shd w:val="clear" w:color="auto" w:fill="F0FFFF"/>
          </w:tcPr>
          <w:p>
            <w:pPr>
              <w:spacing w:after="0"/>
              <w:rPr>
                <w:sz w:val="21"/>
                <w:szCs w:val="21"/>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1,688</w:t>
            </w:r>
          </w:p>
        </w:tc>
        <w:tc>
          <w:tcPr>
            <w:tcW w:w="14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1,994</w:t>
            </w:r>
          </w:p>
        </w:tc>
        <w:tc>
          <w:tcPr>
            <w:tcW w:w="40" w:type="dxa"/>
            <w:vAlign w:val="bottom"/>
            <w:shd w:val="clear" w:color="auto" w:fill="F0FFFF"/>
          </w:tcPr>
          <w:p>
            <w:pPr>
              <w:spacing w:after="0"/>
              <w:rPr>
                <w:sz w:val="21"/>
                <w:szCs w:val="21"/>
                <w:color w:val="auto"/>
              </w:rPr>
            </w:pPr>
          </w:p>
        </w:tc>
      </w:tr>
      <w:tr>
        <w:trPr>
          <w:trHeight w:val="203"/>
        </w:trPr>
        <w:tc>
          <w:tcPr>
            <w:tcW w:w="520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2,367</w:t>
            </w:r>
          </w:p>
        </w:tc>
        <w:tc>
          <w:tcPr>
            <w:tcW w:w="14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2,332</w:t>
            </w:r>
          </w:p>
        </w:tc>
        <w:tc>
          <w:tcPr>
            <w:tcW w:w="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r>
      <w:tr>
        <w:trPr>
          <w:trHeight w:val="250"/>
        </w:trPr>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625</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478</w:t>
            </w:r>
          </w:p>
        </w:tc>
        <w:tc>
          <w:tcPr>
            <w:tcW w:w="40" w:type="dxa"/>
            <w:vAlign w:val="bottom"/>
            <w:shd w:val="clear" w:color="auto" w:fill="F0FFFF"/>
          </w:tcPr>
          <w:p>
            <w:pPr>
              <w:spacing w:after="0"/>
              <w:rPr>
                <w:sz w:val="21"/>
                <w:szCs w:val="21"/>
                <w:color w:val="auto"/>
              </w:rPr>
            </w:pPr>
          </w:p>
        </w:tc>
      </w:tr>
      <w:tr>
        <w:trPr>
          <w:trHeight w:val="217"/>
        </w:trPr>
        <w:tc>
          <w:tcPr>
            <w:tcW w:w="52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4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for each of the fiscal years following March 31, 2016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w w:val="99"/>
              </w:rPr>
              <w:t>2016 (remaining three months)</w:t>
            </w:r>
          </w:p>
        </w:tc>
        <w:tc>
          <w:tcPr>
            <w:tcW w:w="2380" w:type="dxa"/>
            <w:vAlign w:val="bottom"/>
            <w:gridSpan w:val="2"/>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19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628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19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4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1920" w:type="dxa"/>
            <w:vAlign w:val="bottom"/>
            <w:tcBorders>
              <w:bottom w:val="single" w:sz="8" w:color="F0FF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1"/>
                <w:szCs w:val="21"/>
                <w:color w:val="auto"/>
              </w:rPr>
            </w:pPr>
          </w:p>
        </w:tc>
        <w:tc>
          <w:tcPr>
            <w:tcW w:w="2480" w:type="dxa"/>
            <w:vAlign w:val="bottom"/>
            <w:tcBorders>
              <w:bottom w:val="single" w:sz="8" w:color="F0FFFF"/>
            </w:tcBorders>
            <w:shd w:val="clear" w:color="auto" w:fill="F0FFFF"/>
          </w:tcPr>
          <w:p>
            <w:pPr>
              <w:spacing w:after="0"/>
              <w:rPr>
                <w:sz w:val="21"/>
                <w:szCs w:val="21"/>
                <w:color w:val="auto"/>
              </w:rPr>
            </w:pPr>
          </w:p>
        </w:tc>
        <w:tc>
          <w:tcPr>
            <w:tcW w:w="192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auto"/>
            </w:tcBorders>
            <w:shd w:val="clear" w:color="auto" w:fill="F0FF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2,367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80" w:type="dxa"/>
            <w:vAlign w:val="bottom"/>
            <w:tcBorders>
              <w:top w:val="single" w:sz="8" w:color="F0FFFF"/>
            </w:tcBorders>
          </w:tcPr>
          <w:p>
            <w:pPr>
              <w:spacing w:after="0" w:line="20" w:lineRule="exact"/>
              <w:rPr>
                <w:sz w:val="1"/>
                <w:szCs w:val="1"/>
                <w:color w:val="auto"/>
              </w:rPr>
            </w:pPr>
          </w:p>
        </w:tc>
        <w:tc>
          <w:tcPr>
            <w:tcW w:w="1920" w:type="dxa"/>
            <w:vAlign w:val="bottom"/>
            <w:tcBorders>
              <w:top w:val="single" w:sz="8" w:color="F0FFFF"/>
              <w:bottom w:val="single" w:sz="8" w:color="F0FFFF"/>
            </w:tcBorders>
            <w:vMerge w:val="restart"/>
          </w:tcPr>
          <w:p>
            <w:pPr>
              <w:jc w:val="right"/>
              <w:ind w:right="1370"/>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880" w:type="dxa"/>
            <w:vAlign w:val="bottom"/>
            <w:tcBorders>
              <w:bottom w:val="single" w:sz="8" w:color="DCDCDC"/>
            </w:tcBorders>
          </w:tcPr>
          <w:p>
            <w:pPr>
              <w:spacing w:after="0"/>
              <w:rPr>
                <w:sz w:val="24"/>
                <w:szCs w:val="24"/>
                <w:color w:val="auto"/>
              </w:rPr>
            </w:pPr>
          </w:p>
        </w:tc>
        <w:tc>
          <w:tcPr>
            <w:tcW w:w="2480" w:type="dxa"/>
            <w:vAlign w:val="bottom"/>
            <w:tcBorders>
              <w:bottom w:val="single" w:sz="8" w:color="DCDCDC"/>
            </w:tcBorders>
          </w:tcPr>
          <w:p>
            <w:pPr>
              <w:spacing w:after="0"/>
              <w:rPr>
                <w:sz w:val="24"/>
                <w:szCs w:val="24"/>
                <w:color w:val="auto"/>
              </w:rPr>
            </w:pPr>
          </w:p>
        </w:tc>
        <w:tc>
          <w:tcPr>
            <w:tcW w:w="1920" w:type="dxa"/>
            <w:vAlign w:val="bottom"/>
            <w:tcBorders>
              <w:bottom w:val="single" w:sz="8" w:color="DCDCDC"/>
            </w:tcBorders>
            <w:vMerge w:val="continue"/>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 that is required to be measured at fair value as of March 31, 2016 and June 30, 2015:</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spacing w:after="0"/>
              <w:rPr>
                <w:sz w:val="20"/>
                <w:szCs w:val="20"/>
                <w:color w:val="auto"/>
              </w:rPr>
            </w:pPr>
            <w:r>
              <w:rPr>
                <w:rFonts w:ascii="Arial" w:cs="Arial" w:eastAsia="Arial" w:hAnsi="Arial"/>
                <w:sz w:val="18"/>
                <w:szCs w:val="18"/>
                <w:color w:val="auto"/>
              </w:rPr>
              <w:t>March 31, 2016 (unaudited)</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3.4 million warrants</w:t>
            </w: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exercisable at $2.6058 from September 18, 2011 through</w:t>
            </w: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September 18, 2016</w:t>
            </w:r>
          </w:p>
        </w:tc>
        <w:tc>
          <w:tcPr>
            <w:tcW w:w="1000" w:type="dxa"/>
            <w:vAlign w:val="bottom"/>
            <w:gridSpan w:val="2"/>
            <w:shd w:val="clear" w:color="auto" w:fill="F0FF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5,964</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5,964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8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1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3.9 million warrants</w:t>
            </w: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exercisable at $2.6058 from September 18, 2011 through</w:t>
            </w: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September 18, 2016</w:t>
            </w:r>
          </w:p>
        </w:tc>
        <w:tc>
          <w:tcPr>
            <w:tcW w:w="1000" w:type="dxa"/>
            <w:vAlign w:val="bottom"/>
            <w:gridSpan w:val="2"/>
            <w:shd w:val="clear" w:color="auto" w:fill="F0FF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June 30, 2015, the Company held no Level 1 or Level 2 financial instruments.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2016 and June 30, 2015, the fair values of the Company’s Level 3 financial instrument totaled $5.964 million and $978 thousand for 3.4 million and 3.9 million warrants, respectively. The Level 3 financial instrument consists of common stock warrants issued by the Company in March 2011, which include features requiring liability treatment of the warrants. The fair value of warrants issued in March 2011 to purchase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three and nine months ended March 31, 2016 and 2015.</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and nine months ended March 31,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89"/>
              </w:rPr>
              <w:t>Three months ended</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8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March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F0FFFF"/>
          </w:tcPr>
          <w:p>
            <w:pPr>
              <w:jc w:val="right"/>
              <w:ind w:right="65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F0FFFF"/>
          </w:tcPr>
          <w:p>
            <w:pPr>
              <w:jc w:val="right"/>
              <w:ind w:right="250"/>
              <w:spacing w:after="0"/>
              <w:rPr>
                <w:sz w:val="20"/>
                <w:szCs w:val="20"/>
                <w:color w:val="auto"/>
              </w:rPr>
            </w:pPr>
            <w:r>
              <w:rPr>
                <w:rFonts w:ascii="Arial" w:cs="Arial" w:eastAsia="Arial" w:hAnsi="Arial"/>
                <w:sz w:val="18"/>
                <w:szCs w:val="18"/>
                <w:color w:val="auto"/>
                <w:w w:val="91"/>
              </w:rPr>
              <w:t>(1,865) $</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Increase due to change in fair value of warrant liabilities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(4,805)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2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Reduction due to warrant exercises</w:t>
            </w:r>
          </w:p>
        </w:tc>
        <w:tc>
          <w:tcPr>
            <w:tcW w:w="840" w:type="dxa"/>
            <w:vAlign w:val="bottom"/>
            <w:shd w:val="clear" w:color="auto" w:fill="F0FFFF"/>
          </w:tcPr>
          <w:p>
            <w:pPr>
              <w:spacing w:after="0"/>
              <w:rPr>
                <w:sz w:val="21"/>
                <w:szCs w:val="21"/>
                <w:color w:val="auto"/>
              </w:rPr>
            </w:pPr>
          </w:p>
        </w:tc>
        <w:tc>
          <w:tcPr>
            <w:tcW w:w="6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706</w:t>
            </w:r>
          </w:p>
        </w:tc>
        <w:tc>
          <w:tcPr>
            <w:tcW w:w="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200" w:type="dxa"/>
            <w:vAlign w:val="bottom"/>
            <w:tcBorders>
              <w:top w:val="single" w:sz="8" w:color="F0FFFF"/>
            </w:tcBorders>
          </w:tcPr>
          <w:p>
            <w:pPr>
              <w:ind w:left="18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(5,964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89"/>
              </w:rPr>
              <w:t>Nine months ended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2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8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March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F0FFFF"/>
          </w:tcPr>
          <w:p>
            <w:pPr>
              <w:jc w:val="right"/>
              <w:ind w:right="65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F0FFFF"/>
          </w:tcPr>
          <w:p>
            <w:pPr>
              <w:jc w:val="right"/>
              <w:ind w:right="250"/>
              <w:spacing w:after="0"/>
              <w:rPr>
                <w:sz w:val="20"/>
                <w:szCs w:val="20"/>
                <w:color w:val="auto"/>
              </w:rPr>
            </w:pPr>
            <w:r>
              <w:rPr>
                <w:rFonts w:ascii="Arial" w:cs="Arial" w:eastAsia="Arial" w:hAnsi="Arial"/>
                <w:sz w:val="18"/>
                <w:szCs w:val="18"/>
                <w:color w:val="auto"/>
              </w:rPr>
              <w:t>(978) $</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Increase due to change in fair value of warrant liabilities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(5,692)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2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Reduction due to warrant exercises</w:t>
            </w:r>
          </w:p>
        </w:tc>
        <w:tc>
          <w:tcPr>
            <w:tcW w:w="840" w:type="dxa"/>
            <w:vAlign w:val="bottom"/>
            <w:shd w:val="clear" w:color="auto" w:fill="F0FFFF"/>
          </w:tcPr>
          <w:p>
            <w:pPr>
              <w:spacing w:after="0"/>
              <w:rPr>
                <w:sz w:val="21"/>
                <w:szCs w:val="21"/>
                <w:color w:val="auto"/>
              </w:rPr>
            </w:pPr>
          </w:p>
        </w:tc>
        <w:tc>
          <w:tcPr>
            <w:tcW w:w="6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706</w:t>
            </w:r>
          </w:p>
        </w:tc>
        <w:tc>
          <w:tcPr>
            <w:tcW w:w="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200" w:type="dxa"/>
            <w:vAlign w:val="bottom"/>
            <w:tcBorders>
              <w:top w:val="single" w:sz="8" w:color="F0FFFF"/>
            </w:tcBorders>
          </w:tcPr>
          <w:p>
            <w:pPr>
              <w:ind w:left="18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(5,964</w:t>
            </w:r>
          </w:p>
        </w:tc>
        <w:tc>
          <w:tcPr>
            <w:tcW w:w="1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2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6920" w:type="dxa"/>
            <w:vAlign w:val="bottom"/>
            <w:tcBorders>
              <w:bottom w:val="single" w:sz="8" w:color="DCDCDC"/>
            </w:tcBorders>
            <w:gridSpan w:val="2"/>
            <w:vMerge w:val="continue"/>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2016, 500,000 warrants were exercised. In order to estimate the fair value effect, the fair values per warrant as determined by the independent third party as of December 31, 2015 and March 31, 2016 were used as reference points. The fair value on the day of exercise of each tranche of warrants is calculated between these two reference points based on the change in the closing USAT stock price from December 31, 2015 to the day of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634,100 exercises during the three months ended March 31, 2016, including the 500,000 warrants discussed in Note 10. During the nine months ended March 31, 2016, warrants were exercised at $2.6058 per share resulting in the issuance of 645,100 shares of common stock with proceeds of $1.681 million. The fair value of the 500,000 warrants was reclassed from liability to equity upon exercise. There were no exercises of warrants during the three or nine months ended March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9"/>
              </w:rPr>
              <w:t>Warrant activity for the three and nine-month periods ended March 31, 2016 was as follows: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2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Warrants</w:t>
            </w:r>
          </w:p>
        </w:tc>
      </w:tr>
      <w:tr>
        <w:trPr>
          <w:trHeight w:val="216"/>
        </w:trPr>
        <w:tc>
          <w:tcPr>
            <w:tcW w:w="2880" w:type="dxa"/>
            <w:vAlign w:val="bottom"/>
          </w:tcPr>
          <w:p>
            <w:pPr>
              <w:spacing w:after="0"/>
              <w:rPr>
                <w:sz w:val="18"/>
                <w:szCs w:val="18"/>
                <w:color w:val="auto"/>
              </w:rPr>
            </w:pPr>
          </w:p>
        </w:tc>
        <w:tc>
          <w:tcPr>
            <w:tcW w:w="4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2015</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Issued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(11,000)</w:t>
            </w:r>
          </w:p>
        </w:tc>
      </w:tr>
      <w:tr>
        <w:trPr>
          <w:trHeight w:val="237"/>
        </w:trPr>
        <w:tc>
          <w:tcPr>
            <w:tcW w:w="2880" w:type="dxa"/>
            <w:vAlign w:val="bottom"/>
          </w:tcPr>
          <w:p>
            <w:pPr>
              <w:spacing w:after="0"/>
              <w:rPr>
                <w:sz w:val="20"/>
                <w:szCs w:val="20"/>
                <w:color w:val="auto"/>
              </w:rPr>
            </w:pPr>
          </w:p>
        </w:tc>
        <w:tc>
          <w:tcPr>
            <w:tcW w:w="4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r>
      <w:tr>
        <w:trPr>
          <w:trHeight w:val="236"/>
        </w:trPr>
        <w:tc>
          <w:tcPr>
            <w:tcW w:w="288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September 30, 2015</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80" w:type="dxa"/>
            <w:vAlign w:val="bottom"/>
            <w:tcBorders>
              <w:bottom w:val="single" w:sz="8" w:color="F0FFFF"/>
            </w:tcBorders>
            <w:shd w:val="clear" w:color="auto" w:fill="F0FFFF"/>
          </w:tcPr>
          <w:p>
            <w:pPr>
              <w:spacing w:after="0"/>
              <w:rPr>
                <w:sz w:val="20"/>
                <w:szCs w:val="20"/>
                <w:color w:val="auto"/>
              </w:rPr>
            </w:pPr>
          </w:p>
        </w:tc>
      </w:tr>
      <w:tr>
        <w:trPr>
          <w:trHeight w:val="203"/>
        </w:trPr>
        <w:tc>
          <w:tcPr>
            <w:tcW w:w="288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Arial" w:cs="Arial" w:eastAsia="Arial" w:hAnsi="Arial"/>
                <w:sz w:val="18"/>
                <w:szCs w:val="18"/>
                <w:color w:val="auto"/>
              </w:rPr>
              <w:t>Issued</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16"/>
        </w:trPr>
        <w:tc>
          <w:tcPr>
            <w:tcW w:w="288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4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r>
      <w:tr>
        <w:trPr>
          <w:trHeight w:val="263"/>
        </w:trPr>
        <w:tc>
          <w:tcPr>
            <w:tcW w:w="2880" w:type="dxa"/>
            <w:vAlign w:val="bottom"/>
          </w:tcPr>
          <w:p>
            <w:pPr>
              <w:spacing w:after="0"/>
              <w:rPr>
                <w:sz w:val="22"/>
                <w:szCs w:val="22"/>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December 31, 2015</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80" w:type="dxa"/>
            <w:vAlign w:val="bottom"/>
            <w:tcBorders>
              <w:bottom w:val="single" w:sz="8" w:color="F0FFFF"/>
            </w:tcBorders>
            <w:shd w:val="clear" w:color="auto" w:fill="F0FFFF"/>
          </w:tcPr>
          <w:p>
            <w:pPr>
              <w:spacing w:after="0"/>
              <w:rPr>
                <w:sz w:val="22"/>
                <w:szCs w:val="22"/>
                <w:color w:val="auto"/>
              </w:rPr>
            </w:pPr>
          </w:p>
        </w:tc>
      </w:tr>
      <w:tr>
        <w:trPr>
          <w:trHeight w:val="203"/>
        </w:trPr>
        <w:tc>
          <w:tcPr>
            <w:tcW w:w="2880" w:type="dxa"/>
            <w:vAlign w:val="bottom"/>
          </w:tcPr>
          <w:p>
            <w:pPr>
              <w:spacing w:after="0"/>
              <w:rPr>
                <w:sz w:val="17"/>
                <w:szCs w:val="17"/>
                <w:color w:val="auto"/>
              </w:rPr>
            </w:pPr>
          </w:p>
        </w:tc>
        <w:tc>
          <w:tcPr>
            <w:tcW w:w="4440" w:type="dxa"/>
            <w:vAlign w:val="bottom"/>
          </w:tcPr>
          <w:p>
            <w:pPr>
              <w:spacing w:after="0" w:line="203" w:lineRule="exact"/>
              <w:rPr>
                <w:sz w:val="20"/>
                <w:szCs w:val="20"/>
                <w:color w:val="auto"/>
              </w:rPr>
            </w:pPr>
            <w:r>
              <w:rPr>
                <w:rFonts w:ascii="Arial" w:cs="Arial" w:eastAsia="Arial" w:hAnsi="Arial"/>
                <w:sz w:val="18"/>
                <w:szCs w:val="18"/>
                <w:color w:val="auto"/>
              </w:rPr>
              <w:t>Issued</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23,978</w:t>
            </w:r>
          </w:p>
        </w:tc>
        <w:tc>
          <w:tcPr>
            <w:tcW w:w="80" w:type="dxa"/>
            <w:vAlign w:val="bottom"/>
          </w:tcPr>
          <w:p>
            <w:pPr>
              <w:spacing w:after="0"/>
              <w:rPr>
                <w:sz w:val="17"/>
                <w:szCs w:val="17"/>
                <w:color w:val="auto"/>
              </w:rPr>
            </w:pPr>
          </w:p>
        </w:tc>
      </w:tr>
      <w:tr>
        <w:trPr>
          <w:trHeight w:val="216"/>
        </w:trPr>
        <w:tc>
          <w:tcPr>
            <w:tcW w:w="288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(634,100)</w:t>
            </w:r>
          </w:p>
        </w:tc>
      </w:tr>
      <w:tr>
        <w:trPr>
          <w:trHeight w:val="237"/>
        </w:trPr>
        <w:tc>
          <w:tcPr>
            <w:tcW w:w="2880" w:type="dxa"/>
            <w:vAlign w:val="bottom"/>
          </w:tcPr>
          <w:p>
            <w:pPr>
              <w:spacing w:after="0"/>
              <w:rPr>
                <w:sz w:val="20"/>
                <w:szCs w:val="20"/>
                <w:color w:val="auto"/>
              </w:rPr>
            </w:pPr>
          </w:p>
        </w:tc>
        <w:tc>
          <w:tcPr>
            <w:tcW w:w="4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r>
      <w:tr>
        <w:trPr>
          <w:trHeight w:val="255"/>
        </w:trPr>
        <w:tc>
          <w:tcPr>
            <w:tcW w:w="2880" w:type="dxa"/>
            <w:vAlign w:val="bottom"/>
          </w:tcPr>
          <w:p>
            <w:pPr>
              <w:spacing w:after="0"/>
              <w:rPr>
                <w:sz w:val="21"/>
                <w:szCs w:val="21"/>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March 31, 2016</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3,687,878</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288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March 31, 2016, income tax benefit/(provision) of $93 thousand and $(88) thousand, respectively, (substantially all deferred income taxes) were recorded. The benefit/(provision) consist of the tax effect of the change in the fair value of warrant liabilities which was treated discretely, offset by a tax benefit based upon loss before income taxes using an estimated annual effective income tax rate of 33% for the fiscal year ending June 30, 2016.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March 31, 2015, income tax provisions of $(138) thousand and $(180) thousand, respectively, (substantially all deferred income taxes) were recorded; of the nine month amount, $(395) thousand was due to the decrease in the applicable tax rate utilized to tax affect the deferred tax assets that was caused by a state income tax law change. The remaining benefit of $215 thousand for the nine months ended March 31, 2015 and the tax provision for the three months ended March 31, 2015 were based upon income (loss) before provision for income taxes using an estimated annual effective income tax rate for the fiscal year ending June 30, 2015 of 64% and a provision for the tax effect of the change in the fair value of warrant liabilities which was treated discretely.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option granted is estimated on the date of the grant using the Black-Scholes option pricing model with the following weighted-average assumptions used for options granted during:</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68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416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160" w:type="dxa"/>
            <w:vAlign w:val="bottom"/>
            <w:tcBorders>
              <w:bottom w:val="single" w:sz="8" w:color="F0FF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60" w:type="dxa"/>
            <w:vAlign w:val="bottom"/>
            <w:tcBorders>
              <w:bottom w:val="single" w:sz="8" w:color="F0FFFF"/>
            </w:tcBorders>
          </w:tcPr>
          <w:p>
            <w:pPr>
              <w:spacing w:after="0"/>
              <w:rPr>
                <w:sz w:val="20"/>
                <w:szCs w:val="20"/>
                <w:color w:val="auto"/>
              </w:rPr>
            </w:pPr>
          </w:p>
        </w:tc>
      </w:tr>
      <w:tr>
        <w:trPr>
          <w:trHeight w:val="216"/>
        </w:trPr>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59-66%</w:t>
            </w: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Expected life</w:t>
            </w:r>
          </w:p>
        </w:tc>
        <w:tc>
          <w:tcPr>
            <w:tcW w:w="1700" w:type="dxa"/>
            <w:vAlign w:val="bottom"/>
            <w:gridSpan w:val="3"/>
          </w:tcPr>
          <w:p>
            <w:pPr>
              <w:ind w:left="260"/>
              <w:spacing w:after="0"/>
              <w:rPr>
                <w:sz w:val="20"/>
                <w:szCs w:val="20"/>
                <w:color w:val="auto"/>
              </w:rPr>
            </w:pPr>
            <w:r>
              <w:rPr>
                <w:rFonts w:ascii="Arial" w:cs="Arial" w:eastAsia="Arial" w:hAnsi="Arial"/>
                <w:sz w:val="18"/>
                <w:szCs w:val="18"/>
                <w:color w:val="auto"/>
              </w:rPr>
              <w:t>4 - 4.5 years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 years</w:t>
            </w:r>
          </w:p>
        </w:tc>
      </w:tr>
      <w:tr>
        <w:trPr>
          <w:trHeight w:val="216"/>
        </w:trPr>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13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1.34-1.49%</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related to stock options for the nine months ended March 31, 2016 and 2015 was $274 thousand and $257 thousand,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Unrecognized compensation related to stock option grants as of March 31, 2016 was $229 thousand.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Changes in outstanding stock options for the three months ended March 31, 2016 and 2015 consisted of the following:</w:t>
      </w: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89"/>
              </w:rPr>
              <w:t>For the three months ended March 31,</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4"/>
              </w:rPr>
              <w:t>Weighted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Weighted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4"/>
              </w:rPr>
              <w:t>Weighted</w:t>
            </w:r>
          </w:p>
        </w:tc>
        <w:tc>
          <w:tcPr>
            <w:tcW w:w="100" w:type="dxa"/>
            <w:vAlign w:val="bottom"/>
          </w:tcPr>
          <w:p>
            <w:pPr>
              <w:spacing w:after="0"/>
              <w:rPr>
                <w:sz w:val="17"/>
                <w:szCs w:val="17"/>
                <w:color w:val="auto"/>
              </w:rPr>
            </w:pPr>
          </w:p>
        </w:tc>
      </w:tr>
      <w:tr>
        <w:trPr>
          <w:trHeight w:val="216"/>
        </w:trPr>
        <w:tc>
          <w:tcPr>
            <w:tcW w:w="3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8"/>
              </w:rPr>
              <w:t>Average</w:t>
            </w:r>
          </w:p>
        </w:tc>
        <w:tc>
          <w:tcPr>
            <w:tcW w:w="1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Average Grant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9"/>
              </w:rPr>
              <w:t>Average Grant</w:t>
            </w:r>
          </w:p>
        </w:tc>
      </w:tr>
      <w:tr>
        <w:trPr>
          <w:trHeight w:val="237"/>
        </w:trPr>
        <w:tc>
          <w:tcPr>
            <w:tcW w:w="35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1100" w:type="dxa"/>
            <w:vAlign w:val="bottom"/>
            <w:gridSpan w:val="3"/>
          </w:tcPr>
          <w:p>
            <w:pPr>
              <w:ind w:left="60"/>
              <w:spacing w:after="0"/>
              <w:rPr>
                <w:sz w:val="20"/>
                <w:szCs w:val="20"/>
                <w:color w:val="auto"/>
              </w:rPr>
            </w:pPr>
            <w:r>
              <w:rPr>
                <w:rFonts w:ascii="Arial" w:cs="Arial" w:eastAsia="Arial" w:hAnsi="Arial"/>
                <w:sz w:val="18"/>
                <w:szCs w:val="18"/>
                <w:color w:val="auto"/>
                <w:w w:val="88"/>
              </w:rPr>
              <w:t>Exercise Price</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Date Fair Value</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Options</w:t>
            </w:r>
          </w:p>
        </w:tc>
        <w:tc>
          <w:tcPr>
            <w:tcW w:w="13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5"/>
              </w:rPr>
              <w:t>Date Fair Value</w:t>
            </w:r>
          </w:p>
        </w:tc>
      </w:tr>
      <w:tr>
        <w:trPr>
          <w:trHeight w:val="216"/>
        </w:trPr>
        <w:tc>
          <w:tcPr>
            <w:tcW w:w="35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Options outstanding, beginning of period</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658,474</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r>
      <w:tr>
        <w:trPr>
          <w:trHeight w:val="216"/>
        </w:trPr>
        <w:tc>
          <w:tcPr>
            <w:tcW w:w="3520" w:type="dxa"/>
            <w:vAlign w:val="bottom"/>
            <w:shd w:val="clear" w:color="auto" w:fill="F0FF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(90,000)</w:t>
            </w:r>
          </w:p>
        </w:tc>
        <w:tc>
          <w:tcPr>
            <w:tcW w:w="1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352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(33,333)</w:t>
            </w:r>
          </w:p>
        </w:tc>
        <w:tc>
          <w:tcPr>
            <w:tcW w:w="1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26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r>
      <w:tr>
        <w:trPr>
          <w:trHeight w:val="217"/>
        </w:trPr>
        <w:tc>
          <w:tcPr>
            <w:tcW w:w="35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Options outstanding,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610,141</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Borders>
              <w:top w:val="single" w:sz="8" w:color="F0FFFF"/>
            </w:tcBorders>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top w:val="single" w:sz="8" w:color="F0FF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533,888</w:t>
            </w:r>
          </w:p>
        </w:tc>
        <w:tc>
          <w:tcPr>
            <w:tcW w:w="360" w:type="dxa"/>
            <w:vAlign w:val="bottom"/>
            <w:tcBorders>
              <w:top w:val="single" w:sz="8" w:color="F0FF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F0FFFF"/>
            </w:tcBorders>
          </w:tcPr>
          <w:p>
            <w:pPr>
              <w:spacing w:after="0"/>
              <w:rPr>
                <w:sz w:val="18"/>
                <w:szCs w:val="18"/>
                <w:color w:val="auto"/>
              </w:rPr>
            </w:pPr>
          </w:p>
        </w:tc>
      </w:tr>
      <w:tr>
        <w:trPr>
          <w:trHeight w:val="21"/>
        </w:trPr>
        <w:tc>
          <w:tcPr>
            <w:tcW w:w="3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outstanding stock options for the nine months ended March 31, 2016 and 2015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89"/>
              </w:rPr>
              <w:t>For the nine months ended March 31,</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Weighted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4"/>
              </w:rPr>
              <w:t>Weighted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Average Grant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9"/>
              </w:rPr>
              <w:t>Average Grant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0"/>
              </w:rPr>
              <w:t>Exercise Price</w:t>
            </w:r>
          </w:p>
        </w:tc>
        <w:tc>
          <w:tcPr>
            <w:tcW w:w="1480" w:type="dxa"/>
            <w:vAlign w:val="bottom"/>
            <w:gridSpan w:val="4"/>
          </w:tcPr>
          <w:p>
            <w:pPr>
              <w:ind w:left="160"/>
              <w:spacing w:after="0"/>
              <w:rPr>
                <w:sz w:val="20"/>
                <w:szCs w:val="20"/>
                <w:color w:val="auto"/>
              </w:rPr>
            </w:pPr>
            <w:r>
              <w:rPr>
                <w:rFonts w:ascii="Arial" w:cs="Arial" w:eastAsia="Arial" w:hAnsi="Arial"/>
                <w:sz w:val="18"/>
                <w:szCs w:val="18"/>
                <w:color w:val="auto"/>
              </w:rPr>
              <w:t>Date Fair Value</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Options</w:t>
            </w:r>
          </w:p>
        </w:tc>
        <w:tc>
          <w:tcPr>
            <w:tcW w:w="13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5"/>
              </w:rPr>
              <w:t>Date Fair Value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Options outstanding, beginning of period</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F0FFFF"/>
            </w:tcBorders>
            <w:shd w:val="clear" w:color="auto" w:fill="F0FF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194,586</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413,888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20" w:type="dxa"/>
            <w:vAlign w:val="bottom"/>
            <w:shd w:val="clear" w:color="auto" w:fill="F0FF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(90,000)</w:t>
            </w:r>
          </w:p>
        </w:tc>
        <w:tc>
          <w:tcPr>
            <w:tcW w:w="1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352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(33,333)</w:t>
            </w:r>
          </w:p>
        </w:tc>
        <w:tc>
          <w:tcPr>
            <w:tcW w:w="1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F0FFFF"/>
          </w:tcPr>
          <w:p>
            <w:pPr>
              <w:spacing w:after="0"/>
              <w:rPr>
                <w:sz w:val="20"/>
                <w:szCs w:val="20"/>
                <w:color w:val="auto"/>
              </w:rPr>
            </w:pPr>
          </w:p>
        </w:tc>
        <w:tc>
          <w:tcPr>
            <w:tcW w:w="3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6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35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Options outstanding,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610,141</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top w:val="single" w:sz="8" w:color="F0FF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533,888</w:t>
            </w:r>
          </w:p>
        </w:tc>
        <w:tc>
          <w:tcPr>
            <w:tcW w:w="34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F0FFFF"/>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0" w:type="dxa"/>
            <w:vAlign w:val="bottom"/>
            <w:tcBorders>
              <w:bottom w:val="single" w:sz="8" w:color="DCDCDC"/>
            </w:tcBorders>
          </w:tcPr>
          <w:p>
            <w:pPr>
              <w:spacing w:after="0"/>
              <w:rPr>
                <w:sz w:val="24"/>
                <w:szCs w:val="24"/>
                <w:color w:val="auto"/>
              </w:rPr>
            </w:pPr>
          </w:p>
        </w:tc>
        <w:tc>
          <w:tcPr>
            <w:tcW w:w="35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vMerge w:val="continue"/>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unvested stock options for the three months ended March 31, 2016 and 2015 consisted of the following:</w:t>
      </w: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1"/>
              </w:rPr>
              <w:t>For the three months ended March 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60" w:type="dxa"/>
            <w:vAlign w:val="bottom"/>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2015</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97"/>
              </w:rPr>
              <w:t>Weighted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4"/>
              </w:rPr>
              <w:t>Weighted</w:t>
            </w:r>
          </w:p>
        </w:tc>
        <w:tc>
          <w:tcPr>
            <w:tcW w:w="100" w:type="dxa"/>
            <w:vAlign w:val="bottom"/>
          </w:tcPr>
          <w:p>
            <w:pPr>
              <w:spacing w:after="0"/>
              <w:rPr>
                <w:sz w:val="17"/>
                <w:szCs w:val="17"/>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Average Grant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Average Grant</w:t>
            </w:r>
          </w:p>
        </w:tc>
      </w:tr>
      <w:tr>
        <w:trPr>
          <w:trHeight w:val="237"/>
        </w:trPr>
        <w:tc>
          <w:tcPr>
            <w:tcW w:w="52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Date Fair Value</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w w:val="97"/>
              </w:rPr>
              <w:t>Date Fair Value</w:t>
            </w:r>
          </w:p>
        </w:tc>
      </w:tr>
      <w:tr>
        <w:trPr>
          <w:trHeight w:val="216"/>
        </w:trPr>
        <w:tc>
          <w:tcPr>
            <w:tcW w:w="52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beginning of period</w:t>
            </w:r>
          </w:p>
        </w:tc>
        <w:tc>
          <w:tcPr>
            <w:tcW w:w="12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396,251</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F0FFFF"/>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(28,335)</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5"/>
        </w:trPr>
        <w:tc>
          <w:tcPr>
            <w:tcW w:w="52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352,916</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F0FFFF"/>
              <w:bottom w:val="single" w:sz="8" w:color="F0FFFF"/>
            </w:tcBorders>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2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8"/>
          </w:tcPr>
          <w:p>
            <w:pPr>
              <w:spacing w:after="0"/>
              <w:rPr>
                <w:sz w:val="20"/>
                <w:szCs w:val="20"/>
                <w:color w:val="auto"/>
              </w:rPr>
            </w:pPr>
            <w:r>
              <w:rPr>
                <w:rFonts w:ascii="Arial" w:cs="Arial" w:eastAsia="Arial" w:hAnsi="Arial"/>
                <w:sz w:val="18"/>
                <w:szCs w:val="18"/>
                <w:color w:val="auto"/>
                <w:w w:val="90"/>
              </w:rPr>
              <w:t>Changes in unvested stock options for the nine months ended March 31, 2016 and 2015 consisted of the following:</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For the nine months ended March 31,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4"/>
              </w:rPr>
              <w:t>Weighted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Weighted</w:t>
            </w: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Average Grant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Average Grant</w:t>
            </w:r>
          </w:p>
        </w:tc>
      </w:tr>
      <w:tr>
        <w:trPr>
          <w:trHeight w:val="237"/>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Date Fair Value</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Options</w:t>
            </w:r>
          </w:p>
        </w:tc>
        <w:tc>
          <w:tcPr>
            <w:tcW w:w="1280" w:type="dxa"/>
            <w:vAlign w:val="bottom"/>
            <w:gridSpan w:val="4"/>
          </w:tcPr>
          <w:p>
            <w:pPr>
              <w:ind w:left="60"/>
              <w:spacing w:after="0"/>
              <w:rPr>
                <w:sz w:val="20"/>
                <w:szCs w:val="20"/>
                <w:color w:val="auto"/>
              </w:rPr>
            </w:pPr>
            <w:r>
              <w:rPr>
                <w:rFonts w:ascii="Arial" w:cs="Arial" w:eastAsia="Arial" w:hAnsi="Arial"/>
                <w:sz w:val="18"/>
                <w:szCs w:val="18"/>
                <w:color w:val="auto"/>
                <w:w w:val="95"/>
              </w:rPr>
              <w:t>Date Fair Value</w:t>
            </w:r>
          </w:p>
        </w:tc>
      </w:tr>
      <w:tr>
        <w:trPr>
          <w:trHeight w:val="216"/>
        </w:trPr>
        <w:tc>
          <w:tcPr>
            <w:tcW w:w="580" w:type="dxa"/>
            <w:vAlign w:val="bottom"/>
          </w:tcPr>
          <w:p>
            <w:pPr>
              <w:spacing w:after="0"/>
              <w:rPr>
                <w:sz w:val="18"/>
                <w:szCs w:val="18"/>
                <w:color w:val="auto"/>
              </w:rPr>
            </w:pPr>
          </w:p>
        </w:tc>
        <w:tc>
          <w:tcPr>
            <w:tcW w:w="50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beginning of period</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505,553</w:t>
            </w: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194,586</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328,888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(257,223)</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5"/>
        </w:trPr>
        <w:tc>
          <w:tcPr>
            <w:tcW w:w="580" w:type="dxa"/>
            <w:vAlign w:val="bottom"/>
          </w:tcPr>
          <w:p>
            <w:pPr>
              <w:spacing w:after="0"/>
              <w:rPr>
                <w:sz w:val="21"/>
                <w:szCs w:val="21"/>
                <w:color w:val="auto"/>
              </w:rPr>
            </w:pPr>
          </w:p>
        </w:tc>
        <w:tc>
          <w:tcPr>
            <w:tcW w:w="50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352,916</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prices of stock options outstanding as of March 31, 2016 and June 30, 2015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ind w:left="480"/>
              <w:spacing w:after="0"/>
              <w:rPr>
                <w:sz w:val="20"/>
                <w:szCs w:val="20"/>
                <w:color w:val="auto"/>
              </w:rPr>
            </w:pPr>
            <w:r>
              <w:rPr>
                <w:rFonts w:ascii="Arial" w:cs="Arial" w:eastAsia="Arial" w:hAnsi="Arial"/>
                <w:sz w:val="18"/>
                <w:szCs w:val="18"/>
                <w:color w:val="auto"/>
              </w:rPr>
              <w:t>June 30, 2015</w:t>
            </w:r>
          </w:p>
        </w:tc>
        <w:tc>
          <w:tcPr>
            <w:tcW w:w="114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jc w:val="right"/>
              <w:ind w:right="610"/>
              <w:spacing w:after="0" w:line="201" w:lineRule="exact"/>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1140" w:type="dxa"/>
            <w:vAlign w:val="bottom"/>
          </w:tcPr>
          <w:p>
            <w:pPr>
              <w:spacing w:after="0"/>
              <w:rPr>
                <w:sz w:val="18"/>
                <w:szCs w:val="18"/>
                <w:color w:val="auto"/>
              </w:rPr>
            </w:pPr>
          </w:p>
        </w:tc>
      </w:tr>
      <w:tr>
        <w:trPr>
          <w:trHeight w:val="237"/>
        </w:trPr>
        <w:tc>
          <w:tcPr>
            <w:tcW w:w="5540" w:type="dxa"/>
            <w:vAlign w:val="bottom"/>
            <w:gridSpan w:val="2"/>
          </w:tcPr>
          <w:p>
            <w:pPr>
              <w:ind w:left="1140"/>
              <w:spacing w:after="0"/>
              <w:rPr>
                <w:sz w:val="20"/>
                <w:szCs w:val="20"/>
                <w:color w:val="auto"/>
              </w:rPr>
            </w:pPr>
            <w:r>
              <w:rPr>
                <w:rFonts w:ascii="Arial" w:cs="Arial" w:eastAsia="Arial" w:hAnsi="Arial"/>
                <w:sz w:val="18"/>
                <w:szCs w:val="18"/>
                <w:color w:val="auto"/>
              </w:rPr>
              <w:t>Range of Exercise Prices</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Outstanding</w:t>
            </w:r>
          </w:p>
        </w:tc>
        <w:tc>
          <w:tcPr>
            <w:tcW w:w="18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Exercisable</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Outstanding</w:t>
            </w:r>
          </w:p>
        </w:tc>
        <w:tc>
          <w:tcPr>
            <w:tcW w:w="16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Exercisable</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3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$1.62 to $1.68</w:t>
            </w:r>
          </w:p>
        </w:tc>
        <w:tc>
          <w:tcPr>
            <w:tcW w:w="10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25,002</w:t>
            </w:r>
          </w:p>
        </w:tc>
        <w:tc>
          <w:tcPr>
            <w:tcW w:w="18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$1.80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295,555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195,555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328,888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$2.05</w:t>
            </w:r>
          </w:p>
        </w:tc>
        <w:tc>
          <w:tcPr>
            <w:tcW w:w="11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11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3,333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$2.75</w:t>
            </w:r>
          </w:p>
        </w:tc>
        <w:tc>
          <w:tcPr>
            <w:tcW w:w="11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25,000</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25,000</w:t>
            </w:r>
          </w:p>
        </w:tc>
        <w:tc>
          <w:tcPr>
            <w:tcW w:w="11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$2.94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75,000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$3.38</w:t>
            </w:r>
          </w:p>
        </w:tc>
        <w:tc>
          <w:tcPr>
            <w:tcW w:w="11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29,586</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1160" w:type="dxa"/>
            <w:vAlign w:val="bottom"/>
          </w:tcPr>
          <w:p>
            <w:pPr>
              <w:spacing w:after="0"/>
              <w:rPr>
                <w:sz w:val="21"/>
                <w:szCs w:val="21"/>
                <w:color w:val="auto"/>
              </w:rPr>
            </w:pPr>
          </w:p>
        </w:tc>
        <w:tc>
          <w:tcPr>
            <w:tcW w:w="43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610,141</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257,225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2"/>
        </w:trPr>
        <w:tc>
          <w:tcPr>
            <w:tcW w:w="1160" w:type="dxa"/>
            <w:vAlign w:val="bottom"/>
            <w:tcBorders>
              <w:bottom w:val="single" w:sz="8" w:color="DCDCDC"/>
            </w:tcBorders>
          </w:tcPr>
          <w:p>
            <w:pPr>
              <w:spacing w:after="0"/>
              <w:rPr>
                <w:sz w:val="24"/>
                <w:szCs w:val="24"/>
                <w:color w:val="auto"/>
              </w:rPr>
            </w:pPr>
          </w:p>
        </w:tc>
        <w:tc>
          <w:tcPr>
            <w:tcW w:w="438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gridSpan w:val="3"/>
          </w:tcPr>
          <w:p>
            <w:pPr>
              <w:jc w:val="right"/>
              <w:ind w:right="75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13. STOCK BASED COMPENSATION PLANS (CONTINUED)</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ind w:left="600"/>
              <w:spacing w:after="0"/>
              <w:rPr>
                <w:sz w:val="20"/>
                <w:szCs w:val="20"/>
                <w:color w:val="auto"/>
              </w:rPr>
            </w:pPr>
            <w:r>
              <w:rPr>
                <w:rFonts w:ascii="Arial" w:cs="Arial" w:eastAsia="Arial" w:hAnsi="Arial"/>
                <w:sz w:val="18"/>
                <w:szCs w:val="18"/>
                <w:color w:val="auto"/>
              </w:rPr>
              <w:t>March 31, 2016</w:t>
            </w:r>
          </w:p>
        </w:tc>
        <w:tc>
          <w:tcPr>
            <w:tcW w:w="120" w:type="dxa"/>
            <w:vAlign w:val="bottom"/>
          </w:tcPr>
          <w:p>
            <w:pPr>
              <w:spacing w:after="0"/>
              <w:rPr>
                <w:sz w:val="24"/>
                <w:szCs w:val="2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color w:val="auto"/>
              </w:rPr>
              <w:t>June 30, 2015</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5160" w:type="dxa"/>
            <w:vAlign w:val="bottom"/>
            <w:vMerge w:val="restart"/>
          </w:tcPr>
          <w:p>
            <w:pPr>
              <w:ind w:left="1120"/>
              <w:spacing w:after="0"/>
              <w:rPr>
                <w:sz w:val="20"/>
                <w:szCs w:val="20"/>
                <w:color w:val="auto"/>
              </w:rPr>
            </w:pPr>
            <w:r>
              <w:rPr>
                <w:rFonts w:ascii="Arial" w:cs="Arial" w:eastAsia="Arial" w:hAnsi="Arial"/>
                <w:sz w:val="18"/>
                <w:szCs w:val="18"/>
                <w:color w:val="auto"/>
              </w:rPr>
              <w:t>($ in thousands, except per share price</w:t>
            </w:r>
          </w:p>
        </w:tc>
        <w:tc>
          <w:tcPr>
            <w:tcW w:w="1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77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51"/>
        </w:trPr>
        <w:tc>
          <w:tcPr>
            <w:tcW w:w="460" w:type="dxa"/>
            <w:vAlign w:val="bottom"/>
          </w:tcPr>
          <w:p>
            <w:pPr>
              <w:spacing w:after="0"/>
              <w:rPr>
                <w:sz w:val="21"/>
                <w:szCs w:val="21"/>
                <w:color w:val="auto"/>
              </w:rPr>
            </w:pPr>
          </w:p>
        </w:tc>
        <w:tc>
          <w:tcPr>
            <w:tcW w:w="5160" w:type="dxa"/>
            <w:vAlign w:val="bottom"/>
          </w:tcPr>
          <w:p>
            <w:pPr>
              <w:ind w:left="1680"/>
              <w:spacing w:after="0"/>
              <w:rPr>
                <w:sz w:val="20"/>
                <w:szCs w:val="20"/>
                <w:color w:val="auto"/>
              </w:rPr>
            </w:pPr>
            <w:r>
              <w:rPr>
                <w:rFonts w:ascii="Arial" w:cs="Arial" w:eastAsia="Arial" w:hAnsi="Arial"/>
                <w:sz w:val="18"/>
                <w:szCs w:val="18"/>
                <w:color w:val="auto"/>
              </w:rPr>
              <w:t>and number of options)</w:t>
            </w:r>
          </w:p>
        </w:tc>
        <w:tc>
          <w:tcPr>
            <w:tcW w:w="100" w:type="dxa"/>
            <w:vAlign w:val="bottom"/>
          </w:tcPr>
          <w:p>
            <w:pPr>
              <w:spacing w:after="0"/>
              <w:rPr>
                <w:sz w:val="21"/>
                <w:szCs w:val="2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Exercisable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Number of stock options</w:t>
            </w: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610,141</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257,225</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Aggregate intrinsic value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451</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contractual life</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Share price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2.70</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nonvested common shares as of March 31, 2016, and changes during the period then ended consisted of the following:</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2"/>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Nonvested at June 30, 2015</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18,604</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131,558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(21,664)</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Nonvested at September 30, 2015</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128,498</w:t>
            </w:r>
          </w:p>
        </w:tc>
        <w:tc>
          <w:tcPr>
            <w:tcW w:w="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F0FFFF"/>
              <w:bottom w:val="single" w:sz="8" w:color="F0FFFF"/>
            </w:tcBorders>
          </w:tcPr>
          <w:p>
            <w:pPr>
              <w:spacing w:after="0"/>
              <w:rPr>
                <w:sz w:val="18"/>
                <w:szCs w:val="18"/>
                <w:color w:val="auto"/>
              </w:rPr>
            </w:pPr>
          </w:p>
        </w:tc>
        <w:tc>
          <w:tcPr>
            <w:tcW w:w="124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(7,396)</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Nonvested at December 31, 2015</w:t>
            </w: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121,102</w:t>
            </w:r>
          </w:p>
        </w:tc>
        <w:tc>
          <w:tcPr>
            <w:tcW w:w="20" w:type="dxa"/>
            <w:vAlign w:val="bottom"/>
            <w:tcBorders>
              <w:top w:val="single" w:sz="8" w:color="F0FFFF"/>
              <w:bottom w:val="single" w:sz="8" w:color="F0FFFF"/>
            </w:tcBorders>
            <w:shd w:val="clear" w:color="auto" w:fill="F0FFFF"/>
          </w:tcPr>
          <w:p>
            <w:pPr>
              <w:spacing w:after="0"/>
              <w:rPr>
                <w:sz w:val="22"/>
                <w:szCs w:val="22"/>
                <w:color w:val="auto"/>
              </w:rPr>
            </w:pPr>
          </w:p>
        </w:tc>
        <w:tc>
          <w:tcPr>
            <w:tcW w:w="10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Nonvested at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121,102</w:t>
            </w: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March 31, 2016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Series A Preferred Stock may be called for redemption at the option of the Board of Directors for a price of $11.00 per share plus payment of all accrued and unpaid dividends. No such redemption has occurred as of March 31, 2016.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March 31, 2016 and June 30, 2015 is as follows: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14. PREFERRED STOCK (CONTINUED)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June 30,</w:t>
            </w:r>
          </w:p>
        </w:tc>
      </w:tr>
      <w:tr>
        <w:trPr>
          <w:trHeight w:val="237"/>
        </w:trPr>
        <w:tc>
          <w:tcPr>
            <w:tcW w:w="1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Shares outstanding at $10.00 per share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4,451</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4,451</w:t>
            </w:r>
          </w:p>
        </w:tc>
      </w:tr>
      <w:tr>
        <w:trPr>
          <w:trHeight w:val="237"/>
        </w:trPr>
        <w:tc>
          <w:tcPr>
            <w:tcW w:w="17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Cumulative unpaid dividends</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13,657</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12,989</w:t>
            </w:r>
          </w:p>
        </w:tc>
      </w:tr>
      <w:tr>
        <w:trPr>
          <w:trHeight w:val="255"/>
        </w:trPr>
        <w:tc>
          <w:tcPr>
            <w:tcW w:w="1720" w:type="dxa"/>
            <w:vAlign w:val="bottom"/>
          </w:tcPr>
          <w:p>
            <w:pPr>
              <w:spacing w:after="0"/>
              <w:rPr>
                <w:sz w:val="21"/>
                <w:szCs w:val="21"/>
                <w:color w:val="auto"/>
              </w:rPr>
            </w:pPr>
          </w:p>
        </w:tc>
        <w:tc>
          <w:tcPr>
            <w:tcW w:w="56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18,108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17,440</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Cumulative unpaid dividends are convertible into common shares at $1,000 per common share at the option of the shareholder. During the three and nine months ended March 31, 2016 and 2015, no shares of Preferred Stock nor cumulative preferred dividends were converted into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401(k) Plan (the “Retirement Plan”) allows employees who have completed six months of service to make voluntary contributions up to a maximum of 100% of their annual compensation, as defined in the Retirement Plan and subject to IRS limitations.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For the plan year ending June 30, 2016, the Company has elected to make safe harbor matching contributions of 100% of the participant’s first 3% and 50% of the next 2% of compensation deferred into the Retirement Plan. The Company’s safe harbor contributions for the three months ended March 31, 2016 and 2015 approximated $51 thousand and $61 thousand, respectively. The Company’s safe harbor contributions for the nine months ended March 31, 2016 and 2015 approximated $154 thousand and $149 thousand,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three or nine-month periods ended March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and through the three months ended September 30, 2014, the Company and a third party finance company, entered into Sale Leaseback Agreements (the “Sale Leaseback Agreements” or a “Sale Leaseback Agreement”) pursuant to which a third-party finance company purchased ePort equipment owned by the Company and used by the Company in its JumpStart Program.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completion of the sale under these agreements, the Company computed a gain on the sale of its ePort equipment, which is deferred and is amortized in proportion to the related gross rental charged to expense over the lease terms in accordance with the FASB topic ASC 840-40, “Sale Leaseback Transactions”. The computed gain on the sale is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the finance company a base monthly rental for this equipment during the 36-month lease term.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17. COMMITMENTS AND CONTINGENCIES (CONTINUED)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changes in deferred gain from the sale-leaseback transactions: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400" w:type="dxa"/>
            <w:vAlign w:val="bottom"/>
            <w:gridSpan w:val="2"/>
            <w:vMerge w:val="restart"/>
          </w:tcPr>
          <w:p>
            <w:pPr>
              <w:ind w:left="172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4"/>
                <w:szCs w:val="2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37"/>
        </w:trPr>
        <w:tc>
          <w:tcPr>
            <w:tcW w:w="7400" w:type="dxa"/>
            <w:vAlign w:val="bottom"/>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2"/>
              </w:rPr>
              <w:t>March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6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2015</w:t>
            </w:r>
          </w:p>
        </w:tc>
        <w:tc>
          <w:tcPr>
            <w:tcW w:w="2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2,191</w:t>
            </w: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F0FFFF"/>
          </w:tcPr>
          <w:p>
            <w:pPr>
              <w:spacing w:after="0"/>
              <w:rPr>
                <w:sz w:val="21"/>
                <w:szCs w:val="21"/>
                <w:color w:val="auto"/>
              </w:rPr>
            </w:pPr>
          </w:p>
        </w:tc>
        <w:tc>
          <w:tcPr>
            <w:tcW w:w="7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1,115</w:t>
            </w:r>
          </w:p>
        </w:tc>
        <w:tc>
          <w:tcPr>
            <w:tcW w:w="1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1,975</w:t>
            </w:r>
          </w:p>
        </w:tc>
        <w:tc>
          <w:tcPr>
            <w:tcW w:w="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w:t>
            </w:r>
          </w:p>
        </w:tc>
        <w:tc>
          <w:tcPr>
            <w:tcW w:w="320" w:type="dxa"/>
            <w:vAlign w:val="bottom"/>
            <w:shd w:val="clear" w:color="auto" w:fill="F0FFFF"/>
          </w:tcPr>
          <w:p>
            <w:pPr>
              <w:spacing w:after="0"/>
              <w:rPr>
                <w:sz w:val="21"/>
                <w:szCs w:val="21"/>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6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400" w:type="dxa"/>
            <w:vAlign w:val="bottom"/>
            <w:gridSpan w:val="2"/>
            <w:vMerge w:val="restart"/>
          </w:tcPr>
          <w:p>
            <w:pPr>
              <w:ind w:left="172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4"/>
                <w:szCs w:val="2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7"/>
        </w:trPr>
        <w:tc>
          <w:tcPr>
            <w:tcW w:w="7400" w:type="dxa"/>
            <w:vAlign w:val="bottom"/>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2"/>
              </w:rPr>
              <w:t>March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6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2015</w:t>
            </w:r>
          </w:p>
        </w:tc>
        <w:tc>
          <w:tcPr>
            <w:tcW w:w="2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1,760</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1,143</w:t>
            </w: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F0FFFF"/>
          </w:tcPr>
          <w:p>
            <w:pPr>
              <w:spacing w:after="0"/>
              <w:rPr>
                <w:sz w:val="21"/>
                <w:szCs w:val="21"/>
                <w:color w:val="auto"/>
              </w:rPr>
            </w:pPr>
          </w:p>
        </w:tc>
        <w:tc>
          <w:tcPr>
            <w:tcW w:w="7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1,115</w:t>
            </w:r>
          </w:p>
        </w:tc>
        <w:tc>
          <w:tcPr>
            <w:tcW w:w="1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1,976</w:t>
            </w:r>
          </w:p>
        </w:tc>
        <w:tc>
          <w:tcPr>
            <w:tcW w:w="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w:t>
            </w:r>
          </w:p>
        </w:tc>
        <w:tc>
          <w:tcPr>
            <w:tcW w:w="320" w:type="dxa"/>
            <w:vAlign w:val="bottom"/>
            <w:shd w:val="clear" w:color="auto" w:fill="F0FFFF"/>
          </w:tcPr>
          <w:p>
            <w:pPr>
              <w:spacing w:after="0"/>
              <w:rPr>
                <w:sz w:val="21"/>
                <w:szCs w:val="21"/>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6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2015, Universal Clearing Solutions, LLC (“Universal Clearing”), a former non-vending customer of the Company, filed a complaint against the Company in the United States District Court for the District of Arizona. On April 10, 2015, Universal Clearing filed an amended complaint, and on June 19, 2015, Universal Clearing filed a second amended complaint, which alleged causes of action against the Company for breach of contract, breach of fiduciary duty, and defamation. On July 24, 2015, the Company filed an answer to the defamation count of the complaint denying the allegations, and filed a motion to dismiss the remaining counts. On January 29, 2016, the Court granted the Company's motion, and dismissed the breach of contract and breach of fiduciary duty claims against the Company. The Company does not believe that the remaining defamation count of the complaint has merit or represents a material legal proceeding, and intends to vigorously defend against the claim.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2015, the Company filed a counterclaim against Universal Clearing seeking damages of approximately $680 thousand which were incurred by the Company in connection with chargebacks relating to Universal Clearing’s sub-merchants which had been boarded on the Company’s service. The counterclaim alleges that Universal Clearing is responsible under the agreement for these chargebacks, and Universal Clearing misrepresented to the Company the business practices and other matters relating to these sub-merchants. On August 17, 2015, Universal Clearing filed an answer to the counterclaim denying that it was responsible for the chargebacks or had made any misrepresentations.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2015, the Company filed a third party complaint in the pending action against Steven Juliver, the manager of Universal Clearing, as well as against Universal Tranware, LLC, and Secureswype, LLC, entities affiliated with Universal Clearing. The third-party complaint sets forth, among other things, causes of action for fraud and breach of contract, and seeks to recover from these defendants the chargebacks relating to Universal Clearing’s sub-merchants described above. On September 14, 2015, the third party defendants filed a motion to dismiss the third party complaint and on January 29, 2016, the court denied the motion to dismiss the fraud and breach of contract claims. The Company intends to vigorously pursue its claims for damages set forth in the counterclaim and third party complaint.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 2015, a purported class action complaint was filed in the United States District Court for the Eastern District of Pennsylvania by Steven P. Messner, individually and on behalf of all others similarly situated, against the Company and its executive officers, alleging violations under the Securities Exchange Act of 1934. The lawsuit was filed on behalf of a purported class of investors who purchased or otherwise acquired securities of the Company between September 29, 2014 through September 29, 2015. The complaint alleges that the defendants made materially false and misleading statements, relating to, among other things, the failure to identify a large number of uncollectible small balance accounts. The complaint seeks certification as a class action and unspecified damages including attorneys’ fees and other costs.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alleging, among other things, the amended complaint does not satisfy the applicable pleading standards under the Private Securities Litigation Reform Act. On April 11, 2016, the Court held oral argument on the Company’s motion, and on April 14, 2016, the Court entered an order granting the Company’s motion to dismiss the amended complaint without leave to amend. The plaintiff must appeal the Court’s order prior to May 17,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ADJUSTMENTS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consolidated financial statements included in this Form 10-Q reflect additional shares of common stock and preferred stock that had been issued and outstanding in prior periods but were not reflected as such in previous consolidated financial statements. The additional shares primarily consisted of unvested shares of common stock awarded to officers and directors pursuant to the Company’s equity compensation plans. The Consolidated Statement of Shareholders’ Equity has been adjusted to reflect these additional common and preferred shares as of June 30, 2015. The June 30, 2015 Consolidated Balance Sheet has been adjusted to reflect these additional shares; and the liquidation preference of preferred stock as of such date has been increased by $85,371. The basic and diluted weighted average number of common shares outstanding for the three and nine month periods ended March 31, 2015 and March 31, 2016 in the Consolidated Statements of Operations has also been adjusted. The foregoing adjustments in basic and diluted weighted common shares outstanding did not affect the previously reported net loss per common share - basic or diluted for the three and nine month periods ended March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29, 2016, the Company entered into a Third Amendment to Office Space Lease (the “Third Amendment”) with its landlord which amended certain terms of its existing lease (the “Lease”) for its Malvern, Pennsylvania executive offices consisting of approximately 17,249 square feet located on the first floor of the building (the “Current Premises”). The Third Amendment provides that the Company will relocate from the Current Premises to new offices located on the third floor of the building (the “New Offices”) consisting of approximately 17,689 square feet. Substantially all of the improvements to the New Offices will be constructed by the landlord at the landlord’s cost and expense. The landlord anticipates that the New Premises will be substantially completed on September 1, 2016, at which time the Company would relocate from the Current Premises to the New Premises (the “New Premises Commencement Date”). The Third Amendment provides that the term of the Lease is extended from the prior expiration date of April 30, 2016 until seven years following the New Premises Commencement Date. The Company’s monthly base rent for the Premises will increase from approximately $32,340 to approximately $36,115 on the New Office Commencement Date, and will increase each year thereafter up to a maximum monthly base rent of approximately $40,537. The Third Amendment also grants to the Company the option to extend the term of the Lease for an additional five year period with a minimum of one year advance notice prior to the expiration of the initial term, and provides certain rights of first offer on additional space located on the third floor of the building.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leasing companies under our QuickStart program in order to continue to significantly reduce net cash used in operating activities;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remediation of a significant deficiency that we identified in our internal controls over financial reporting, and which was reflected in our annual report on Form 10-K for the fiscal year ended June 30, 2015, would be effective;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p>
    <w:p>
      <w:pPr>
        <w:sectPr>
          <w:pgSz w:w="11900" w:h="16874" w:orient="portrait"/>
          <w:cols w:equalWidth="0" w:num="1">
            <w:col w:w="11420"/>
          </w:cols>
          <w:pgMar w:left="240" w:top="904" w:right="239" w:bottom="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 OF THE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other value-added services principally to the small ticket, unattended Point of Sale (“POS”) market.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can be installed and/or embedded into everyday devices such as vending machines, a variety of kiosks, amusement, commercial laundry, kiosk and smartphones via our ePort Mobile™ solution. Our associated service, ePort Connect</w:t>
      </w:r>
      <w:r>
        <w:rPr>
          <w:rFonts w:ascii="Arial" w:cs="Arial" w:eastAsia="Arial" w:hAnsi="Arial"/>
          <w:sz w:val="18"/>
          <w:szCs w:val="18"/>
          <w:i w:val="1"/>
          <w:iCs w:val="1"/>
          <w:color w:val="auto"/>
        </w:rPr>
        <w:t>®</w:t>
      </w:r>
      <w:r>
        <w:rPr>
          <w:rFonts w:ascii="Arial" w:cs="Arial" w:eastAsia="Arial" w:hAnsi="Arial"/>
          <w:sz w:val="18"/>
          <w:szCs w:val="18"/>
          <w:color w:val="auto"/>
        </w:rPr>
        <w: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revenue in multiple ways. During fiscal year 2015, we derived approximately 75% of our revenues from recurring license and transaction fees related to our ePort Connect service and approximately 25% of our revenue from equipment sales.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in 1992, USA Technologies, Inc. has been helping customers in self-serve retail, traditionally cash-based industries, seamlessly make the transition to cashless payment. Highlights of the Company are below:</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84 employees with its headquarters in Malvern, Pennsylvania as of March 31,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10,800 customers and 401,000 connections to our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 direct sales teams at the national, regional, and local customer-level and a growing number of OEMs and national distribution partners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78 United States and foreign patents are in force</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The Company’s fiscal year ends June 30</w:t>
      </w:r>
      <w:r>
        <w:rPr>
          <w:rFonts w:ascii="Arial" w:cs="Arial" w:eastAsia="Arial" w:hAnsi="Arial"/>
          <w:sz w:val="30"/>
          <w:szCs w:val="30"/>
          <w:color w:val="auto"/>
          <w:vertAlign w:val="superscript"/>
        </w:rPr>
        <w:t>th</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deferred tax assets of approximately $27 million resulting from a series of operating loss carry forwards that may be available to offset future taxable income from federal income taxes over the next five or more years.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January 2016, the Company purchased substantially all of the assets of VendScreen, Inc. (See Note 2). On the date of the acquisition, VendScreen had approximately 150 customers with approximately 6,000 connections. Of those 150 customers approximately 50% are new customers of USAT.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WE 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growing customer base is indicative of a broadening adoption and acceptance of cashless payments in the industries we serve. We estimate the self-serve retail market in the United States generates over $120 billion in annual cashless transaction revenues, representing 13 to 15 million potential connections. Included in the self-service retail market is the Company’s largest market segment, vending. This supports the Company’s position in the market and opportunities for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management estimates that the Company’s existing customer base controls over 2.0 million potential connections. The Company views the total installed base of machines managed by its customers that have yet to transition to cashless payment, as a key strategic opportunity for future growth in connections.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condensed consolidated financial statements are prepared applying certain critical accounting policies. The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Patents, non-compete agreements, brand, developed technology, customer relationships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accounts receivable, the strength of the relationship with the customer, the capacity of the customer transaction fund flow to satisfy the amount due from the customer, an assessment of collection costs and other factors. The allowance for uncollectible accounts receivable is management’s best estimate as of the respective reporting period. If the factors described above were to deteriorate, additional amounts may need to be added to the allowance.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14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rPr>
              <w:t>HIGHLIGHTS FOR THE THREE AND NINE MONTHS ENDED MARCH 31, 2016 INCLUDE: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w w:val="90"/>
              </w:rPr>
              <w:t>As of and for the three months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 Change</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20,361</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15,357</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License and transaction revenue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14,727</w:t>
            </w:r>
          </w:p>
        </w:tc>
        <w:tc>
          <w:tcPr>
            <w:tcW w:w="18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11,059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3,668</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License and transaction gross profit</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5,024</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3,902</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License and transaction margin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Connections</w:t>
            </w: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401,000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302,000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99,000</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Customers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2,379</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(1,032)</w:t>
            </w: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(87)</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Cash provided by operating activities</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4,328</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4,263</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6558.5%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b w:val="1"/>
                <w:bCs w:val="1"/>
                <w:color w:val="auto"/>
                <w:w w:val="97"/>
              </w:rPr>
              <w:t>For the nine months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 Change</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55,464</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40,431</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15,033</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License and transaction revenue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41,326</w:t>
            </w:r>
          </w:p>
        </w:tc>
        <w:tc>
          <w:tcPr>
            <w:tcW w:w="18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31,695</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9,631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License and transaction gross profit</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13,851</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10,129</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3,722</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License and transaction margin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5,007</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Cash provided by (used in) operating activities</w:t>
            </w: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5,197</w:t>
            </w:r>
          </w:p>
        </w:tc>
        <w:tc>
          <w:tcPr>
            <w:tcW w:w="18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(4,379)</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9,576</w:t>
            </w:r>
          </w:p>
        </w:tc>
        <w:tc>
          <w:tcPr>
            <w:tcW w:w="24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DCDCDC"/>
            </w:tcBorders>
          </w:tcPr>
          <w:p>
            <w:pPr>
              <w:spacing w:after="0"/>
              <w:rPr>
                <w:sz w:val="24"/>
                <w:szCs w:val="24"/>
                <w:color w:val="auto"/>
              </w:rPr>
            </w:pPr>
          </w:p>
        </w:tc>
        <w:tc>
          <w:tcPr>
            <w:tcW w:w="412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jc w:val="right"/>
              <w:ind w:right="67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certain financial and non-financial data over a five-quarter period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96"/>
              </w:rPr>
              <w:t>March 31,</w:t>
            </w:r>
          </w:p>
        </w:tc>
        <w:tc>
          <w:tcPr>
            <w:tcW w:w="40" w:type="dxa"/>
            <w:vAlign w:val="bottom"/>
          </w:tcPr>
          <w:p>
            <w:pPr>
              <w:spacing w:after="0"/>
              <w:rPr>
                <w:sz w:val="17"/>
                <w:szCs w:val="17"/>
                <w:color w:val="auto"/>
              </w:rPr>
            </w:pPr>
          </w:p>
        </w:tc>
        <w:tc>
          <w:tcPr>
            <w:tcW w:w="1400" w:type="dxa"/>
            <w:vAlign w:val="bottom"/>
            <w:gridSpan w:val="3"/>
          </w:tcPr>
          <w:p>
            <w:pPr>
              <w:jc w:val="right"/>
              <w:ind w:right="21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80" w:type="dxa"/>
            <w:vAlign w:val="bottom"/>
            <w:gridSpan w:val="3"/>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160" w:type="dxa"/>
            <w:vAlign w:val="bottom"/>
            <w:gridSpan w:val="2"/>
          </w:tcPr>
          <w:p>
            <w:pPr>
              <w:jc w:val="center"/>
              <w:ind w:right="310"/>
              <w:spacing w:after="0" w:line="198" w:lineRule="exact"/>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Connections: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New Connections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38,000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24,000</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34,000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color w:val="auto"/>
              </w:rPr>
              <w:t>% from Existing Customer Base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New Connections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32,000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31,000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color w:val="auto"/>
              </w:rPr>
              <w:t>Total Connections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401,000</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369,000</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349,000</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333,000</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302,000</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Customers: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Customers Added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color w:val="auto"/>
              </w:rPr>
              <w:t>Total Customers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10,825</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10,625</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10,275</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9,600</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8,925</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Volumes: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Number of Transactions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color w:val="auto"/>
              </w:rPr>
              <w:t>Transaction Volume ($millions)</w:t>
            </w:r>
          </w:p>
        </w:tc>
        <w:tc>
          <w:tcPr>
            <w:tcW w:w="5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151.0</w:t>
            </w:r>
          </w:p>
        </w:tc>
        <w:tc>
          <w:tcPr>
            <w:tcW w:w="28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138.0</w:t>
            </w:r>
          </w:p>
        </w:tc>
        <w:tc>
          <w:tcPr>
            <w:tcW w:w="240" w:type="dxa"/>
            <w:vAlign w:val="bottom"/>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126.4</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112.8</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Financing Structure of Connections:</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JumpStart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shd w:val="clear" w:color="auto" w:fill="F0FFFF"/>
          </w:tcPr>
          <w:p>
            <w:pPr>
              <w:spacing w:after="0"/>
              <w:rPr>
                <w:sz w:val="20"/>
                <w:szCs w:val="20"/>
                <w:color w:val="auto"/>
              </w:rPr>
            </w:pPr>
            <w:r>
              <w:rPr>
                <w:rFonts w:ascii="Arial" w:cs="Arial" w:eastAsia="Arial" w:hAnsi="Arial"/>
                <w:sz w:val="18"/>
                <w:szCs w:val="18"/>
                <w:color w:val="auto"/>
              </w:rPr>
              <w:t>QuickStart &amp; All Others *</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92.6%</w:t>
            </w:r>
          </w:p>
        </w:tc>
        <w:tc>
          <w:tcPr>
            <w:tcW w:w="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94.0%</w:t>
            </w: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F0FF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F0FF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March 31, 2016 include:</w:t>
      </w:r>
    </w:p>
    <w:p>
      <w:pPr>
        <w:spacing w:after="0" w:line="225"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32,000 net new connections to our ePort Connect service in the quarter, compared to 14,000 net connections added in the same quarter last year, an increase of 18,000, or 129%;</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401,000 connections to the ePort Connect service compared to the same quarter last year of approximately 302,000 connections, an increase of 99,000 connections, or 33%;</w:t>
      </w:r>
    </w:p>
    <w:p>
      <w:pPr>
        <w:spacing w:after="0" w:line="170"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USAT has shifted from providing financing for the customer’s equipment purchases through month-to-month agreements under the JumpStart rental program, to using outside leasing companies through the QuickStart program with sixty month terms. This shift to QuickStart provides for an upfront payment by the leasing companies for the equipment which significantly improves the Company’s cash flow from operations. The Company also may hold QuickStart leases as finance receivables for customers that are not able to obtain third party leasing arrangements. The Company is actively working to expand its outside leasing partners. The goal of the program would be to have enough leasing partners so that the Company would not need to provide financing to its customers.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660" w:type="dxa"/>
            <w:vAlign w:val="bottom"/>
            <w:gridSpan w:val="9"/>
          </w:tcPr>
          <w:p>
            <w:pPr>
              <w:spacing w:after="0"/>
              <w:rPr>
                <w:sz w:val="20"/>
                <w:szCs w:val="20"/>
                <w:color w:val="auto"/>
              </w:rPr>
            </w:pPr>
            <w:r>
              <w:rPr>
                <w:rFonts w:ascii="Arial" w:cs="Arial" w:eastAsia="Arial" w:hAnsi="Arial"/>
                <w:sz w:val="18"/>
                <w:szCs w:val="18"/>
                <w:b w:val="1"/>
                <w:bCs w:val="1"/>
                <w:color w:val="auto"/>
                <w:w w:val="93"/>
              </w:rPr>
              <w:t>Table 2: Quarter Ended March 31, 2016 compared to Quarter Ended March 31, 2015</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00" w:type="dxa"/>
            <w:vAlign w:val="bottom"/>
            <w:gridSpan w:val="2"/>
          </w:tcPr>
          <w:p>
            <w:pPr>
              <w:spacing w:after="0"/>
              <w:rPr>
                <w:sz w:val="20"/>
                <w:szCs w:val="20"/>
                <w:color w:val="auto"/>
              </w:rPr>
            </w:pPr>
            <w:r>
              <w:rPr>
                <w:rFonts w:ascii="Arial" w:cs="Arial" w:eastAsia="Arial" w:hAnsi="Arial"/>
                <w:sz w:val="18"/>
                <w:szCs w:val="18"/>
                <w:color w:val="auto"/>
                <w:w w:val="97"/>
              </w:rPr>
              <w:t>($ in thousands, except share and per share data)</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For the three months ended March 31,</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0"/>
              </w:rPr>
              <w:t>Sales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Change</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License and transaction fees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14,727</w:t>
            </w: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11,059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3,668</w:t>
            </w: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Equipment sales</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5,634</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4,298</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1,336</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20,361</w:t>
            </w:r>
          </w:p>
        </w:tc>
        <w:tc>
          <w:tcPr>
            <w:tcW w:w="300" w:type="dxa"/>
            <w:vAlign w:val="bottom"/>
            <w:tcBorders>
              <w:top w:val="single" w:sz="8" w:color="F0FFFF"/>
            </w:tcBorders>
          </w:tcPr>
          <w:p>
            <w:pPr>
              <w:spacing w:after="0"/>
              <w:rPr>
                <w:sz w:val="17"/>
                <w:szCs w:val="17"/>
                <w:color w:val="auto"/>
              </w:rPr>
            </w:pPr>
          </w:p>
        </w:tc>
        <w:tc>
          <w:tcPr>
            <w:tcW w:w="114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15,357</w:t>
            </w:r>
          </w:p>
        </w:tc>
        <w:tc>
          <w:tcPr>
            <w:tcW w:w="4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200" w:type="dxa"/>
            <w:vAlign w:val="bottom"/>
            <w:tcBorders>
              <w:top w:val="single" w:sz="8" w:color="F0FFFF"/>
            </w:tcBorders>
          </w:tcPr>
          <w:p>
            <w:pPr>
              <w:spacing w:after="0"/>
              <w:rPr>
                <w:sz w:val="17"/>
                <w:szCs w:val="17"/>
                <w:color w:val="auto"/>
              </w:rPr>
            </w:pPr>
          </w:p>
        </w:tc>
        <w:tc>
          <w:tcPr>
            <w:tcW w:w="1060" w:type="dxa"/>
            <w:vAlign w:val="bottom"/>
            <w:tcBorders>
              <w:top w:val="single" w:sz="8" w:color="F0FFFF"/>
            </w:tcBorders>
          </w:tcPr>
          <w:p>
            <w:pPr>
              <w:jc w:val="right"/>
              <w:ind w:right="110"/>
              <w:spacing w:after="0" w:line="203" w:lineRule="exact"/>
              <w:rPr>
                <w:sz w:val="20"/>
                <w:szCs w:val="20"/>
                <w:color w:val="auto"/>
              </w:rPr>
            </w:pPr>
            <w:r>
              <w:rPr>
                <w:rFonts w:ascii="Arial" w:cs="Arial" w:eastAsia="Arial" w:hAnsi="Arial"/>
                <w:sz w:val="18"/>
                <w:szCs w:val="18"/>
                <w:color w:val="auto"/>
              </w:rPr>
              <w:t>5,004</w:t>
            </w:r>
          </w:p>
        </w:tc>
        <w:tc>
          <w:tcPr>
            <w:tcW w:w="120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Costs of sales/revenues: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9,703</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65.9%</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7,157</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2,546</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Cost of equipment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4,986</w:t>
            </w:r>
          </w:p>
        </w:tc>
        <w:tc>
          <w:tcPr>
            <w:tcW w:w="114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1,932</w:t>
            </w: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costs of sales/revenues</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14,689</w:t>
            </w:r>
          </w:p>
        </w:tc>
        <w:tc>
          <w:tcPr>
            <w:tcW w:w="300" w:type="dxa"/>
            <w:vAlign w:val="bottom"/>
            <w:tcBorders>
              <w:top w:val="single" w:sz="8" w:color="F0FFFF"/>
              <w:bottom w:val="single" w:sz="8" w:color="F0FFFF"/>
            </w:tcBorders>
            <w:shd w:val="clear" w:color="auto" w:fill="F0FFFF"/>
          </w:tcPr>
          <w:p>
            <w:pPr>
              <w:spacing w:after="0"/>
              <w:rPr>
                <w:sz w:val="19"/>
                <w:szCs w:val="19"/>
                <w:color w:val="auto"/>
              </w:rPr>
            </w:pP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10,211</w:t>
            </w:r>
          </w:p>
        </w:tc>
        <w:tc>
          <w:tcPr>
            <w:tcW w:w="420" w:type="dxa"/>
            <w:vAlign w:val="bottom"/>
            <w:tcBorders>
              <w:top w:val="single" w:sz="8" w:color="F0FFFF"/>
              <w:bottom w:val="single" w:sz="8" w:color="F0FFFF"/>
            </w:tcBorders>
            <w:shd w:val="clear" w:color="auto" w:fill="F0FFFF"/>
          </w:tcPr>
          <w:p>
            <w:pPr>
              <w:spacing w:after="0"/>
              <w:rPr>
                <w:sz w:val="19"/>
                <w:szCs w:val="19"/>
                <w:color w:val="auto"/>
              </w:rPr>
            </w:pPr>
          </w:p>
        </w:tc>
        <w:tc>
          <w:tcPr>
            <w:tcW w:w="102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66.5%</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060" w:type="dxa"/>
            <w:vAlign w:val="bottom"/>
            <w:tcBorders>
              <w:top w:val="single" w:sz="8" w:color="F0FFFF"/>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4,478</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5,024</w:t>
            </w: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3,902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1,122</w:t>
            </w: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Equipment sales</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1,244</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(596)</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gross profit</w:t>
            </w: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5,672</w:t>
            </w:r>
          </w:p>
        </w:tc>
        <w:tc>
          <w:tcPr>
            <w:tcW w:w="300" w:type="dxa"/>
            <w:vAlign w:val="bottom"/>
            <w:tcBorders>
              <w:top w:val="single" w:sz="8" w:color="F0FFFF"/>
              <w:bottom w:val="single" w:sz="8" w:color="F0FFFF"/>
            </w:tcBorders>
          </w:tcPr>
          <w:p>
            <w:pPr>
              <w:spacing w:after="0"/>
              <w:rPr>
                <w:sz w:val="18"/>
                <w:szCs w:val="18"/>
                <w:color w:val="auto"/>
              </w:rPr>
            </w:pPr>
          </w:p>
        </w:tc>
        <w:tc>
          <w:tcPr>
            <w:tcW w:w="114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27.9%</w:t>
            </w:r>
          </w:p>
        </w:tc>
        <w:tc>
          <w:tcPr>
            <w:tcW w:w="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5,146</w:t>
            </w:r>
          </w:p>
        </w:tc>
        <w:tc>
          <w:tcPr>
            <w:tcW w:w="420" w:type="dxa"/>
            <w:vAlign w:val="bottom"/>
            <w:tcBorders>
              <w:top w:val="single" w:sz="8" w:color="F0FFFF"/>
              <w:bottom w:val="single" w:sz="8" w:color="F0FFFF"/>
            </w:tcBorders>
          </w:tcPr>
          <w:p>
            <w:pPr>
              <w:spacing w:after="0"/>
              <w:rPr>
                <w:sz w:val="18"/>
                <w:szCs w:val="18"/>
                <w:color w:val="auto"/>
              </w:rPr>
            </w:pPr>
          </w:p>
        </w:tc>
        <w:tc>
          <w:tcPr>
            <w:tcW w:w="102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33.5%</w:t>
            </w:r>
          </w:p>
        </w:tc>
        <w:tc>
          <w:tcPr>
            <w:tcW w:w="20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110"/>
              <w:spacing w:after="0" w:line="203" w:lineRule="exact"/>
              <w:rPr>
                <w:sz w:val="20"/>
                <w:szCs w:val="20"/>
                <w:color w:val="auto"/>
              </w:rPr>
            </w:pPr>
            <w:r>
              <w:rPr>
                <w:rFonts w:ascii="Arial" w:cs="Arial" w:eastAsia="Arial" w:hAnsi="Arial"/>
                <w:sz w:val="18"/>
                <w:szCs w:val="18"/>
                <w:color w:val="auto"/>
              </w:rPr>
              <w:t>526</w:t>
            </w:r>
          </w:p>
        </w:tc>
        <w:tc>
          <w:tcPr>
            <w:tcW w:w="120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6,094</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4,281</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1,813</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2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6,267</w:t>
            </w:r>
          </w:p>
        </w:tc>
        <w:tc>
          <w:tcPr>
            <w:tcW w:w="300" w:type="dxa"/>
            <w:vAlign w:val="bottom"/>
            <w:tcBorders>
              <w:top w:val="single" w:sz="8" w:color="F0FFFF"/>
              <w:bottom w:val="single" w:sz="8" w:color="F0FFFF"/>
            </w:tcBorders>
            <w:shd w:val="clear" w:color="auto" w:fill="F0FFFF"/>
          </w:tcPr>
          <w:p>
            <w:pPr>
              <w:spacing w:after="0"/>
              <w:rPr>
                <w:sz w:val="20"/>
                <w:szCs w:val="20"/>
                <w:color w:val="auto"/>
              </w:rPr>
            </w:pP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4,416</w:t>
            </w:r>
          </w:p>
        </w:tc>
        <w:tc>
          <w:tcPr>
            <w:tcW w:w="420" w:type="dxa"/>
            <w:vAlign w:val="bottom"/>
            <w:tcBorders>
              <w:top w:val="single" w:sz="8" w:color="F0FFFF"/>
              <w:bottom w:val="single" w:sz="8" w:color="F0FFFF"/>
            </w:tcBorders>
            <w:shd w:val="clear" w:color="auto" w:fill="F0FFFF"/>
          </w:tcPr>
          <w:p>
            <w:pPr>
              <w:spacing w:after="0"/>
              <w:rPr>
                <w:sz w:val="20"/>
                <w:szCs w:val="20"/>
                <w:color w:val="auto"/>
              </w:rPr>
            </w:pPr>
          </w:p>
        </w:tc>
        <w:tc>
          <w:tcPr>
            <w:tcW w:w="102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60" w:type="dxa"/>
            <w:vAlign w:val="bottom"/>
            <w:tcBorders>
              <w:top w:val="single" w:sz="8" w:color="F0FFFF"/>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1,851</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(595)</w:t>
            </w: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730</w:t>
            </w:r>
          </w:p>
        </w:tc>
        <w:tc>
          <w:tcPr>
            <w:tcW w:w="42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10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(1,325)</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40</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12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(4,805)</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(1,101)</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(3,704)</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(4,918</w:t>
            </w:r>
          </w:p>
        </w:tc>
        <w:tc>
          <w:tcPr>
            <w:tcW w:w="300" w:type="dxa"/>
            <w:vAlign w:val="bottom"/>
            <w:tcBorders>
              <w:top w:val="single" w:sz="8" w:color="F0FFFF"/>
              <w:bottom w:val="single" w:sz="8" w:color="F0FF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(1,159</w:t>
            </w:r>
          </w:p>
        </w:tc>
        <w:tc>
          <w:tcPr>
            <w:tcW w:w="420" w:type="dxa"/>
            <w:vAlign w:val="bottom"/>
            <w:tcBorders>
              <w:top w:val="single" w:sz="8" w:color="F0FFFF"/>
              <w:bottom w:val="single" w:sz="8" w:color="F0FFFF"/>
            </w:tcBorders>
          </w:tcPr>
          <w:p>
            <w:pPr>
              <w:jc w:val="right"/>
              <w:ind w:right="28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20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50"/>
              <w:spacing w:after="0" w:line="203" w:lineRule="exact"/>
              <w:rPr>
                <w:sz w:val="20"/>
                <w:szCs w:val="20"/>
                <w:color w:val="auto"/>
              </w:rPr>
            </w:pPr>
            <w:r>
              <w:rPr>
                <w:rFonts w:ascii="Arial" w:cs="Arial" w:eastAsia="Arial" w:hAnsi="Arial"/>
                <w:sz w:val="18"/>
                <w:szCs w:val="18"/>
                <w:color w:val="auto"/>
              </w:rPr>
              <w:t>(3,759)</w:t>
            </w:r>
          </w:p>
        </w:tc>
        <w:tc>
          <w:tcPr>
            <w:tcW w:w="120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(5,513)</w:t>
            </w: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(5,084)</w:t>
            </w:r>
          </w:p>
        </w:tc>
        <w:tc>
          <w:tcPr>
            <w:tcW w:w="1200" w:type="dxa"/>
            <w:vAlign w:val="bottom"/>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93</w:t>
            </w:r>
          </w:p>
        </w:tc>
        <w:tc>
          <w:tcPr>
            <w:tcW w:w="11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231</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(5,420)</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(567)</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(4,853)</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(5,754</w:t>
            </w:r>
          </w:p>
        </w:tc>
        <w:tc>
          <w:tcPr>
            <w:tcW w:w="300" w:type="dxa"/>
            <w:vAlign w:val="bottom"/>
            <w:tcBorders>
              <w:top w:val="single" w:sz="8" w:color="F0FFFF"/>
              <w:bottom w:val="single" w:sz="8" w:color="F0FFFF"/>
            </w:tcBorders>
            <w:shd w:val="clear" w:color="auto" w:fill="F0FFFF"/>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(901</w:t>
            </w:r>
          </w:p>
        </w:tc>
        <w:tc>
          <w:tcPr>
            <w:tcW w:w="420" w:type="dxa"/>
            <w:vAlign w:val="bottom"/>
            <w:tcBorders>
              <w:top w:val="single" w:sz="8" w:color="F0FFFF"/>
              <w:bottom w:val="single" w:sz="8" w:color="F0FFFF"/>
            </w:tcBorders>
            <w:shd w:val="clear" w:color="auto" w:fill="F0FFFF"/>
          </w:tcPr>
          <w:p>
            <w:pPr>
              <w:jc w:val="right"/>
              <w:ind w:right="28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rPr>
              <w:t>(4,853)</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bottom w:val="single" w:sz="8" w:color="F0FFFF"/>
            </w:tcBorders>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420" w:type="dxa"/>
            <w:vAlign w:val="bottom"/>
            <w:tcBorders>
              <w:top w:val="single" w:sz="8" w:color="F0FFFF"/>
              <w:bottom w:val="single" w:sz="8" w:color="F0FFFF"/>
            </w:tcBorders>
            <w:vMerge w:val="restart"/>
          </w:tcPr>
          <w:p>
            <w:pPr>
              <w:jc w:val="right"/>
              <w:ind w:right="2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bottom w:val="single" w:sz="8" w:color="F0FFFF"/>
            </w:tcBorders>
            <w:vMerge w:val="restart"/>
          </w:tcPr>
          <w:p>
            <w:pPr>
              <w:jc w:val="right"/>
              <w:ind w:right="50"/>
              <w:spacing w:after="0"/>
              <w:rPr>
                <w:sz w:val="20"/>
                <w:szCs w:val="20"/>
                <w:color w:val="auto"/>
              </w:rPr>
            </w:pPr>
            <w:r>
              <w:rPr>
                <w:rFonts w:ascii="Arial" w:cs="Arial" w:eastAsia="Arial" w:hAnsi="Arial"/>
                <w:sz w:val="18"/>
                <w:szCs w:val="18"/>
                <w:color w:val="auto"/>
              </w:rPr>
              <w:t>(0.13)</w:t>
            </w:r>
          </w:p>
        </w:tc>
        <w:tc>
          <w:tcPr>
            <w:tcW w:w="12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(0.16</w:t>
            </w:r>
          </w:p>
        </w:tc>
        <w:tc>
          <w:tcPr>
            <w:tcW w:w="3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(0.03</w:t>
            </w:r>
          </w:p>
        </w:tc>
        <w:tc>
          <w:tcPr>
            <w:tcW w:w="4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6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shd w:val="clear" w:color="auto" w:fill="F0FFFF"/>
          </w:tcPr>
          <w:p>
            <w:pPr>
              <w:spacing w:after="0" w:line="169" w:lineRule="exact"/>
              <w:rPr>
                <w:sz w:val="20"/>
                <w:szCs w:val="20"/>
                <w:color w:val="auto"/>
              </w:rPr>
            </w:pPr>
            <w:r>
              <w:rPr>
                <w:rFonts w:ascii="Arial" w:cs="Arial" w:eastAsia="Arial" w:hAnsi="Arial"/>
                <w:sz w:val="18"/>
                <w:szCs w:val="18"/>
                <w:color w:val="auto"/>
              </w:rPr>
              <w:t>Basic and diluted weighted average number of</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3"/>
              </w:rPr>
              <w:t>36,161,613</w:t>
            </w:r>
          </w:p>
        </w:tc>
        <w:tc>
          <w:tcPr>
            <w:tcW w:w="11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w w:val="93"/>
              </w:rPr>
              <w:t>35,747,979</w:t>
            </w:r>
          </w:p>
        </w:tc>
        <w:tc>
          <w:tcPr>
            <w:tcW w:w="8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413,635</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1,347</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2,379</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(1,032)</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3"/>
              </w:rPr>
              <w:t>Non-GAAP net income (loss) applicable to common</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shares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(421)</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321</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(742)</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Total connections at period-end</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401,000</w:t>
            </w: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302,000</w:t>
            </w: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new connections in period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14,000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jc w:val="center"/>
              <w:ind w:right="190"/>
              <w:spacing w:after="0"/>
              <w:rPr>
                <w:sz w:val="20"/>
                <w:szCs w:val="20"/>
                <w:color w:val="auto"/>
              </w:rPr>
            </w:pPr>
            <w:r>
              <w:rPr>
                <w:rFonts w:ascii="Arial" w:cs="Arial" w:eastAsia="Arial" w:hAnsi="Arial"/>
                <w:sz w:val="18"/>
                <w:szCs w:val="18"/>
                <w:color w:val="auto"/>
                <w:w w:val="89"/>
              </w:rPr>
              <w:t>32</w:t>
            </w:r>
          </w:p>
        </w:tc>
        <w:tc>
          <w:tcPr>
            <w:tcW w:w="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11"/>
          </w:tcPr>
          <w:p>
            <w:pPr>
              <w:spacing w:after="0"/>
              <w:rPr>
                <w:sz w:val="20"/>
                <w:szCs w:val="20"/>
                <w:color w:val="auto"/>
              </w:rPr>
            </w:pPr>
            <w:r>
              <w:rPr>
                <w:rFonts w:ascii="Arial" w:cs="Arial" w:eastAsia="Arial" w:hAnsi="Arial"/>
                <w:sz w:val="18"/>
                <w:szCs w:val="18"/>
                <w:b w:val="1"/>
                <w:bCs w:val="1"/>
                <w:color w:val="auto"/>
                <w:w w:val="95"/>
              </w:rPr>
              <w:t>Table 3: Nine Months Ended March 31, 2016 compared to the Nine Months Ended March 31, 2015</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gridSpan w:val="2"/>
          </w:tcPr>
          <w:p>
            <w:pPr>
              <w:spacing w:after="0"/>
              <w:rPr>
                <w:sz w:val="20"/>
                <w:szCs w:val="20"/>
                <w:color w:val="auto"/>
              </w:rPr>
            </w:pPr>
            <w:r>
              <w:rPr>
                <w:rFonts w:ascii="Arial" w:cs="Arial" w:eastAsia="Arial" w:hAnsi="Arial"/>
                <w:sz w:val="18"/>
                <w:szCs w:val="18"/>
                <w:color w:val="auto"/>
                <w:w w:val="94"/>
              </w:rPr>
              <w:t>($ in thousands, except share and per share data)</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For the nine months ended March 31,</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0"/>
              </w:rPr>
              <w:t>Sales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Change</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License and transaction fees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41,326</w:t>
            </w: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31,695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9,631</w:t>
            </w: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Equipment sales</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14,138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8,736</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5,402</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55,464</w:t>
            </w:r>
          </w:p>
        </w:tc>
        <w:tc>
          <w:tcPr>
            <w:tcW w:w="300" w:type="dxa"/>
            <w:vAlign w:val="bottom"/>
            <w:tcBorders>
              <w:top w:val="single" w:sz="8" w:color="F0FFFF"/>
            </w:tcBorders>
          </w:tcPr>
          <w:p>
            <w:pPr>
              <w:spacing w:after="0"/>
              <w:rPr>
                <w:sz w:val="17"/>
                <w:szCs w:val="17"/>
                <w:color w:val="auto"/>
              </w:rPr>
            </w:pPr>
          </w:p>
        </w:tc>
        <w:tc>
          <w:tcPr>
            <w:tcW w:w="114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40,431</w:t>
            </w:r>
          </w:p>
        </w:tc>
        <w:tc>
          <w:tcPr>
            <w:tcW w:w="400" w:type="dxa"/>
            <w:vAlign w:val="bottom"/>
            <w:tcBorders>
              <w:top w:val="single" w:sz="8" w:color="F0FFFF"/>
            </w:tcBorders>
          </w:tcPr>
          <w:p>
            <w:pPr>
              <w:spacing w:after="0"/>
              <w:rPr>
                <w:sz w:val="17"/>
                <w:szCs w:val="17"/>
                <w:color w:val="auto"/>
              </w:rPr>
            </w:pPr>
          </w:p>
        </w:tc>
        <w:tc>
          <w:tcPr>
            <w:tcW w:w="1040" w:type="dxa"/>
            <w:vAlign w:val="bottom"/>
            <w:tcBorders>
              <w:top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200" w:type="dxa"/>
            <w:vAlign w:val="bottom"/>
            <w:tcBorders>
              <w:top w:val="single" w:sz="8" w:color="F0FFFF"/>
            </w:tcBorders>
          </w:tcPr>
          <w:p>
            <w:pPr>
              <w:spacing w:after="0"/>
              <w:rPr>
                <w:sz w:val="17"/>
                <w:szCs w:val="17"/>
                <w:color w:val="auto"/>
              </w:rPr>
            </w:pPr>
          </w:p>
        </w:tc>
        <w:tc>
          <w:tcPr>
            <w:tcW w:w="1060" w:type="dxa"/>
            <w:vAlign w:val="bottom"/>
            <w:tcBorders>
              <w:top w:val="single" w:sz="8" w:color="F0FFFF"/>
            </w:tcBorders>
          </w:tcPr>
          <w:p>
            <w:pPr>
              <w:jc w:val="right"/>
              <w:ind w:right="110"/>
              <w:spacing w:after="0" w:line="203" w:lineRule="exact"/>
              <w:rPr>
                <w:sz w:val="20"/>
                <w:szCs w:val="20"/>
                <w:color w:val="auto"/>
              </w:rPr>
            </w:pPr>
            <w:r>
              <w:rPr>
                <w:rFonts w:ascii="Arial" w:cs="Arial" w:eastAsia="Arial" w:hAnsi="Arial"/>
                <w:sz w:val="18"/>
                <w:szCs w:val="18"/>
                <w:color w:val="auto"/>
              </w:rPr>
              <w:t>15,033</w:t>
            </w:r>
          </w:p>
        </w:tc>
        <w:tc>
          <w:tcPr>
            <w:tcW w:w="120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Costs of sales/revenues: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27,475</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21,566</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5,909</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Cost of equipment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11,787</w:t>
            </w:r>
          </w:p>
        </w:tc>
        <w:tc>
          <w:tcPr>
            <w:tcW w:w="1140" w:type="dxa"/>
            <w:vAlign w:val="bottom"/>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6,850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4,937</w:t>
            </w:r>
          </w:p>
        </w:tc>
        <w:tc>
          <w:tcPr>
            <w:tcW w:w="120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costs of sales/revenues</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39,262</w:t>
            </w:r>
          </w:p>
        </w:tc>
        <w:tc>
          <w:tcPr>
            <w:tcW w:w="300" w:type="dxa"/>
            <w:vAlign w:val="bottom"/>
            <w:tcBorders>
              <w:top w:val="single" w:sz="8" w:color="F0FFFF"/>
              <w:bottom w:val="single" w:sz="8" w:color="F0FFFF"/>
            </w:tcBorders>
            <w:shd w:val="clear" w:color="auto" w:fill="F0FFFF"/>
          </w:tcPr>
          <w:p>
            <w:pPr>
              <w:spacing w:after="0"/>
              <w:rPr>
                <w:sz w:val="19"/>
                <w:szCs w:val="19"/>
                <w:color w:val="auto"/>
              </w:rPr>
            </w:pP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70.8%</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28,416</w:t>
            </w:r>
          </w:p>
        </w:tc>
        <w:tc>
          <w:tcPr>
            <w:tcW w:w="400" w:type="dxa"/>
            <w:vAlign w:val="bottom"/>
            <w:tcBorders>
              <w:top w:val="single" w:sz="8" w:color="F0FFFF"/>
              <w:bottom w:val="single" w:sz="8" w:color="F0FFFF"/>
            </w:tcBorders>
            <w:shd w:val="clear" w:color="auto" w:fill="F0FFFF"/>
          </w:tcPr>
          <w:p>
            <w:pPr>
              <w:spacing w:after="0"/>
              <w:rPr>
                <w:sz w:val="19"/>
                <w:szCs w:val="19"/>
                <w:color w:val="auto"/>
              </w:rPr>
            </w:pPr>
          </w:p>
        </w:tc>
        <w:tc>
          <w:tcPr>
            <w:tcW w:w="10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70.3%</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060" w:type="dxa"/>
            <w:vAlign w:val="bottom"/>
            <w:tcBorders>
              <w:top w:val="single" w:sz="8" w:color="F0FFFF"/>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10,846</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13,851</w:t>
            </w: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10,129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3,722</w:t>
            </w: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Equipment sales</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2,351</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1,886</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465</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16,202</w:t>
            </w:r>
          </w:p>
        </w:tc>
        <w:tc>
          <w:tcPr>
            <w:tcW w:w="300" w:type="dxa"/>
            <w:vAlign w:val="bottom"/>
            <w:tcBorders>
              <w:top w:val="single" w:sz="8" w:color="F0FFFF"/>
              <w:bottom w:val="single" w:sz="8" w:color="F0FFFF"/>
            </w:tcBorders>
          </w:tcPr>
          <w:p>
            <w:pPr>
              <w:spacing w:after="0"/>
              <w:rPr>
                <w:sz w:val="18"/>
                <w:szCs w:val="18"/>
                <w:color w:val="auto"/>
              </w:rPr>
            </w:pPr>
          </w:p>
        </w:tc>
        <w:tc>
          <w:tcPr>
            <w:tcW w:w="114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29.2%</w:t>
            </w:r>
          </w:p>
        </w:tc>
        <w:tc>
          <w:tcPr>
            <w:tcW w:w="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12,015</w:t>
            </w:r>
          </w:p>
        </w:tc>
        <w:tc>
          <w:tcPr>
            <w:tcW w:w="400" w:type="dxa"/>
            <w:vAlign w:val="bottom"/>
            <w:tcBorders>
              <w:top w:val="single" w:sz="8" w:color="F0FFFF"/>
              <w:bottom w:val="single" w:sz="8" w:color="F0FFFF"/>
            </w:tcBorders>
          </w:tcPr>
          <w:p>
            <w:pPr>
              <w:spacing w:after="0"/>
              <w:rPr>
                <w:sz w:val="18"/>
                <w:szCs w:val="18"/>
                <w:color w:val="auto"/>
              </w:rPr>
            </w:pPr>
          </w:p>
        </w:tc>
        <w:tc>
          <w:tcPr>
            <w:tcW w:w="104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29.7%</w:t>
            </w:r>
          </w:p>
        </w:tc>
        <w:tc>
          <w:tcPr>
            <w:tcW w:w="20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110"/>
              <w:spacing w:after="0" w:line="203" w:lineRule="exact"/>
              <w:rPr>
                <w:sz w:val="20"/>
                <w:szCs w:val="20"/>
                <w:color w:val="auto"/>
              </w:rPr>
            </w:pPr>
            <w:r>
              <w:rPr>
                <w:rFonts w:ascii="Arial" w:cs="Arial" w:eastAsia="Arial" w:hAnsi="Arial"/>
                <w:sz w:val="18"/>
                <w:szCs w:val="18"/>
                <w:color w:val="auto"/>
              </w:rPr>
              <w:t>4,187</w:t>
            </w:r>
          </w:p>
        </w:tc>
        <w:tc>
          <w:tcPr>
            <w:tcW w:w="120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15,652</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11,444</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4,208</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456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16,091</w:t>
            </w:r>
          </w:p>
        </w:tc>
        <w:tc>
          <w:tcPr>
            <w:tcW w:w="300" w:type="dxa"/>
            <w:vAlign w:val="bottom"/>
            <w:tcBorders>
              <w:top w:val="single" w:sz="8" w:color="F0FFFF"/>
              <w:bottom w:val="single" w:sz="8" w:color="F0FFFF"/>
            </w:tcBorders>
            <w:shd w:val="clear" w:color="auto" w:fill="F0FFFF"/>
          </w:tcPr>
          <w:p>
            <w:pPr>
              <w:spacing w:after="0"/>
              <w:rPr>
                <w:sz w:val="20"/>
                <w:szCs w:val="20"/>
                <w:color w:val="auto"/>
              </w:rPr>
            </w:pP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29.0%</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11,900</w:t>
            </w:r>
          </w:p>
        </w:tc>
        <w:tc>
          <w:tcPr>
            <w:tcW w:w="400" w:type="dxa"/>
            <w:vAlign w:val="bottom"/>
            <w:tcBorders>
              <w:top w:val="single" w:sz="8" w:color="F0FFFF"/>
              <w:bottom w:val="single" w:sz="8" w:color="F0FFFF"/>
            </w:tcBorders>
            <w:shd w:val="clear" w:color="auto" w:fill="F0FFFF"/>
          </w:tcPr>
          <w:p>
            <w:pPr>
              <w:spacing w:after="0"/>
              <w:rPr>
                <w:sz w:val="20"/>
                <w:szCs w:val="20"/>
                <w:color w:val="auto"/>
              </w:rPr>
            </w:pPr>
          </w:p>
        </w:tc>
        <w:tc>
          <w:tcPr>
            <w:tcW w:w="10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29.4%</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60" w:type="dxa"/>
            <w:vAlign w:val="bottom"/>
            <w:tcBorders>
              <w:top w:val="single" w:sz="8" w:color="F0FFFF"/>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4,191</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111</w:t>
            </w: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400" w:type="dxa"/>
            <w:vAlign w:val="bottom"/>
          </w:tcPr>
          <w:p>
            <w:pPr>
              <w:spacing w:after="0"/>
              <w:rPr>
                <w:sz w:val="17"/>
                <w:szCs w:val="17"/>
                <w:color w:val="auto"/>
              </w:rPr>
            </w:pP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10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(4)</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97</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(5,692)</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(656)</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(5,036)</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(5,957</w:t>
            </w:r>
          </w:p>
        </w:tc>
        <w:tc>
          <w:tcPr>
            <w:tcW w:w="300" w:type="dxa"/>
            <w:vAlign w:val="bottom"/>
            <w:tcBorders>
              <w:top w:val="single" w:sz="8" w:color="F0FFFF"/>
              <w:bottom w:val="single" w:sz="8" w:color="F0FF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6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w:t>
            </w:r>
          </w:p>
        </w:tc>
        <w:tc>
          <w:tcPr>
            <w:tcW w:w="400" w:type="dxa"/>
            <w:vAlign w:val="bottom"/>
            <w:tcBorders>
              <w:top w:val="single" w:sz="8" w:color="F0FFFF"/>
              <w:bottom w:val="single" w:sz="8" w:color="F0FFFF"/>
            </w:tcBorders>
          </w:tcPr>
          <w:p>
            <w:pPr>
              <w:jc w:val="right"/>
              <w:ind w:right="26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-2.0%</w:t>
            </w:r>
          </w:p>
        </w:tc>
        <w:tc>
          <w:tcPr>
            <w:tcW w:w="20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50"/>
              <w:spacing w:after="0" w:line="203" w:lineRule="exact"/>
              <w:rPr>
                <w:sz w:val="20"/>
                <w:szCs w:val="20"/>
                <w:color w:val="auto"/>
              </w:rPr>
            </w:pPr>
            <w:r>
              <w:rPr>
                <w:rFonts w:ascii="Arial" w:cs="Arial" w:eastAsia="Arial" w:hAnsi="Arial"/>
                <w:sz w:val="18"/>
                <w:szCs w:val="18"/>
                <w:color w:val="auto"/>
              </w:rPr>
              <w:t>(5,133)</w:t>
            </w:r>
          </w:p>
        </w:tc>
        <w:tc>
          <w:tcPr>
            <w:tcW w:w="120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(5,846)</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(5,137)</w:t>
            </w:r>
          </w:p>
        </w:tc>
        <w:tc>
          <w:tcPr>
            <w:tcW w:w="1200" w:type="dxa"/>
            <w:vAlign w:val="bottom"/>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(88)</w:t>
            </w:r>
          </w:p>
        </w:tc>
        <w:tc>
          <w:tcPr>
            <w:tcW w:w="11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(180)</w:t>
            </w:r>
          </w:p>
        </w:tc>
        <w:tc>
          <w:tcPr>
            <w:tcW w:w="8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(92)</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(5,934)</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(889)</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(5,045)</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7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(6,602</w:t>
            </w:r>
          </w:p>
        </w:tc>
        <w:tc>
          <w:tcPr>
            <w:tcW w:w="300" w:type="dxa"/>
            <w:vAlign w:val="bottom"/>
            <w:tcBorders>
              <w:top w:val="single" w:sz="8" w:color="F0FFFF"/>
              <w:bottom w:val="single" w:sz="8" w:color="F0FFFF"/>
            </w:tcBorders>
            <w:shd w:val="clear" w:color="auto" w:fill="F0FFFF"/>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(1,557</w:t>
            </w:r>
          </w:p>
        </w:tc>
        <w:tc>
          <w:tcPr>
            <w:tcW w:w="400" w:type="dxa"/>
            <w:vAlign w:val="bottom"/>
            <w:tcBorders>
              <w:top w:val="single" w:sz="8" w:color="F0FFFF"/>
              <w:bottom w:val="single" w:sz="8" w:color="F0FFFF"/>
            </w:tcBorders>
            <w:shd w:val="clear" w:color="auto" w:fill="F0FFFF"/>
          </w:tcPr>
          <w:p>
            <w:pPr>
              <w:jc w:val="right"/>
              <w:ind w:right="26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rPr>
              <w:t>(5,045)</w:t>
            </w:r>
          </w:p>
        </w:tc>
        <w:tc>
          <w:tcPr>
            <w:tcW w:w="1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bottom w:val="single" w:sz="8" w:color="F0FFFF"/>
            </w:tcBorders>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400" w:type="dxa"/>
            <w:vAlign w:val="bottom"/>
            <w:tcBorders>
              <w:top w:val="single" w:sz="8" w:color="F0FFFF"/>
              <w:bottom w:val="single" w:sz="8" w:color="F0FFFF"/>
            </w:tcBorders>
            <w:vMerge w:val="restart"/>
          </w:tcPr>
          <w:p>
            <w:pPr>
              <w:jc w:val="right"/>
              <w:ind w:right="26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bottom w:val="single" w:sz="8" w:color="F0FFFF"/>
            </w:tcBorders>
            <w:vMerge w:val="restart"/>
          </w:tcPr>
          <w:p>
            <w:pPr>
              <w:jc w:val="right"/>
              <w:ind w:right="50"/>
              <w:spacing w:after="0"/>
              <w:rPr>
                <w:sz w:val="20"/>
                <w:szCs w:val="20"/>
                <w:color w:val="auto"/>
              </w:rPr>
            </w:pPr>
            <w:r>
              <w:rPr>
                <w:rFonts w:ascii="Arial" w:cs="Arial" w:eastAsia="Arial" w:hAnsi="Arial"/>
                <w:sz w:val="18"/>
                <w:szCs w:val="18"/>
                <w:color w:val="auto"/>
              </w:rPr>
              <w:t>(0.14)</w:t>
            </w:r>
          </w:p>
        </w:tc>
        <w:tc>
          <w:tcPr>
            <w:tcW w:w="12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(0.18</w:t>
            </w:r>
          </w:p>
        </w:tc>
        <w:tc>
          <w:tcPr>
            <w:tcW w:w="3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(0.04</w:t>
            </w:r>
          </w:p>
        </w:tc>
        <w:tc>
          <w:tcPr>
            <w:tcW w:w="4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6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shd w:val="clear" w:color="auto" w:fill="F0FFFF"/>
          </w:tcPr>
          <w:p>
            <w:pPr>
              <w:spacing w:after="0" w:line="169" w:lineRule="exact"/>
              <w:rPr>
                <w:sz w:val="20"/>
                <w:szCs w:val="20"/>
                <w:color w:val="auto"/>
              </w:rPr>
            </w:pPr>
            <w:r>
              <w:rPr>
                <w:rFonts w:ascii="Arial" w:cs="Arial" w:eastAsia="Arial" w:hAnsi="Arial"/>
                <w:sz w:val="18"/>
                <w:szCs w:val="18"/>
                <w:color w:val="auto"/>
              </w:rPr>
              <w:t>Basic and diluted weighted average number of</w:t>
            </w: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common shares outstanding</w:t>
            </w: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3"/>
              </w:rPr>
              <w:t>35,961,648</w:t>
            </w:r>
          </w:p>
        </w:tc>
        <w:tc>
          <w:tcPr>
            <w:tcW w:w="11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w w:val="93"/>
              </w:rPr>
              <w:t>35,705,210</w:t>
            </w:r>
          </w:p>
        </w:tc>
        <w:tc>
          <w:tcPr>
            <w:tcW w:w="8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256,438</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5,358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5,007</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351</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w w:val="95"/>
              </w:rPr>
              <w:t>Non-GAAP net loss applicable to common shares</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(747)</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739</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Total connections at period-end</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401,000</w:t>
            </w:r>
          </w:p>
        </w:tc>
        <w:tc>
          <w:tcPr>
            <w:tcW w:w="1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302,000</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new connections in period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68,000</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36,000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7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jc w:val="center"/>
              <w:ind w:right="190"/>
              <w:spacing w:after="0"/>
              <w:rPr>
                <w:sz w:val="20"/>
                <w:szCs w:val="20"/>
                <w:color w:val="auto"/>
              </w:rPr>
            </w:pPr>
            <w:r>
              <w:rPr>
                <w:rFonts w:ascii="Arial" w:cs="Arial" w:eastAsia="Arial" w:hAnsi="Arial"/>
                <w:sz w:val="18"/>
                <w:szCs w:val="18"/>
                <w:color w:val="auto"/>
                <w:w w:val="89"/>
              </w:rPr>
              <w:t>33</w:t>
            </w:r>
          </w:p>
        </w:tc>
        <w:tc>
          <w:tcPr>
            <w:tcW w:w="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The increase in net new connections of approximately 32,000 for the three-month period ended March 31, 2016 compared to approximately 14,000</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last year represents an increase of 128%. The increase in net new connections of 68,000 for the nine-month period ended March 31, 2016 compared to 36,000 for the same period last year represents an increase of 89%. The Company’s total connections have grown to 401,000 at March 31, 2016 compared to 302,000 at March 31, 2015, or a 32.8% increase year-over-year. The increase in total connections is driving the growth in license and transaction fees of 33.2% quarter-over-quarter and 30.4% over the prior comparable nine month period.</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License and transaction fees gross margin for the three-month period ended March 31, 2016 decreased from 35.3% to 34.1%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three-month period ended March 31, 2015. The Company periodically offers reduced fees for customers who offer strategic and/or large market opportunities. During the nine month period, license and transaction fee gross margin increased from 32.0% to 33.5%. Management believes that this reflects the appropriate longer term margin for license and transaction fees. Equipment gross margin decreased from 28.9% for the three-month period ended March 31, 2015 to 11.5% for the three-month period ended March 31, 2016. The primary reason was that the prior year quarter included a $747 thousand recovery as well as strategic offers as noted above. Equipment gross margins decreased from 21.6% for the nine-month period ended March 31, 2015 to 16.6% for the nine-month period ended March 31, 2016. The decrease reflects the prior recovery noted above as well as strategic offers as noted above.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$1.8 million or 27.9% for the three-month period ended March 31, 2016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The increases are primarily due to non-recurring charges of $461 thousand incurred in connection with the acquisition and integration of the VendScreen business, $105 thousand of professional fees incurred in connection with the class action litigation and other professional fees of $444 thousand. Lesser increases were in salaries and benefits, and bad debt provision. Operating expenses increased $4.2 million or 36.8% for the nine-month period ended March 31, 2016 compared to the same period in 2015. The increase are primarily due to salary and benefit increases of $1.4 million, professional fee increases of $1.1 million, and non-recurring charges of $584 thousand incurred in connection with the acquisition and integration of the VendScreen business, and $105 thousand of processional fees incurred during the March 31, 2016 quarter in connection with the class action litigation. Operating expenses as a percentage of sales increased for the three months ended March 31, 2016 to 30.8% compared to 28.8% for the three months ended March 31, 2015. Operating expenses as a percentage of sales decreased for the nine months ended March 31, 2016 to 29.0% compared to 29.4% for the nine months ended March 31, 2015. Going forward into the fourth quarter of fiscal 2016 and the first quarter of fiscal 2017, management expects decreased SG&amp;A expenses as compared to those during the third quarter due to, among other things, realization of efficiencies and/or cost reductions.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Total Other Income (Expense). </w:t>
      </w:r>
      <w:r>
        <w:rPr>
          <w:rFonts w:ascii="Arial" w:cs="Arial" w:eastAsia="Arial" w:hAnsi="Arial"/>
          <w:sz w:val="16"/>
          <w:szCs w:val="16"/>
          <w:color w:val="auto"/>
        </w:rPr>
        <w:t>Includes interest expense, other income, and the change in the fair value of warrants. The primary driver for volatility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Income / (Expense) has been non-cash changes to the fair value of the warrant liabilities which are based on the Company’s stock price. Using the Black-Scholes model, the Company adjusts the warrant liability for fair value through the income statement quarterly. For the three-month period ended March 31, 2016 the Company recorded expense of $4.8 million for the change in the fair value of warrant liabilities compared to $1.0 million for the three months ended March 31, 2015. For the nine-month period ended March 31, 2016 the Company recorded expense of $5.7 million for the change in the fair value of warrant liabilities compared to $656 thousand for the nine months ended March 31, 2015. The change in both periods can be primarily attributed to the increase in market price of the Company’s common stock at the valuation dates which was $4.36 at March 31, 2016 and $2.75 at March 31, 2015.</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is a function of the items described above. The increase in net loss is primarily attributed to the increase in the fair value of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augmented by increased one-time charges related to the VendScreen acquisition.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March 31, 2016 adjusted EBITDA decreased 43.4% from $2.379 million at March 31, 2015 to $1.347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at March 31, 2016. The $1.0 million decrease was primarily due to decreases in equipment gross profit versus same quarter last year, as noted above, as well as increases in professional service fees and bad debt expense. For the nine months ended March 31, 2016 adjusted EBITDA increased 7.0% from $5.007 million at March 31, 2015 to $5.358 million at March 31, 2016. The $351 thousand increase is primarily due to an increase in gross margins on license and transaction fees in excess of the increases in operating expenses noted above.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Non-GAAP Net Income. </w:t>
      </w:r>
      <w:r>
        <w:rPr>
          <w:rFonts w:ascii="Arial" w:cs="Arial" w:eastAsia="Arial" w:hAnsi="Arial"/>
          <w:sz w:val="16"/>
          <w:szCs w:val="16"/>
          <w:color w:val="auto"/>
        </w:rPr>
        <w:t>For the three months ended March 31, 2016 non-GAAP net income applicable to common shares decreased 231.2% from $321</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during the three months ended March 31, 2015 to a loss of $421 thousand. The decrease was primarily due to decreases in gross margins during the current quarter as well as increases in professional service fees and bad debt expense. For the nine months ended March 31, 2016 non-GAAP net income applicable to common shares increased 98.9% from a loss of $747 thousand during the nine months ended March 31, 2015 to loss of $8 thousand. The increase is primarily due to the increased gross margin on license and transaction fees in excess of the increases in operating expenses noted above.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gradual increase in the basic weighted average number of common shares has been due to stock issued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based compensation programs.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w w:val="95"/>
              </w:rPr>
              <w:t>Table 4: Reconciliation of Net Income (Loss) to Adjusted EBITDA:</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For the 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11"/>
        </w:trPr>
        <w:tc>
          <w:tcPr>
            <w:tcW w:w="5380" w:type="dxa"/>
            <w:vAlign w:val="bottom"/>
            <w:gridSpan w:val="2"/>
            <w:vMerge w:val="restart"/>
          </w:tcPr>
          <w:p>
            <w:pPr>
              <w:ind w:left="86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(5,420)</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(5,934)</w:t>
            </w: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(889)</w:t>
            </w: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interest income</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Plus interest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plus income tax provision</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Plus depreciation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amortization expense</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0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Plus stock-based compensation</w:t>
            </w:r>
          </w:p>
        </w:tc>
        <w:tc>
          <w:tcPr>
            <w:tcW w:w="2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45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(4,024</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Borders>
              <w:bottom w:val="single" w:sz="8" w:color="F0FFFF"/>
            </w:tcBorders>
            <w:shd w:val="clear" w:color="auto" w:fill="F0FFFF"/>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4,351</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Pr>
          <w:p>
            <w:pPr>
              <w:ind w:left="140"/>
              <w:spacing w:after="0" w:line="203" w:lineRule="exact"/>
              <w:rPr>
                <w:sz w:val="20"/>
                <w:szCs w:val="20"/>
                <w:color w:val="auto"/>
              </w:rPr>
            </w:pPr>
            <w:r>
              <w:rPr>
                <w:rFonts w:ascii="Arial" w:cs="Arial" w:eastAsia="Arial" w:hAnsi="Arial"/>
                <w:sz w:val="18"/>
                <w:szCs w:val="18"/>
                <w:color w:val="auto"/>
              </w:rPr>
              <w:t>Less change in fair value of warrant liabilities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4,805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1,101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5,692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VendScreen non-recurring charges</w:t>
            </w: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0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Plus class action professional fees</w:t>
            </w:r>
          </w:p>
        </w:tc>
        <w:tc>
          <w:tcPr>
            <w:tcW w:w="2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45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5,371</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656</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As used herein, Adjusted EBITDA represents net income (loss) excluding interest income, interest expense, income taxes, depreciation, amortization, non-recurring professional service fees recorded in SG&amp;A during the quarter ended December 31, 2015 that were incurred in connection with the VendScreen, Inc. (“VendScreen”) transaction, non-recurring costs and expenses recorded in SG&amp;A during the quarter ended March 31, 2016 that were incurred in connection with the acquisition and integration of the VendScreen business, $105 thousand of professional fees incurred during the March 31, 2016 quarter in connection with the class action litigation,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costs and expenses incurred in connection with the VendScreen transaction in order to allow more accurate comparisons of the financial results to historical operations. We have excluded the professional fees incurred in connection with the class action litigation because we believe they represent a charge that is not related to the Company’s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EBITDA as a metric in its management and executive officer incentive compensation plans.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Table 5: Selling General &amp; Administrative (SG&amp;A)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March 31,</w:t>
            </w:r>
          </w:p>
        </w:tc>
        <w:tc>
          <w:tcPr>
            <w:tcW w:w="84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0"/>
                <w:szCs w:val="10"/>
                <w:color w:val="auto"/>
              </w:rPr>
            </w:pPr>
          </w:p>
        </w:tc>
        <w:tc>
          <w:tcPr>
            <w:tcW w:w="10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 of</w:t>
            </w:r>
          </w:p>
        </w:tc>
        <w:tc>
          <w:tcPr>
            <w:tcW w:w="1240" w:type="dxa"/>
            <w:vAlign w:val="bottom"/>
            <w:gridSpan w:val="6"/>
          </w:tcPr>
          <w:p>
            <w:pPr>
              <w:ind w:left="60"/>
              <w:spacing w:after="0" w:line="126" w:lineRule="exact"/>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jc w:val="right"/>
              <w:ind w:right="400"/>
              <w:spacing w:after="0" w:line="126"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0"/>
                <w:szCs w:val="10"/>
                <w:color w:val="auto"/>
              </w:rPr>
            </w:pPr>
          </w:p>
        </w:tc>
        <w:tc>
          <w:tcPr>
            <w:tcW w:w="780" w:type="dxa"/>
            <w:vAlign w:val="bottom"/>
            <w:gridSpan w:val="4"/>
          </w:tcPr>
          <w:p>
            <w:pPr>
              <w:jc w:val="right"/>
              <w:ind w:right="37"/>
              <w:spacing w:after="0" w:line="12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0"/>
                <w:szCs w:val="10"/>
                <w:color w:val="auto"/>
              </w:rPr>
            </w:pPr>
          </w:p>
        </w:tc>
        <w:tc>
          <w:tcPr>
            <w:tcW w:w="920" w:type="dxa"/>
            <w:vAlign w:val="bottom"/>
            <w:gridSpan w:val="4"/>
          </w:tcPr>
          <w:p>
            <w:pPr>
              <w:jc w:val="right"/>
              <w:ind w:right="290"/>
              <w:spacing w:after="0" w:line="126"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March 31,</w:t>
            </w:r>
          </w:p>
        </w:tc>
        <w:tc>
          <w:tcPr>
            <w:tcW w:w="780" w:type="dxa"/>
            <w:vAlign w:val="bottom"/>
          </w:tcPr>
          <w:p>
            <w:pPr>
              <w:jc w:val="right"/>
              <w:ind w:right="169"/>
              <w:spacing w:after="0" w:line="12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SG&amp;A</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20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SG&amp;A</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SG&amp;A</w:t>
            </w:r>
          </w:p>
        </w:tc>
        <w:tc>
          <w:tcPr>
            <w:tcW w:w="840" w:type="dxa"/>
            <w:vAlign w:val="bottom"/>
            <w:gridSpan w:val="5"/>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92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SG&amp;A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SG&amp;A</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Salaries and</w:t>
            </w: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rPr>
              <w:t>benefit costs</w:t>
            </w:r>
          </w:p>
        </w:tc>
        <w:tc>
          <w:tcPr>
            <w:tcW w:w="22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2,760</w:t>
            </w: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45.4%</w:t>
            </w:r>
          </w:p>
        </w:tc>
        <w:tc>
          <w:tcPr>
            <w:tcW w:w="22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2,786</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58.6%</w:t>
            </w:r>
          </w:p>
        </w:tc>
        <w:tc>
          <w:tcPr>
            <w:tcW w:w="240" w:type="dxa"/>
            <w:vAlign w:val="bottom"/>
            <w:gridSpan w:val="2"/>
            <w:shd w:val="clear" w:color="auto" w:fill="F0FF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2,685</w:t>
            </w:r>
          </w:p>
        </w:tc>
        <w:tc>
          <w:tcPr>
            <w:tcW w:w="8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56.0%</w:t>
            </w:r>
          </w:p>
        </w:tc>
        <w:tc>
          <w:tcPr>
            <w:tcW w:w="30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4"/>
                <w:szCs w:val="14"/>
                <w:color w:val="auto"/>
              </w:rPr>
            </w:pP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96"/>
              </w:rPr>
              <w:t>2,295</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4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45.8%</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2,534</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Marketing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180"/>
              <w:spacing w:after="0"/>
              <w:rPr>
                <w:sz w:val="20"/>
                <w:szCs w:val="20"/>
                <w:color w:val="auto"/>
              </w:rPr>
            </w:pPr>
            <w:r>
              <w:rPr>
                <w:rFonts w:ascii="Arial" w:cs="Arial" w:eastAsia="Arial" w:hAnsi="Arial"/>
                <w:sz w:val="14"/>
                <w:szCs w:val="14"/>
                <w:color w:val="auto"/>
                <w:w w:val="88"/>
              </w:rPr>
              <w:t>related expenses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580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Professional</w:t>
            </w: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services</w:t>
            </w:r>
          </w:p>
        </w:tc>
        <w:tc>
          <w:tcPr>
            <w:tcW w:w="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1,152</w:t>
            </w: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18.9%</w:t>
            </w:r>
          </w:p>
        </w:tc>
        <w:tc>
          <w:tcPr>
            <w:tcW w:w="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17.6%</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782</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16.3%</w:t>
            </w:r>
          </w:p>
        </w:tc>
        <w:tc>
          <w:tcPr>
            <w:tcW w:w="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844</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4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708</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Bad debt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180"/>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497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303</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Premises,</w:t>
            </w: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0FFFF"/>
          </w:tcPr>
          <w:p>
            <w:pPr>
              <w:ind w:left="180"/>
              <w:spacing w:after="0" w:line="149" w:lineRule="exact"/>
              <w:rPr>
                <w:sz w:val="20"/>
                <w:szCs w:val="20"/>
                <w:color w:val="auto"/>
              </w:rPr>
            </w:pPr>
            <w:r>
              <w:rPr>
                <w:rFonts w:ascii="Arial" w:cs="Arial" w:eastAsia="Arial" w:hAnsi="Arial"/>
                <w:sz w:val="14"/>
                <w:szCs w:val="14"/>
                <w:color w:val="auto"/>
              </w:rPr>
              <w:t>equipment and</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w w:val="96"/>
              </w:rPr>
              <w:t>insurance costs</w:t>
            </w:r>
          </w:p>
        </w:tc>
        <w:tc>
          <w:tcPr>
            <w:tcW w:w="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460</w:t>
            </w: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7.5%</w:t>
            </w:r>
          </w:p>
        </w:tc>
        <w:tc>
          <w:tcPr>
            <w:tcW w:w="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347</w:t>
            </w:r>
          </w:p>
        </w:tc>
        <w:tc>
          <w:tcPr>
            <w:tcW w:w="22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7.3%</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399</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8.3%</w:t>
            </w:r>
          </w:p>
        </w:tc>
        <w:tc>
          <w:tcPr>
            <w:tcW w:w="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4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372</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development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18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VendScreen</w:t>
            </w: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0FFFF"/>
          </w:tcPr>
          <w:p>
            <w:pPr>
              <w:ind w:left="180"/>
              <w:spacing w:after="0" w:line="149" w:lineRule="exact"/>
              <w:rPr>
                <w:sz w:val="20"/>
                <w:szCs w:val="20"/>
                <w:color w:val="auto"/>
              </w:rPr>
            </w:pPr>
            <w:r>
              <w:rPr>
                <w:rFonts w:ascii="Arial" w:cs="Arial" w:eastAsia="Arial" w:hAnsi="Arial"/>
                <w:sz w:val="14"/>
                <w:szCs w:val="14"/>
                <w:color w:val="auto"/>
              </w:rPr>
              <w:t>non-recurring</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rPr>
              <w:t>charges</w:t>
            </w:r>
          </w:p>
        </w:tc>
        <w:tc>
          <w:tcPr>
            <w:tcW w:w="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461</w:t>
            </w: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7.6%</w:t>
            </w:r>
          </w:p>
        </w:tc>
        <w:tc>
          <w:tcPr>
            <w:tcW w:w="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2.2%</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0.4%</w:t>
            </w:r>
          </w:p>
        </w:tc>
        <w:tc>
          <w:tcPr>
            <w:tcW w:w="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4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Class action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180"/>
              <w:spacing w:after="0"/>
              <w:rPr>
                <w:sz w:val="20"/>
                <w:szCs w:val="20"/>
                <w:color w:val="auto"/>
              </w:rPr>
            </w:pPr>
            <w:r>
              <w:rPr>
                <w:rFonts w:ascii="Arial" w:cs="Arial" w:eastAsia="Arial" w:hAnsi="Arial"/>
                <w:sz w:val="14"/>
                <w:szCs w:val="14"/>
                <w:color w:val="auto"/>
                <w:w w:val="88"/>
              </w:rPr>
              <w:t>professional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2"/>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w w:val="95"/>
              </w:rPr>
              <w:t>Other expenses</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2.6%</w:t>
            </w:r>
          </w:p>
        </w:tc>
        <w:tc>
          <w:tcPr>
            <w:tcW w:w="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1.5%</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3.2%</w:t>
            </w:r>
          </w:p>
        </w:tc>
        <w:tc>
          <w:tcPr>
            <w:tcW w:w="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4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84</w:t>
            </w:r>
          </w:p>
        </w:tc>
        <w:tc>
          <w:tcPr>
            <w:tcW w:w="22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03"/>
        </w:trPr>
        <w:tc>
          <w:tcPr>
            <w:tcW w:w="1140" w:type="dxa"/>
            <w:vAlign w:val="bottom"/>
            <w:tcBorders>
              <w:top w:val="single" w:sz="8" w:color="F0FFFF"/>
            </w:tcBorders>
          </w:tcPr>
          <w:p>
            <w:pPr>
              <w:spacing w:after="0" w:line="104" w:lineRule="exact"/>
              <w:rPr>
                <w:sz w:val="20"/>
                <w:szCs w:val="20"/>
                <w:color w:val="auto"/>
              </w:rPr>
            </w:pPr>
            <w:r>
              <w:rPr>
                <w:rFonts w:ascii="Arial" w:cs="Arial" w:eastAsia="Arial" w:hAnsi="Arial"/>
                <w:sz w:val="11"/>
                <w:szCs w:val="11"/>
                <w:color w:val="auto"/>
              </w:rPr>
              <w:t>Total SG&amp;A</w:t>
            </w:r>
          </w:p>
        </w:tc>
        <w:tc>
          <w:tcPr>
            <w:tcW w:w="20" w:type="dxa"/>
            <w:vAlign w:val="bottom"/>
            <w:tcBorders>
              <w:top w:val="single" w:sz="8" w:color="F0FFFF"/>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60" w:type="dxa"/>
            <w:vAlign w:val="bottom"/>
            <w:tcBorders>
              <w:top w:val="single" w:sz="8" w:color="F0FF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60" w:type="dxa"/>
            <w:vAlign w:val="bottom"/>
            <w:tcBorders>
              <w:top w:val="single" w:sz="8" w:color="F0FF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F0FFFF"/>
            </w:tcBorders>
          </w:tcPr>
          <w:p>
            <w:pPr>
              <w:spacing w:after="0"/>
              <w:rPr>
                <w:sz w:val="8"/>
                <w:szCs w:val="8"/>
                <w:color w:val="auto"/>
              </w:rPr>
            </w:pPr>
          </w:p>
        </w:tc>
        <w:tc>
          <w:tcPr>
            <w:tcW w:w="10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20"/>
                <w:szCs w:val="20"/>
                <w:color w:val="auto"/>
              </w:rPr>
            </w:pPr>
            <w:r>
              <w:rPr>
                <w:rFonts w:ascii="Arial" w:cs="Arial" w:eastAsia="Arial" w:hAnsi="Arial"/>
                <w:sz w:val="14"/>
                <w:szCs w:val="14"/>
                <w:color w:val="auto"/>
              </w:rPr>
              <w:t>expenses</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6,094</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4,762</w:t>
            </w: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4,796</w:t>
            </w:r>
          </w:p>
        </w:tc>
        <w:tc>
          <w:tcPr>
            <w:tcW w:w="80" w:type="dxa"/>
            <w:vAlign w:val="bottom"/>
          </w:tcPr>
          <w:p>
            <w:pPr>
              <w:spacing w:after="0"/>
              <w:rPr>
                <w:sz w:val="16"/>
                <w:szCs w:val="16"/>
                <w:color w:val="auto"/>
              </w:rPr>
            </w:pPr>
          </w:p>
        </w:tc>
        <w:tc>
          <w:tcPr>
            <w:tcW w:w="860" w:type="dxa"/>
            <w:vAlign w:val="bottom"/>
            <w:gridSpan w:val="3"/>
          </w:tcPr>
          <w:p>
            <w:pPr>
              <w:jc w:val="right"/>
              <w:ind w:right="4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3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5,009</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gridSpan w:val="3"/>
          </w:tcPr>
          <w:p>
            <w:pPr>
              <w:jc w:val="right"/>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4,281</w:t>
            </w:r>
          </w:p>
        </w:tc>
        <w:tc>
          <w:tcPr>
            <w:tcW w:w="90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328"/>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320" w:type="dxa"/>
            <w:vAlign w:val="bottom"/>
            <w:gridSpan w:val="6"/>
          </w:tcPr>
          <w:p>
            <w:pPr>
              <w:spacing w:after="0" w:line="198" w:lineRule="exact"/>
              <w:rPr>
                <w:sz w:val="20"/>
                <w:szCs w:val="20"/>
                <w:color w:val="auto"/>
              </w:rPr>
            </w:pPr>
            <w:r>
              <w:rPr>
                <w:rFonts w:ascii="Arial" w:cs="Arial" w:eastAsia="Arial" w:hAnsi="Arial"/>
                <w:sz w:val="18"/>
                <w:szCs w:val="18"/>
                <w:color w:val="auto"/>
              </w:rPr>
              <w:t>($ in thousands)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48"/>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219"/>
              <w:spacing w:after="0" w:line="198" w:lineRule="exact"/>
              <w:rPr>
                <w:sz w:val="20"/>
                <w:szCs w:val="20"/>
                <w:color w:val="auto"/>
              </w:rPr>
            </w:pPr>
            <w:r>
              <w:rPr>
                <w:rFonts w:ascii="Arial" w:cs="Arial" w:eastAsia="Arial" w:hAnsi="Arial"/>
                <w:sz w:val="18"/>
                <w:szCs w:val="18"/>
                <w:b w:val="1"/>
                <w:bCs w:val="1"/>
                <w:color w:val="auto"/>
                <w:w w:val="99"/>
              </w:rPr>
              <w:t>% of</w:t>
            </w:r>
          </w:p>
        </w:tc>
        <w:tc>
          <w:tcPr>
            <w:tcW w:w="4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(unaudited)</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SG&amp;A</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w w:val="84"/>
              </w:rPr>
              <w:t>2015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7"/>
          </w:tcPr>
          <w:p>
            <w:pPr>
              <w:ind w:left="80"/>
              <w:spacing w:after="0"/>
              <w:rPr>
                <w:sz w:val="20"/>
                <w:szCs w:val="20"/>
                <w:color w:val="auto"/>
              </w:rPr>
            </w:pPr>
            <w:r>
              <w:rPr>
                <w:rFonts w:ascii="Arial" w:cs="Arial" w:eastAsia="Arial" w:hAnsi="Arial"/>
                <w:sz w:val="18"/>
                <w:szCs w:val="18"/>
                <w:b w:val="1"/>
                <w:bCs w:val="1"/>
                <w:color w:val="auto"/>
              </w:rPr>
              <w:t>SG&amp;A</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20" w:type="dxa"/>
            <w:vAlign w:val="bottom"/>
            <w:gridSpan w:val="6"/>
            <w:shd w:val="clear" w:color="auto" w:fill="F0FFFF"/>
          </w:tcPr>
          <w:p>
            <w:pPr>
              <w:ind w:left="40"/>
              <w:spacing w:after="0"/>
              <w:rPr>
                <w:sz w:val="20"/>
                <w:szCs w:val="20"/>
                <w:color w:val="auto"/>
              </w:rPr>
            </w:pPr>
            <w:r>
              <w:rPr>
                <w:rFonts w:ascii="Arial" w:cs="Arial" w:eastAsia="Arial" w:hAnsi="Arial"/>
                <w:sz w:val="18"/>
                <w:szCs w:val="18"/>
                <w:color w:val="auto"/>
                <w:w w:val="95"/>
              </w:rPr>
              <w:t>Salaries and benefit costs</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8,231</w:t>
            </w:r>
          </w:p>
        </w:tc>
        <w:tc>
          <w:tcPr>
            <w:tcW w:w="1340" w:type="dxa"/>
            <w:vAlign w:val="bottom"/>
            <w:gridSpan w:val="6"/>
            <w:shd w:val="clear" w:color="auto" w:fill="F0FFFF"/>
          </w:tcPr>
          <w:p>
            <w:pPr>
              <w:jc w:val="right"/>
              <w:spacing w:after="0"/>
              <w:rPr>
                <w:sz w:val="20"/>
                <w:szCs w:val="20"/>
                <w:color w:val="auto"/>
              </w:rPr>
            </w:pPr>
            <w:r>
              <w:rPr>
                <w:rFonts w:ascii="Arial" w:cs="Arial" w:eastAsia="Arial" w:hAnsi="Arial"/>
                <w:sz w:val="18"/>
                <w:szCs w:val="18"/>
                <w:color w:val="auto"/>
              </w:rPr>
              <w:t>52.5%</w:t>
            </w:r>
          </w:p>
        </w:tc>
        <w:tc>
          <w:tcPr>
            <w:tcW w:w="360" w:type="dxa"/>
            <w:vAlign w:val="bottom"/>
            <w:gridSpan w:val="2"/>
            <w:shd w:val="clear" w:color="auto" w:fill="F0FFFF"/>
          </w:tcPr>
          <w:p>
            <w:pPr>
              <w:jc w:val="right"/>
              <w:ind w:right="13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6,870</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ind w:left="40"/>
              <w:spacing w:after="0"/>
              <w:rPr>
                <w:sz w:val="20"/>
                <w:szCs w:val="20"/>
                <w:color w:val="auto"/>
              </w:rPr>
            </w:pPr>
            <w:r>
              <w:rPr>
                <w:rFonts w:ascii="Arial" w:cs="Arial" w:eastAsia="Arial" w:hAnsi="Arial"/>
                <w:sz w:val="18"/>
                <w:szCs w:val="18"/>
                <w:color w:val="auto"/>
                <w:w w:val="88"/>
              </w:rPr>
              <w:t>Marketing related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20" w:type="dxa"/>
            <w:vAlign w:val="bottom"/>
            <w:gridSpan w:val="6"/>
            <w:shd w:val="clear" w:color="auto" w:fill="F0FFFF"/>
          </w:tcPr>
          <w:p>
            <w:pPr>
              <w:ind w:left="40"/>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2,773</w:t>
            </w:r>
          </w:p>
        </w:tc>
        <w:tc>
          <w:tcPr>
            <w:tcW w:w="1340" w:type="dxa"/>
            <w:vAlign w:val="bottom"/>
            <w:gridSpan w:val="6"/>
            <w:shd w:val="clear" w:color="auto" w:fill="F0FF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ind w:left="40"/>
              <w:spacing w:after="0"/>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100" w:type="dxa"/>
            <w:vAlign w:val="bottom"/>
            <w:gridSpan w:val="10"/>
            <w:shd w:val="clear" w:color="auto" w:fill="F0FFFF"/>
          </w:tcPr>
          <w:p>
            <w:pPr>
              <w:ind w:left="40"/>
              <w:spacing w:after="0"/>
              <w:rPr>
                <w:sz w:val="20"/>
                <w:szCs w:val="20"/>
                <w:color w:val="auto"/>
              </w:rPr>
            </w:pPr>
            <w:r>
              <w:rPr>
                <w:rFonts w:ascii="Arial" w:cs="Arial" w:eastAsia="Arial" w:hAnsi="Arial"/>
                <w:sz w:val="18"/>
                <w:szCs w:val="18"/>
                <w:color w:val="auto"/>
                <w:w w:val="90"/>
              </w:rPr>
              <w:t>Premises, equipment and insurance costs</w:t>
            </w: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1,206</w:t>
            </w:r>
          </w:p>
        </w:tc>
        <w:tc>
          <w:tcPr>
            <w:tcW w:w="16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1,144</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10"/>
          </w:tcPr>
          <w:p>
            <w:pPr>
              <w:ind w:left="4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100" w:type="dxa"/>
            <w:vAlign w:val="bottom"/>
            <w:gridSpan w:val="10"/>
            <w:shd w:val="clear" w:color="auto" w:fill="F0FFFF"/>
          </w:tcPr>
          <w:p>
            <w:pPr>
              <w:ind w:left="40"/>
              <w:spacing w:after="0"/>
              <w:rPr>
                <w:sz w:val="20"/>
                <w:szCs w:val="20"/>
                <w:color w:val="auto"/>
              </w:rPr>
            </w:pPr>
            <w:r>
              <w:rPr>
                <w:rFonts w:ascii="Arial" w:cs="Arial" w:eastAsia="Arial" w:hAnsi="Arial"/>
                <w:sz w:val="18"/>
                <w:szCs w:val="18"/>
                <w:color w:val="auto"/>
              </w:rPr>
              <w:t>VendScreen non-recurring charges</w:t>
            </w: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8"/>
          </w:tcPr>
          <w:p>
            <w:pPr>
              <w:ind w:left="40"/>
              <w:spacing w:after="0"/>
              <w:rPr>
                <w:sz w:val="20"/>
                <w:szCs w:val="20"/>
                <w:color w:val="auto"/>
              </w:rPr>
            </w:pPr>
            <w:r>
              <w:rPr>
                <w:rFonts w:ascii="Arial" w:cs="Arial" w:eastAsia="Arial" w:hAnsi="Arial"/>
                <w:sz w:val="18"/>
                <w:szCs w:val="18"/>
                <w:color w:val="auto"/>
                <w:w w:val="91"/>
              </w:rPr>
              <w:t>Class action professional fees</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80" w:type="dxa"/>
            <w:vAlign w:val="bottom"/>
            <w:gridSpan w:val="4"/>
            <w:shd w:val="clear" w:color="auto" w:fill="F0FFFF"/>
          </w:tcPr>
          <w:p>
            <w:pPr>
              <w:ind w:left="40"/>
              <w:spacing w:after="0"/>
              <w:rPr>
                <w:sz w:val="20"/>
                <w:szCs w:val="20"/>
                <w:color w:val="auto"/>
              </w:rPr>
            </w:pPr>
            <w:r>
              <w:rPr>
                <w:rFonts w:ascii="Arial" w:cs="Arial" w:eastAsia="Arial" w:hAnsi="Arial"/>
                <w:sz w:val="18"/>
                <w:szCs w:val="18"/>
                <w:color w:val="auto"/>
                <w:w w:val="88"/>
              </w:rPr>
              <w:t>Other expenses</w:t>
            </w:r>
          </w:p>
        </w:tc>
        <w:tc>
          <w:tcPr>
            <w:tcW w:w="6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7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F0FFFF"/>
          </w:tcPr>
          <w:p>
            <w:pPr>
              <w:spacing w:after="0"/>
              <w:rPr>
                <w:sz w:val="21"/>
                <w:szCs w:val="21"/>
                <w:color w:val="auto"/>
              </w:rPr>
            </w:pPr>
          </w:p>
        </w:tc>
        <w:tc>
          <w:tcPr>
            <w:tcW w:w="5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4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top w:val="single" w:sz="8" w:color="F0FFFF"/>
            </w:tcBorders>
            <w:gridSpan w:val="7"/>
          </w:tcPr>
          <w:p>
            <w:pPr>
              <w:spacing w:after="0"/>
              <w:rPr>
                <w:sz w:val="20"/>
                <w:szCs w:val="20"/>
                <w:color w:val="auto"/>
              </w:rPr>
            </w:pPr>
            <w:r>
              <w:rPr>
                <w:rFonts w:ascii="Arial" w:cs="Arial" w:eastAsia="Arial" w:hAnsi="Arial"/>
                <w:sz w:val="18"/>
                <w:szCs w:val="18"/>
                <w:color w:val="auto"/>
              </w:rPr>
              <w:t>Total SG&amp;A expenses</w:t>
            </w: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15,652</w:t>
            </w:r>
          </w:p>
        </w:tc>
        <w:tc>
          <w:tcPr>
            <w:tcW w:w="160" w:type="dxa"/>
            <w:vAlign w:val="bottom"/>
            <w:tcBorders>
              <w:top w:val="single" w:sz="8" w:color="F0FF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40" w:type="dxa"/>
            <w:vAlign w:val="bottom"/>
            <w:tcBorders>
              <w:top w:val="single" w:sz="8" w:color="F0FFFF"/>
            </w:tcBorders>
            <w:gridSpan w:val="2"/>
          </w:tcPr>
          <w:p>
            <w:pPr>
              <w:jc w:val="right"/>
              <w:ind w:right="25"/>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11,444</w:t>
            </w:r>
          </w:p>
        </w:tc>
        <w:tc>
          <w:tcPr>
            <w:tcW w:w="1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Salaries and Benefit Costs</w:t>
      </w:r>
      <w:r>
        <w:rPr>
          <w:rFonts w:ascii="Arial" w:cs="Arial" w:eastAsia="Arial" w:hAnsi="Arial"/>
          <w:sz w:val="16"/>
          <w:szCs w:val="16"/>
          <w:color w:val="auto"/>
        </w:rPr>
        <w:t>. Includes employee compensation and benefits, directors’ fees, incentives, and stock-based compensation. The increase in cost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nine months ended March 31, 2015 to the nine months ended March 31, 2016 related to employee compensation and headcount increases.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Marketing Related. </w:t>
      </w:r>
      <w:r>
        <w:rPr>
          <w:rFonts w:ascii="Arial" w:cs="Arial" w:eastAsia="Arial" w:hAnsi="Arial"/>
          <w:sz w:val="18"/>
          <w:szCs w:val="18"/>
          <w:color w:val="auto"/>
        </w:rPr>
        <w:t>Marketing related costs were higher for the three and nine-month periods ended March 31, 2016 due to trade show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initiatives for sales support and sales deployment.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Professional service expenses have increased due to additional information technology, legal, public relations, auditing, SOX 404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consulting work. Excludes $105 thousand of professional fees incurred during the March 31, 2016 quarter in connection with the class action litigation. The Company anticipates increased use of professional services to support its growing administrative, sales and service 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Premises, Equipment and Insurance Costs. </w:t>
      </w:r>
      <w:r>
        <w:rPr>
          <w:rFonts w:ascii="Arial" w:cs="Arial" w:eastAsia="Arial" w:hAnsi="Arial"/>
          <w:sz w:val="17"/>
          <w:szCs w:val="17"/>
          <w:color w:val="auto"/>
        </w:rPr>
        <w:t>Includes facilities, supplies, printing and postage, sales &amp; use taxes, and workers compensation. The increase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 period ended March 31, 2016 compared to the same period in 2015 was from liability insurance, and office supplies.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product development costs that cannot be capitalized, including materials and contractors.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Charges</w:t>
      </w:r>
      <w:r>
        <w:rPr>
          <w:rFonts w:ascii="Arial" w:cs="Arial" w:eastAsia="Arial" w:hAnsi="Arial"/>
          <w:sz w:val="18"/>
          <w:szCs w:val="18"/>
          <w:color w:val="auto"/>
        </w:rPr>
        <w:t>. Included here are VendScreen acquisition and integration expenses (professional, legal and severance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and subscriptions.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Table 6: Non-GAAP Earnings per Share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7"/>
              </w:rPr>
              <w:t>March 31,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March 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March 31,</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(5,420)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(5,934)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Fair value of warrant adjustment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VendScreen non-recurring charges</w:t>
            </w: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80" w:type="dxa"/>
            <w:vAlign w:val="bottom"/>
            <w:tcBorders>
              <w:bottom w:val="single" w:sz="8" w:color="F0FFFF"/>
            </w:tcBorders>
          </w:tcPr>
          <w:p>
            <w:pPr>
              <w:ind w:left="180"/>
              <w:spacing w:after="0"/>
              <w:rPr>
                <w:sz w:val="20"/>
                <w:szCs w:val="20"/>
                <w:color w:val="auto"/>
              </w:rPr>
            </w:pPr>
            <w:r>
              <w:rPr>
                <w:rFonts w:ascii="Arial" w:cs="Arial" w:eastAsia="Arial" w:hAnsi="Arial"/>
                <w:sz w:val="18"/>
                <w:szCs w:val="18"/>
                <w:color w:val="auto"/>
              </w:rPr>
              <w:t>Class action professional fees</w:t>
            </w:r>
          </w:p>
        </w:tc>
        <w:tc>
          <w:tcPr>
            <w:tcW w:w="2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7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2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F0FFFF"/>
            </w:tcBorders>
            <w:shd w:val="clear" w:color="auto" w:fill="F0FF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(5,420)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(5,934)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7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7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vMerge w:val="continue"/>
          </w:tcPr>
          <w:p>
            <w:pPr>
              <w:spacing w:after="0"/>
              <w:rPr>
                <w:sz w:val="22"/>
                <w:szCs w:val="22"/>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F0FFFF"/>
              <w:bottom w:val="single" w:sz="8" w:color="F0FFFF"/>
            </w:tcBorders>
            <w:vMerge w:val="restart"/>
          </w:tcPr>
          <w:p>
            <w:pPr>
              <w:spacing w:after="0" w:line="189" w:lineRule="exact"/>
              <w:rPr>
                <w:sz w:val="20"/>
                <w:szCs w:val="20"/>
                <w:color w:val="auto"/>
              </w:rPr>
            </w:pPr>
            <w:r>
              <w:rPr>
                <w:rFonts w:ascii="Arial" w:cs="Arial" w:eastAsia="Arial" w:hAnsi="Arial"/>
                <w:sz w:val="18"/>
                <w:szCs w:val="18"/>
                <w:color w:val="auto"/>
                <w:w w:val="97"/>
              </w:rPr>
              <w:t>Non-GAAP net earnings (loss) per common share - basic and</w:t>
            </w: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tcPr>
          <w:p>
            <w:pPr>
              <w:spacing w:after="0"/>
              <w:rPr>
                <w:sz w:val="12"/>
                <w:szCs w:val="12"/>
                <w:color w:val="auto"/>
              </w:rPr>
            </w:pPr>
          </w:p>
        </w:tc>
        <w:tc>
          <w:tcPr>
            <w:tcW w:w="4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58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Basic and diluted weighted average number of common shares</w:t>
            </w:r>
          </w:p>
        </w:tc>
        <w:tc>
          <w:tcPr>
            <w:tcW w:w="2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36,161,613</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35,747,979</w:t>
            </w:r>
          </w:p>
        </w:tc>
        <w:tc>
          <w:tcPr>
            <w:tcW w:w="1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35,961,648</w:t>
            </w: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35,705,210</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gradual increase in the basic weighted average number of common shares has been due to stock issued through the Company’s stock based compensation programs.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As used herein, non-GAAP net income (loss) represents GAAP net income (loss) excluding costs or benefits relating to any adjustment for fair value of warrant liabilities and non-cash portions of the Company’s income tax benefit (provision), non-recurring professional service fees recorded in SG&amp;A during the quarter ended December 31, 2015 that were incurred in connection with the VendScreen transaction, and non-recurring charges recorded in SG&amp;A during the quarter ended March 2016 that were incurred primarily in connection with the acquisition and integration of the VendScreen business, and $105 thousand of professional fees incurred during the March 31, 2016 quarter in connection with the class action litigation. Non-GAAP net earnings (loss) per common share - diluted is calculated by dividing non-GAAP net income (loss) applicable to common shares by the number of diluted weighted average shares outstanding. Non-GAAP net income (loss)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common share - diluted are important measures of the Company's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as a metric in its management and executive officer incentive compensation plans.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w w:val="89"/>
              </w:rPr>
              <w:t>Table 7: Balance Sheet as of March 31, 2016 Compared to June 30, 2015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 Change</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418"/>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14,901</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11,374</w:t>
            </w:r>
          </w:p>
        </w:tc>
        <w:tc>
          <w:tcPr>
            <w:tcW w:w="14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3,527</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Accounts receivable, less allowance</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(1,875)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86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F0FFFF"/>
            </w:tcBorders>
          </w:tcPr>
          <w:p>
            <w:pPr>
              <w:spacing w:after="0"/>
              <w:rPr>
                <w:sz w:val="20"/>
                <w:szCs w:val="20"/>
                <w:color w:val="auto"/>
              </w:rPr>
            </w:pPr>
          </w:p>
        </w:tc>
        <w:tc>
          <w:tcPr>
            <w:tcW w:w="136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29,600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5,266</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3,042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3,698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(656)</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Goodwill and intangbiles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12,976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4,881</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48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220" w:type="dxa"/>
            <w:vAlign w:val="bottom"/>
            <w:tcBorders>
              <w:top w:val="single" w:sz="8" w:color="F0FFFF"/>
            </w:tcBorders>
          </w:tcPr>
          <w:p>
            <w:pPr>
              <w:spacing w:after="0"/>
              <w:rPr>
                <w:sz w:val="18"/>
                <w:szCs w:val="18"/>
                <w:color w:val="auto"/>
              </w:rPr>
            </w:pPr>
          </w:p>
        </w:tc>
        <w:tc>
          <w:tcPr>
            <w:tcW w:w="136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60" w:type="dxa"/>
            <w:vAlign w:val="bottom"/>
            <w:tcBorders>
              <w:bottom w:val="single" w:sz="8" w:color="F0FFFF"/>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vMerge w:val="restart"/>
          </w:tcPr>
          <w:p>
            <w:pPr>
              <w:spacing w:after="0"/>
              <w:rPr>
                <w:sz w:val="18"/>
                <w:szCs w:val="18"/>
                <w:color w:val="auto"/>
              </w:rPr>
            </w:pPr>
          </w:p>
        </w:tc>
        <w:tc>
          <w:tcPr>
            <w:tcW w:w="486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12,029</w:t>
            </w:r>
          </w:p>
        </w:tc>
        <w:tc>
          <w:tcPr>
            <w:tcW w:w="14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10,542</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2,108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2,980</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5,964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5,964</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86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38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136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29,797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18,042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11,755</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Long-term liabilities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(112)</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Accrued expenses, less current portion</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 less current portion</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(978)</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860" w:type="dxa"/>
            <w:vAlign w:val="bottom"/>
          </w:tcPr>
          <w:p>
            <w:pPr>
              <w:ind w:left="160"/>
              <w:spacing w:after="0" w:line="201" w:lineRule="exact"/>
              <w:rPr>
                <w:sz w:val="20"/>
                <w:szCs w:val="20"/>
                <w:color w:val="auto"/>
              </w:rPr>
            </w:pPr>
            <w:r>
              <w:rPr>
                <w:rFonts w:ascii="Arial" w:cs="Arial" w:eastAsia="Arial" w:hAnsi="Arial"/>
                <w:sz w:val="18"/>
                <w:szCs w:val="18"/>
                <w:color w:val="auto"/>
                <w:w w:val="97"/>
              </w:rPr>
              <w:t>Deferred gain from sale-leaseback transactions, less current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portion</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48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F0FFFF"/>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86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F0FFFF"/>
            </w:tcBorders>
          </w:tcPr>
          <w:p>
            <w:pPr>
              <w:spacing w:after="0"/>
              <w:rPr>
                <w:sz w:val="18"/>
                <w:szCs w:val="18"/>
                <w:color w:val="auto"/>
              </w:rPr>
            </w:pPr>
          </w:p>
        </w:tc>
        <w:tc>
          <w:tcPr>
            <w:tcW w:w="4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31,813</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21,823</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9,990</w:t>
            </w:r>
          </w:p>
        </w:tc>
        <w:tc>
          <w:tcPr>
            <w:tcW w:w="220" w:type="dxa"/>
            <w:vAlign w:val="bottom"/>
            <w:tcBorders>
              <w:bottom w:val="single" w:sz="8" w:color="F0FFFF"/>
            </w:tcBorders>
          </w:tcPr>
          <w:p>
            <w:pPr>
              <w:spacing w:after="0"/>
              <w:rPr>
                <w:sz w:val="18"/>
                <w:szCs w:val="18"/>
                <w:color w:val="auto"/>
              </w:rPr>
            </w:pPr>
          </w:p>
        </w:tc>
        <w:tc>
          <w:tcPr>
            <w:tcW w:w="1360" w:type="dxa"/>
            <w:vAlign w:val="bottom"/>
            <w:tcBorders>
              <w:bottom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6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Preferred stock, no par value</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Common stock, no par value</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(180,635)</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(174,701)</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(5,934)</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86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F0FFFF"/>
              <w:bottom w:val="single" w:sz="8" w:color="F0FFFF"/>
            </w:tcBorders>
          </w:tcPr>
          <w:p>
            <w:pPr>
              <w:spacing w:after="0"/>
              <w:rPr>
                <w:sz w:val="18"/>
                <w:szCs w:val="18"/>
                <w:color w:val="auto"/>
              </w:rPr>
            </w:pPr>
          </w:p>
        </w:tc>
        <w:tc>
          <w:tcPr>
            <w:tcW w:w="4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50,427</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53,311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(2,884</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F0FFFF"/>
              <w:bottom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5"/>
        </w:trPr>
        <w:tc>
          <w:tcPr>
            <w:tcW w:w="300" w:type="dxa"/>
            <w:vAlign w:val="bottom"/>
          </w:tcPr>
          <w:p>
            <w:pPr>
              <w:spacing w:after="0"/>
              <w:rPr>
                <w:sz w:val="21"/>
                <w:szCs w:val="21"/>
                <w:color w:val="auto"/>
              </w:rPr>
            </w:pPr>
          </w:p>
        </w:tc>
        <w:tc>
          <w:tcPr>
            <w:tcW w:w="48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82,240</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75,134</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7,106</w:t>
            </w:r>
          </w:p>
        </w:tc>
        <w:tc>
          <w:tcPr>
            <w:tcW w:w="22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6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29,600</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14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5,266</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86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29,797</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w:t>
            </w:r>
          </w:p>
        </w:tc>
        <w:tc>
          <w:tcPr>
            <w:tcW w:w="220" w:type="dxa"/>
            <w:vAlign w:val="bottom"/>
            <w:tcBorders>
              <w:bottom w:val="single" w:sz="8" w:color="F0FFFF"/>
            </w:tcBorders>
          </w:tcPr>
          <w:p>
            <w:pPr>
              <w:spacing w:after="0"/>
              <w:rPr>
                <w:sz w:val="20"/>
                <w:szCs w:val="20"/>
                <w:color w:val="auto"/>
              </w:rPr>
            </w:pPr>
          </w:p>
        </w:tc>
        <w:tc>
          <w:tcPr>
            <w:tcW w:w="136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Net working capital</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6,292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(6,489)</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48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3"/>
              </w:rPr>
              <w:t>* Accounts receivable, net of allowance for doubtful accounts and</w:t>
            </w:r>
          </w:p>
        </w:tc>
        <w:tc>
          <w:tcPr>
            <w:tcW w:w="3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w w:val="92"/>
              </w:rPr>
              <w:t>accounts payable have increased by the following amounts due to</w:t>
            </w: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860" w:type="dxa"/>
            <w:vAlign w:val="bottom"/>
            <w:shd w:val="clear" w:color="auto" w:fill="F0FFFF"/>
          </w:tcPr>
          <w:p>
            <w:pPr>
              <w:spacing w:after="0"/>
              <w:rPr>
                <w:sz w:val="20"/>
                <w:szCs w:val="20"/>
                <w:color w:val="auto"/>
              </w:rPr>
            </w:pPr>
            <w:r>
              <w:rPr>
                <w:rFonts w:ascii="Arial" w:cs="Arial" w:eastAsia="Arial" w:hAnsi="Arial"/>
                <w:sz w:val="18"/>
                <w:szCs w:val="18"/>
                <w:color w:val="auto"/>
              </w:rPr>
              <w:t>reclassifications</w:t>
            </w:r>
          </w:p>
        </w:tc>
        <w:tc>
          <w:tcPr>
            <w:tcW w:w="380" w:type="dxa"/>
            <w:vAlign w:val="bottom"/>
            <w:shd w:val="clear" w:color="auto" w:fill="F0FFFF"/>
          </w:tcPr>
          <w:p>
            <w:pPr>
              <w:spacing w:after="0"/>
              <w:rPr>
                <w:sz w:val="24"/>
                <w:szCs w:val="24"/>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4"/>
                <w:szCs w:val="24"/>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2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6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4" w:right="5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Highlights from the Balance Sheet as of March 31, 2016 compared to June 30, 2015 include:</w:t>
      </w:r>
    </w:p>
    <w:p>
      <w:pPr>
        <w:spacing w:after="0" w:line="225" w:lineRule="exact"/>
        <w:rPr>
          <w:sz w:val="20"/>
          <w:szCs w:val="20"/>
          <w:color w:val="auto"/>
        </w:rPr>
      </w:pPr>
    </w:p>
    <w:p>
      <w:pPr>
        <w:ind w:left="820" w:hanging="326"/>
        <w:spacing w:after="0" w:line="274"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Property and Equipment (“PP&amp;E”) includes mostly JumpStart rental equipment and has declined $2.3 million primarily pursuant to the Company’s strategy of using third-party leasing programs through QuickStart. Net PP&amp;E is expected to continue to decline over time.</w:t>
      </w:r>
    </w:p>
    <w:p>
      <w:pPr>
        <w:jc w:val="both"/>
        <w:ind w:left="820" w:hanging="32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the $6.5 million decrease in net working capital from June 30, 2016, $6.0 million was due to the increase in the fair value of warrant liabilities. The increase in cash and accounts receivable of $5.9 million was approximately matched by an increase of $2.7 million in accounts payable and accrued liabilities and a $3.0 million increase in the line of credit.</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payable increased $1.5 million to $12.0 million as of March 31, 2016; nearly all of the increase was attributable to inventory and supply purchases during the quarter.</w:t>
      </w:r>
    </w:p>
    <w:p>
      <w:pPr>
        <w:ind w:left="820" w:hanging="326"/>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receivable increased $2.4 million to $8.3 million as of March 31, 2016, primarily attributable to approximately $2.3 million due from third-party financing companies for the Company’s QuickStart Program sold during the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statement of cash flow include:</w:t>
      </w:r>
    </w:p>
    <w:p>
      <w:pPr>
        <w:spacing w:after="0" w:line="225"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experienced positive operating cash flow in the last five quarters and expects continued positive cash flow from operations.</w:t>
      </w:r>
    </w:p>
    <w:p>
      <w:pPr>
        <w:spacing w:after="0" w:line="46" w:lineRule="exact"/>
        <w:rPr>
          <w:rFonts w:ascii="Arial" w:cs="Arial" w:eastAsia="Arial" w:hAnsi="Arial"/>
          <w:sz w:val="16"/>
          <w:szCs w:val="16"/>
          <w:color w:val="auto"/>
        </w:rPr>
      </w:pPr>
    </w:p>
    <w:p>
      <w:pPr>
        <w:jc w:val="both"/>
        <w:ind w:left="820" w:hanging="326"/>
        <w:spacing w:after="0" w:line="265"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net increase in cash over the nine months from June 30, 2015 to March 31, 2016 was $3.5 million compared to a net decrease in cash of ($0.6) million for the same period in the prior year. During the nine month period, the positive cash flow components were $5.2 million from operations (not primarily working capital changes), $3.1 million net increase in line of credit financing, and $1.7 million from exercise of warrants. These positive cash flows were partially offset by the $5.6 million outlay for the VendScreen acquisition.</w:t>
      </w:r>
    </w:p>
    <w:p>
      <w:pPr>
        <w:jc w:val="both"/>
        <w:ind w:left="820" w:hanging="326"/>
        <w:spacing w:after="0" w:line="25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net increase in cash over the three months from December 31, 2015 to March 31, 2016 is $92 thousand compared to a net increase of $1.7 million for the same period in prior year. This quarter, the primary driver of the $4.3 million of positive operating cash flow was the increase in accounts payable of $4.2 million which was primarily attributable to inventory and supplies purchases. Other cash flow factors were the exercise of warrants of $1.7 million, offset by the $5.6 million acquisition cost for VendScreen.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2014, the Company reintroduced QuickStart, a program whereby our customers are able to purchase our ePort hardware via a five-year, non-cancellable lease. Under the QuickStart program, the Company provides the equipment to customers in a rent-to-own agreement and creates a long-term and current finance receivable for five-year leases. In the third and fourth quarters of fiscal 2015, the Company signed vendor agreements with two leasing companies, whereby our customers would enter into leases directly with the leasing companies. Under this scenario, the Company invoices the leasing company for the equipment leased by our customer, and records the full equipment sales amount to accounts receivable. Unlike finance receivables, where the cash from the equipment sale would be collected over a five-year period, the accounts receivable due from the leasing company is typically collected within 30 days. QuickStart through third-party leasing companies reduces cash flow needed for investing activities and improves the cash flow from operations. Company previously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entering into vendor agreements with two third-party leasing companies, the majority of QuickStart sales consummated have been with customers entering into a lease directly with the leasing companies. Our customers have shifted from acquiring our products via JumpStart, which accounted for 60% of our gross connections in fiscal year 2014, to QuickStart and sales under normal trade receivable terms, which accounted for 88% of our gross connections in fiscal year 2015, and was approximately 90% of gross connections in the first nine months of fiscal year 2016. The Company is actively working to expand its outside leasing partners. The goal of the program would be to have enough leasing partners so that the Company would not need to provide financing to its customers. Accordingly, with continued success of the QuickStart third-party leasing program, the Company should continue to generate positive cash flow from operations during the remainder of the 2016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primary sources of cash include: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on hand of approximately $14.9 million as of March 31, 2016;</w:t>
      </w:r>
    </w:p>
    <w:p>
      <w:pPr>
        <w:spacing w:after="0" w:line="23"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generated cash flow from operations of $5.2 million for the nine-month period ended March 31, 2016. The Company’s liquidity position is demonstrated by its net working capital, which is defined as current assets less current liabilities, and which was $(197) thousand, $5.9 million, $9.9 million, $7.5 million, and $6.3 million over the last five quarters beginning with the quarter ended March 31, 2016.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29, 2016, a bank agreed to provide a $12 million line of credit to the Company. Approximately $7.1 million of this line was immediately used to pay off a term loan and line of credit from another bank. The line of credit bears interest at an annual rate equal to 2.25% above the prime rate as published from time to time by The Wall Street Journal, which prime rate is currently 3.5%. As of March 31, 2016, the balance outstanding under the line of credit was $7.1 million.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$9.4 million from unexercised stock warrants exercisable at $2.6058 per share that expire on September 18,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believes it could sell a portion of its finance receivables at a discount to a third-party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2015.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2016.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March 31, 2016 in the Company’s internal controls over financial reporting that have materially affected, or are reasonably likely to materially affect,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On April 11, 2016, the Court held oral argument on the Company’s motion, and on April 14, 2016, the Court issued an order granting the Company’s motion to dismiss the amended complaint without leave to amend. The plaintiff must appeal the Court’s order prior to May 17,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 were no defaults on any senior securities. On February 1, 2016, an additional $334 thousand of dividends were accrued on our cumulative Series A Convertible Preferred Stock. The total accrued and unpaid dividends on our Series A Convertible Preferred Stock as of March 31, 2016 are $13.7 million. The dividend accrual dates for our Preferred Stock are February 1 and August 1. The annual cumulative dividend on our Preferred Stock is $1.50 per share.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0"/>
                <w:szCs w:val="20"/>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24"/>
                <w:szCs w:val="24"/>
                <w:color w:val="auto"/>
              </w:rPr>
            </w:pPr>
          </w:p>
        </w:tc>
      </w:tr>
      <w:tr>
        <w:trPr>
          <w:trHeight w:val="237"/>
        </w:trPr>
        <w:tc>
          <w:tcPr>
            <w:tcW w:w="162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8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32"/>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 Purchase Agreement dated January 15, 2016, by and between the Company and VendScreen, Inc.</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Loan and Security Agreement dated as of March 29, 2016, by and between the Company and Heritage Bank of Commerce (Portions of</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this exhibit were redacted pursuant to a confidentiality treatment request)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Intellectual Property Security Agreement dated as of March 29, 2016, by and between the Company and Heritage Bank of Commerce</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Fifteenth Amendment to Loan and Security Agreement dated January 15, 2016 by and between the Company and Avidbank Corporate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Finance, a division of Avidbank (Portions of this exhibit were redacted pursuant to a confidentiality treatment request)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18 USC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bl>
    <w:p>
      <w:pPr>
        <w:spacing w:after="0" w:line="202" w:lineRule="exact"/>
        <w:rPr>
          <w:sz w:val="20"/>
          <w:szCs w:val="20"/>
          <w:color w:val="auto"/>
        </w:rPr>
      </w:pPr>
    </w:p>
    <w:p>
      <w:pPr>
        <w:ind w:left="180" w:hanging="172"/>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Schedules and exhibits to this Exhibit have been omitted pursuant to Item 601(b)(2) of Regulation S-K. A copy of any omitted schedule or exhibit will be furnished supplementally to the Securities and Exchange Commission upon request.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12, 2016</w:t>
            </w:r>
          </w:p>
        </w:tc>
        <w:tc>
          <w:tcPr>
            <w:tcW w:w="21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12, 2016</w:t>
            </w:r>
          </w:p>
        </w:tc>
        <w:tc>
          <w:tcPr>
            <w:tcW w:w="21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48"/>
        </w:trPr>
        <w:tc>
          <w:tcPr>
            <w:tcW w:w="3540" w:type="dxa"/>
            <w:vAlign w:val="bottom"/>
            <w:tcBorders>
              <w:bottom w:val="single" w:sz="8" w:color="DCDCDC"/>
            </w:tcBorders>
          </w:tcPr>
          <w:p>
            <w:pPr>
              <w:spacing w:after="0"/>
              <w:rPr>
                <w:sz w:val="24"/>
                <w:szCs w:val="24"/>
                <w:color w:val="auto"/>
              </w:rPr>
            </w:pPr>
          </w:p>
        </w:tc>
        <w:tc>
          <w:tcPr>
            <w:tcW w:w="7880" w:type="dxa"/>
            <w:vAlign w:val="bottom"/>
            <w:tcBorders>
              <w:bottom w:val="single" w:sz="8" w:color="DCDCDC"/>
            </w:tcBorders>
            <w:gridSpan w:val="2"/>
          </w:tcPr>
          <w:p>
            <w:pPr>
              <w:jc w:val="right"/>
              <w:ind w:right="551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90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ASSET PURCHASE AGREEMENT (this “Agreement”) is dated January 15, 2016, by and among USA TECHNOLOGIES, INC., a Pennsylvania corporation (“Buyer”), and VENDSCREEN, INC., a Delaware corporation (“Seller”) (collectively,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Seller desires to sell and Buyer desires to purchase all of Seller’s right, title and interest in and to substantially all of the assets of Seller, and Buyer proposes to assume certain of the liabilities and obligations of Seller, all on the terms and subject to the conditions set forth in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Parties, intending to be legally bound, agree as follows:</w:t>
      </w:r>
    </w:p>
    <w:p>
      <w:pPr>
        <w:spacing w:after="0" w:line="16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the following terms and variations thereof have the meanings specified or referred to in this Section 1.1: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means: (a) all trade accounts receivable, deferred receivables, and other rights to payment from customers of Seller and the full benefit of all security for such accounts or rights to payment, including all trade accounts receivable representing amounts receivable in respect of goods shipped or products sold or services rendered to customers of Seller; (b) all other accounts, loans, or notes receivable of Seller and the full benefit of all security for such accounts, loans, or notes; and (c) any claim, remedy or other right related to any of the foregoing.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“Affiliate” means with respect to any Person, any Person which directly or indirectly controls, is controlled by, or is under common control with such Person. A Person shall be deemed to control another Person if the controlling Person, directly or indirectly, possesses the power to direct or cause the direction of the management or policies of the controlled Person, whether through ownership of voting securities, by contract,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“Assignment and Assumption of Lease” has the meaning set forth in Section 5.4.</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“Benefit Plans” means all material “employee benefit plans,” as defined in Section 3(3) of ERISA (as defined at Section 3.10) and equity, employment and severance agreements and other similar arrangements maintained, contributed to, or required to be contributed to, by Seller or any ERISA Affiliate for the benefit of any employee of Seller or under which Seller has any material liability, including (a) any profit-sharing, deferred-compensation, bonus, stock-option, stock-purchase, pension, retainer, consulting, retirement, severance, welfare or incentive plan, agreement or arrangement, and (b) any employment agreement or executive compensation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“Cash” means cash and cash equivalents (including marketable securities, and short-term investments) of Seller as of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Date” means 12:01 a.m., Eastern Time, on the date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“Confidential Information” means all information consisting of, relating to, or arising out of or in connection with (i) the Purchased Assets, including but not limited to, the Intellectual Property Assets, or (ii) the Assumed Liabilities, or (iii) any information disclosed by Buyer to Seller at any time prior to the date hereof under or pursuant to the Prior Confidentiality Agreements; and whether disclosed orally or disclosed or accessed in written, electronic or other form or media, and whether or not marked, designated or otherwise identified as “confidential”. Except as required by applicable federal, state or local law or regulation, the term “Confidential Information” as used in this Agreement shall not include information that: (a)at the time of disclosure is, or thereafter becomes, generally available to and known by the public other than as a result of, directly or indirectly, any violation of this Agreement by Seller; (b) at the time of disclosure is, or thereafter becomes, available to Seller on a non-confidential basis from a third-party source, provided that such third party is not and was not prohibited from disclosing such Confidential Information to Seller by a legal, fiduciary or contractual obligation to Seller or Buyer, or (c) consists of, relates to, or arises out of or in connection with any Excluded Assets or any Retained Liabilities.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“Contemplated Transactions” means all of the transactions contemplated by this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“Encumbrance” means any charge, claim, condition, equitable, contractual or other interest in favor of any third party (including any license in favor of any third party, except, in the case of any third party right or software under which Seller is a licensee, to the extent such right or software is also non-exclusively licensed to third parties), lien (including any Tax lien), option, pledge, hypothecation, security interest, encroachment, right of first option, right of first refusal or similar restriction, including any restriction on use, voting (in the case of any security or equity interest), transfer, receipt of income, or exercise of any other attribute of ownership or other encumbrance, in each case, whether arising by contract or operation of law, and any contract creating or to create any of the foregoing.</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“Environmental Laws” means all Legal Requirements, Orders or other binding measures of any Governmental Body relating to the environment or governing the handling, management, treatment, storage or disposal of waste, management of Hazardous Substances or protection of human health or the environment.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“ERISA Affiliate” means any corporation or trade or business (whether or not incorporated) which is treated with Seller as a single employer within the meaning of Section 414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“Escrow Agent” has the meaning set forth in Section 2.4(b).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“Escrow Agreement” means the Escrow Agreement to be dated as of the Closing Date,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“Escrow Deposit” has the meaning set forth in Section 2.4(b).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“Governmental Authorization” means any consent, license, registration, or permit issued, granted or given by any Governmental Body or pursuant to any Legal Requirement (including Environmental Permits).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“Governmental Body” means any federal, state, local, municipal, foreign, or other government (including any agency, branch, department, board, commission, court, tribunal, instrumentality or other entity exercising governmental or quasi-governmental powers).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“Hazardous Substances” means any hazardous, toxic or polluting substance, waste or material, including without limitation, asbestos, petroleum, petroleum products, or PCBs, all as defined under Environmental Laws.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“Intellectual Property” means the following: (a) all United States and foreign names, fictional business names, slogans, logos, trade names, trademarks, service marks, certification marks, domain names, design rights (including any word, symbol, product configuration, icon and logo) and trade dress (and applications and registrations for the same), whether registered or unregistered (collectively, “Marks”); (b) all United States and foreign patents and patent applications of any type or nature, whether utility, design or otherwise (including continuations, continuations-in-part, revisions, divisionals, extensions, provisionals, reexaminations, substitutions, reissue applications and renewals) or priority rights and applications therefor) (collectively, “Patents”), (c) invention disclosures and other rights to inventions (including firmware and hardware technology), Intellectual Property or designs; (d) all copyrights, in both published works and unpublished works, whether registered or unregistered, mask works and all other rights corresponding thereto (and registrations and applications for the same) (collectively, “Copyrights”); (e) all know-how, trade secrets, techniques, ideas, concepts, discoveries, reports, processes, procedures, specifications, engineering orders, proposals, databases, inventions (whether or not patentable and whether or not reduced to practice), invention disclosures, process technology, research records, plans, drawings, blue prints and any other proprietary information, including technical or user manuals, however recorded, stored or embodied in each case to the extent proprietary to Seller (collectively, “Trade Secrets”); (f) computer software and all subsequent versions thereof, including programs, applications, modules, routines and sub-routines, program and system logic, architecture and/or design, screen and report displays and layouts, templates, user interfaces, menus, buttons and icons, data definition specifications, source code, object code, comments, algorithms, application programming interfaces, databases and other software-related specifications and documentation, maintenance agreements, design notes, technical or user manuals, files and data, and all media on which the foregoing are stored or recorded (“Software”); (g) all internet protocol addresses and networks, including domain names, internet e-mail addresses, world wide web (www) and http addresses, network names, social media user names, identifiers, accounts and profiles, network addresses and services (such as mail or website) whether or not used or currently in service and any registrations relating thereto and any website materials, content and design, and any authorization codes, login details or credentials or passwords to use or access the same (“Domain Names”); and (h) all rights to sue or recover and retain damages and costs and attorneys’ fees for past, present and future infringement of any of the foregoing; in each case, including any registrations of, applications to register, and renewals and extensions of, any of the foregoing with or by any Governmental Body in any jurisdiction.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“Inventories” means all inventories of Seller, wherever located, including all finished goods, unfinished goods and work-in-process, including any products or goods owned by Seller, and any raw materials, spare parts, components, and all other materials and supplies to be used or consumed by Seller in the production of finished goods.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“Knowledge” means, with respect to Seller, the actual knowledge, after reasonable internal inquiry, of David Grano.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“Lease” means that certain Office Lease dated July 1, 2013, between Historic U.S. National Bank Block, LLC, as landlord, and Seller, as tenant.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“Legal Requirement” means any federal, state, local, municipal, foreign, international, multinational, or other constitution, law, ordinance, principle of common law, code, rule, regulation, statute, treaty or executive order, decree or similar measure, and any case law or judicial ruling interpreting any of the foregoing.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“Liability” means with respect to any Person, any liability, indebtedness, or other obligation of such Person of any kind, character or description, whether known or unknown, direct or indirect, absolute or contingent, accrued or unaccrued, disputed or undisputed, liquidated or unliquidated, choate or inchoate, secured or unsecured, joint or several, due or to become due, vested or unvested, executory, determined, determinable, or otherwise, and whether or not the same is required to be accrued on the financial statements of such Person.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means any loss, claim, demand, judgment, charge, Order, damage, penalty, fine, cost, expert witness fees and disbursements in connection with investigating, defending, or settling any action or threatened action, settlement payment, Liability, Tax, Encumbrance, expense, fee, court costs, and/or attorneys’ fees and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“Off-the-Shelf Software” means any third-party software that is generally commercially available and is licensed for use on desktop or laptop “PC-class” computers or related local area network servers.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“Open Source Software” means: (a) any software that contains, or is derived in any manner (in whole or in part) from, any software that is distributed as free software, open source software, or pursuant to similar licensing and distribution models; or (b) any software that requires as a condition of use, modification, and/or distribution of such software that such software or other code, routines or software incorporated into, derived from, or distributed with such software</w:t>
      </w:r>
    </w:p>
    <w:p>
      <w:pPr>
        <w:ind w:firstLine="8"/>
        <w:spacing w:after="0" w:line="261" w:lineRule="auto"/>
        <w:tabs>
          <w:tab w:leader="none" w:pos="2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disclosed or distributed in source code form to any party, (ii) be licensed to any party (including for the purpose of making derivative works), or (iii) be redistributable at no or minimal charge.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“Order” means any writ, order, injunction, judgment, decree, ruling, assessment, or arbitration award of any Governmental Body or arbitrator.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“Permitted Encumbrances” means (a) Encumbrances for taxes or other governmental charges, assessments or levies which are not yet due and payable, (b) statutory landlord’s, mechanic’s, carrier’s, workmen’s, repairmen’s or other similar Encumbrances arising or incurred in the ordinary course of business and not yet due and payable and (c) licenses granted under customer contracts.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 individual, partnership, corporation, business trust, limited liability company, limited liability partnership, joint stock company, trust, unincorporated association, joint venture, or other entity or a Governmental Body.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Confidentiality Agreements” means the Mutual Non-Disclosure Agreement between Seller and Buyer dated May 29, 2014, and the Nondisclosure Agreement between Seller and Buyer dated November 14, 2011.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“Proceeding” means any action, arbitration, audit, hearing, investigation, litigation or suit (whether civil, criminal, administrative, judicial or investigative, whether formal or informal, whether public or private) commenced, brought, conducted, or heard by or before any Governmental Body.</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“Related Person” means, (a) with respect to a particular individual: (i) such individual’s spouse and any other person who is related to the individual or the individual’s spouse within the second degree (“Family”), and (ii) any Person that is directly or indirectly controlled by any one or more members of such individual’s Family; and (b) with respect to a specified Person other than an individual, any Person that directly or indirectly controls, is directly or indirectly controlled by, or is directly or indirectly under common control with, such specified Person and any related Person thereof. For purposes of this definition, “control” (including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“Representative” means with respect to a particular Person, any director, officer, manager, employee, agent, consultant, advisor, accountant, financial advisor, legal counsel, or other representative of that Person.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 or “Taxes”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whether computed on a separate or consolidated, unitary or combined basis or in any other manner, including any interest, penalty, or addition thereto, whether disputed or not.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Return” means any return, declaration, report, claim for refund, or information return or statement required to be filed with a Governmental Body in connection with Taxes, including any schedule or attachment thereto, and including any amendment thereof.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Documents” shall mean this Agreement, the Escrow Agreement, the Intellectual Property Assignment Agreement, the Assignment of Patents, the Assignment and Assumption of Lease, the Assignment of Marks, the Bill of Sale, the Assumption Agreement, the Transition Services Agreement, and the Domain Name Assignment Agreement (in each case, as defined herein).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Exhibit, Schedule, or Section, such reference shall be to an Exhibit, Schedule, or Section of this Agreement unless otherwise indicated. The headings and the table of contents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Whenever the context requires, words used in the singular shall be construed to mean or include the plural and vice versa, and pronouns of any gender shall be deemed to include and designate the masculine, feminine or neuter gender. The word “extent” in the phrase “to the extent” shall mean the degree to which a subject or other thing extends or the scope of such subject or other thing, and such phrase shall not simply mean “if.”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SALE AND TRANSFER OF ASSETS; CLOSING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 to be Sold</w:t>
      </w:r>
      <w:r>
        <w:rPr>
          <w:rFonts w:ascii="Arial" w:cs="Arial" w:eastAsia="Arial" w:hAnsi="Arial"/>
          <w:sz w:val="18"/>
          <w:szCs w:val="18"/>
          <w:color w:val="auto"/>
        </w:rPr>
        <w:t>. Upon the terms and subject to the conditions set forth in this Agreement, at the Closing, Seller hereby sells, conveys, assigns, transfers, and delivers to Buyer, and Buyer hereby purchases and acquires from Seller, free and clear of any Encumbrances except Permitted Encumbrances and Assumed Liabilities, all of Seller’s right, title, and interest in and to all of the assets, properties, rights (contractual or otherwise) and business of every kind and description, wherever located, personal or mixed, tangible or intangible, owned, held or used by Seller as the same shall exist on the Closing Date, other than the Excluded Assets (the “Purchased Assets”). The Purchased Assets shall be free and clear of any Encumbrances except Permitted Encumbrances and Assumed Liabilities. The Purchased Assets include:</w:t>
      </w:r>
    </w:p>
    <w:p>
      <w:pPr>
        <w:spacing w:after="0" w:line="193" w:lineRule="exact"/>
        <w:rPr>
          <w:sz w:val="20"/>
          <w:szCs w:val="20"/>
          <w:color w:val="auto"/>
        </w:rPr>
      </w:pPr>
    </w:p>
    <w:p>
      <w:pPr>
        <w:jc w:val="both"/>
        <w:ind w:firstLine="1953"/>
        <w:spacing w:after="0" w:line="259" w:lineRule="auto"/>
        <w:tabs>
          <w:tab w:leader="none" w:pos="2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machinery, equipment, tools, furniture, office equipment, computer hardware, supplies, materials, vehicles, and other items of tangible personal property (other than Inventories) owned or leased by Seller, together with any express or implied warranty by the manufacturers or sellers or lessors of any item or component part thereof and all maintenance records and other documents relating thereto as listed in </w:t>
      </w:r>
      <w:r>
        <w:rPr>
          <w:rFonts w:ascii="Arial" w:cs="Arial" w:eastAsia="Arial" w:hAnsi="Arial"/>
          <w:sz w:val="18"/>
          <w:szCs w:val="18"/>
          <w:u w:val="single" w:color="auto"/>
          <w:color w:val="auto"/>
        </w:rPr>
        <w:t>Schedule 2.1(a)(i)</w:t>
      </w:r>
      <w:r>
        <w:rPr>
          <w:rFonts w:ascii="Arial" w:cs="Arial" w:eastAsia="Arial" w:hAnsi="Arial"/>
          <w:sz w:val="18"/>
          <w:szCs w:val="18"/>
          <w:color w:val="auto"/>
        </w:rPr>
        <w:t xml:space="preserve"> (collectively, “Tangible Personal Property”);</w:t>
      </w:r>
    </w:p>
    <w:p>
      <w:pPr>
        <w:spacing w:after="0" w:line="186" w:lineRule="exact"/>
        <w:rPr>
          <w:rFonts w:ascii="Arial" w:cs="Arial" w:eastAsia="Arial" w:hAnsi="Arial"/>
          <w:sz w:val="18"/>
          <w:szCs w:val="18"/>
          <w:color w:val="auto"/>
        </w:rPr>
      </w:pPr>
    </w:p>
    <w:p>
      <w:pPr>
        <w:ind w:left="2380" w:hanging="427"/>
        <w:spacing w:after="0"/>
        <w:tabs>
          <w:tab w:leader="none" w:pos="2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Inventories used or held by Seller, which are listed in </w:t>
      </w:r>
      <w:r>
        <w:rPr>
          <w:rFonts w:ascii="Arial" w:cs="Arial" w:eastAsia="Arial" w:hAnsi="Arial"/>
          <w:sz w:val="18"/>
          <w:szCs w:val="18"/>
          <w:u w:val="single" w:color="auto"/>
          <w:color w:val="auto"/>
        </w:rPr>
        <w:t>Schedule 2.1(b)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77" w:lineRule="auto"/>
        <w:tabs>
          <w:tab w:leader="none" w:pos="2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rights of Seller under existing agreements and contracts to which Seller is a party, including the Lease, all purchase orders and customer contracts described on </w:t>
      </w:r>
      <w:r>
        <w:rPr>
          <w:rFonts w:ascii="Arial" w:cs="Arial" w:eastAsia="Arial" w:hAnsi="Arial"/>
          <w:sz w:val="18"/>
          <w:szCs w:val="18"/>
          <w:u w:val="single" w:color="auto"/>
          <w:color w:val="auto"/>
        </w:rPr>
        <w:t>Schedule 2.1(c)</w:t>
      </w:r>
      <w:r>
        <w:rPr>
          <w:rFonts w:ascii="Arial" w:cs="Arial" w:eastAsia="Arial" w:hAnsi="Arial"/>
          <w:sz w:val="18"/>
          <w:szCs w:val="18"/>
          <w:color w:val="auto"/>
        </w:rPr>
        <w:t xml:space="preserve"> (collectively, the “Assumed Contracts”);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right="20" w:firstLine="1953"/>
        <w:spacing w:after="0" w:line="277" w:lineRule="auto"/>
        <w:tabs>
          <w:tab w:leader="none" w:pos="24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all Intellectual Property that is owned by or leased, licensed or sublicensed to Seller, including the assets listed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3.16(b)</w:t>
      </w:r>
      <w:r>
        <w:rPr>
          <w:rFonts w:ascii="Arial" w:cs="Arial" w:eastAsia="Arial" w:hAnsi="Arial"/>
          <w:sz w:val="18"/>
          <w:szCs w:val="18"/>
          <w:color w:val="auto"/>
        </w:rPr>
        <w:t xml:space="preserve"> (collectively, the “Intellectual Property Assets”);</w:t>
      </w:r>
    </w:p>
    <w:p>
      <w:pPr>
        <w:spacing w:after="0" w:line="170" w:lineRule="exact"/>
        <w:rPr>
          <w:rFonts w:ascii="Arial" w:cs="Arial" w:eastAsia="Arial" w:hAnsi="Arial"/>
          <w:sz w:val="18"/>
          <w:szCs w:val="18"/>
          <w:color w:val="auto"/>
        </w:rPr>
      </w:pPr>
    </w:p>
    <w:p>
      <w:pPr>
        <w:jc w:val="both"/>
        <w:ind w:firstLine="1953"/>
        <w:spacing w:after="0" w:line="342" w:lineRule="auto"/>
        <w:tabs>
          <w:tab w:leader="none" w:pos="25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all Governmental Authorizations and all pending applications or renewals thereof, including but not limited to, those identified on </w:t>
      </w:r>
      <w:r>
        <w:rPr>
          <w:rFonts w:ascii="Arial" w:cs="Arial" w:eastAsia="Arial" w:hAnsi="Arial"/>
          <w:sz w:val="16"/>
          <w:szCs w:val="16"/>
          <w:u w:val="single" w:color="auto"/>
          <w:color w:val="auto"/>
        </w:rPr>
        <w:t>Schedule 2.1(e)</w:t>
      </w:r>
      <w:r>
        <w:rPr>
          <w:rFonts w:ascii="Arial" w:cs="Arial" w:eastAsia="Arial" w:hAnsi="Arial"/>
          <w:sz w:val="16"/>
          <w:szCs w:val="16"/>
          <w:color w:val="auto"/>
        </w:rPr>
        <w:t xml:space="preserve">, to the extent transferable. Any Governmental Authorizations that are not transferable are so designated on such </w:t>
      </w:r>
      <w:r>
        <w:rPr>
          <w:rFonts w:ascii="Arial" w:cs="Arial" w:eastAsia="Arial" w:hAnsi="Arial"/>
          <w:sz w:val="16"/>
          <w:szCs w:val="16"/>
          <w:u w:val="single" w:color="auto"/>
          <w:color w:val="auto"/>
        </w:rPr>
        <w:t>Schedule 2.1(e)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1953"/>
        <w:spacing w:after="0" w:line="259" w:lineRule="auto"/>
        <w:tabs>
          <w:tab w:leader="none" w:pos="24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information, files, correspondence, records, data, plans, reports, contracts and recorded knowledge, including customer, supplier, vendor, distributor, price and mailing lists, marketing, sales and promotional materials, purchase and sale records, quality control records, research and development files, technical manuals, files and data, company manuals and all accounting or other books and records of the Seller in whatever media retained or stored, including computer programs and disks;</w:t>
      </w:r>
    </w:p>
    <w:p>
      <w:pPr>
        <w:spacing w:after="0" w:line="186" w:lineRule="exact"/>
        <w:rPr>
          <w:rFonts w:ascii="Arial" w:cs="Arial" w:eastAsia="Arial" w:hAnsi="Arial"/>
          <w:sz w:val="18"/>
          <w:szCs w:val="18"/>
          <w:color w:val="auto"/>
        </w:rPr>
      </w:pPr>
    </w:p>
    <w:p>
      <w:pPr>
        <w:ind w:firstLine="1953"/>
        <w:spacing w:after="0" w:line="277" w:lineRule="auto"/>
        <w:tabs>
          <w:tab w:leader="none" w:pos="2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rights of Seller relating to deposits and prepaid expenses, claims for refunds and rights to offset in respect thereof (to the extent paid or arising solely pursuant to an Assumed Contract or Purchased Asset and arising after the Closing Date);</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Accounts Receivable (other than those due from Evergreen Vending in the amount of approximately $340,000); and</w:t>
      </w:r>
    </w:p>
    <w:p>
      <w:pPr>
        <w:spacing w:after="0" w:line="236" w:lineRule="exact"/>
        <w:rPr>
          <w:rFonts w:ascii="Arial" w:cs="Arial" w:eastAsia="Arial" w:hAnsi="Arial"/>
          <w:sz w:val="17"/>
          <w:szCs w:val="17"/>
          <w:color w:val="auto"/>
        </w:rPr>
      </w:pPr>
    </w:p>
    <w:p>
      <w:pPr>
        <w:ind w:firstLine="1953"/>
        <w:spacing w:after="0" w:line="342" w:lineRule="auto"/>
        <w:tabs>
          <w:tab w:leader="none" w:pos="23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tangible and intangible assets, properties and rights of Seller of any kind or description, wherever located (including all goodwill related to or associated with the Purchased Assets), that are (i) carried on the books of the Seller or (ii) owned or licensed by the Seller.</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transfer of the Purchased Assets pursuant to this Agreement shall not include the assumption of any Liability related to any of the Purchased Assets unless Buyer expressly assumes that Liability pursuant to Section 2.3(a).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Notwithstanding anything to the contrary contained in Section 2.1 or elsewhere in this Agreement, the following assets of Seller (collectively, the “Excluded Assets”) are not part of the sale and purchase contemplated hereunder, are excluded from the Purchased Assets and shall remain the property of Seller after the Closing:</w:t>
      </w:r>
    </w:p>
    <w:p>
      <w:pPr>
        <w:spacing w:after="0" w:line="181" w:lineRule="exact"/>
        <w:rPr>
          <w:sz w:val="20"/>
          <w:szCs w:val="20"/>
          <w:color w:val="auto"/>
        </w:rPr>
      </w:pPr>
    </w:p>
    <w:p>
      <w:pPr>
        <w:ind w:firstLine="1953"/>
        <w:spacing w:after="0" w:line="277" w:lineRule="auto"/>
        <w:tabs>
          <w:tab w:leader="none" w:pos="24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charter documents of Seller including minute books, stock ledger records and seals and other records having to do with the corporate organization of Seller;</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insurance policies and rights thereunder;</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Cash;</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contract or agreement to which Seller is a party other than the Assumed Contracts;</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books and records relating to Seller’s Tax matters and employees;</w:t>
      </w:r>
    </w:p>
    <w:p>
      <w:pPr>
        <w:spacing w:after="0" w:line="225" w:lineRule="exact"/>
        <w:rPr>
          <w:rFonts w:ascii="Arial" w:cs="Arial" w:eastAsia="Arial" w:hAnsi="Arial"/>
          <w:sz w:val="18"/>
          <w:szCs w:val="18"/>
          <w:color w:val="auto"/>
        </w:rPr>
      </w:pPr>
    </w:p>
    <w:p>
      <w:pPr>
        <w:ind w:firstLine="1953"/>
        <w:spacing w:after="0" w:line="277" w:lineRule="auto"/>
        <w:tabs>
          <w:tab w:leader="none" w:pos="23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for and rights to receive refunds with respect to Taxes and Tax loss carryforwards, relating to the Seller’s business or the Purchased Assets with respect to taxable periods ending on or prior to the Closing Date;</w:t>
      </w:r>
    </w:p>
    <w:p>
      <w:pPr>
        <w:spacing w:after="0" w:line="170" w:lineRule="exact"/>
        <w:rPr>
          <w:rFonts w:ascii="Arial" w:cs="Arial" w:eastAsia="Arial" w:hAnsi="Arial"/>
          <w:sz w:val="18"/>
          <w:szCs w:val="18"/>
          <w:color w:val="auto"/>
        </w:rPr>
      </w:pPr>
    </w:p>
    <w:p>
      <w:pPr>
        <w:ind w:left="2320" w:hanging="367"/>
        <w:spacing w:after="0"/>
        <w:tabs>
          <w:tab w:leader="none" w:pos="2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rights of Seller under or pursuant to this Agreement and the other agreements and documents executed and delivered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connection herewith; and</w:t>
      </w:r>
    </w:p>
    <w:p>
      <w:pPr>
        <w:spacing w:after="0" w:line="210" w:lineRule="exact"/>
        <w:rPr>
          <w:rFonts w:ascii="Arial" w:cs="Arial" w:eastAsia="Arial" w:hAnsi="Arial"/>
          <w:sz w:val="16"/>
          <w:szCs w:val="16"/>
          <w:color w:val="auto"/>
        </w:rPr>
      </w:pPr>
    </w:p>
    <w:p>
      <w:pPr>
        <w:ind w:left="2300" w:hanging="347"/>
        <w:spacing w:after="0"/>
        <w:tabs>
          <w:tab w:leader="none" w:pos="2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stock or other equity interests in Seller.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Liabilities</w:t>
      </w:r>
      <w:r>
        <w:rPr>
          <w:rFonts w:ascii="Arial" w:cs="Arial" w:eastAsia="Arial" w:hAnsi="Arial"/>
          <w:sz w:val="17"/>
          <w:szCs w:val="17"/>
          <w:color w:val="auto"/>
        </w:rPr>
        <w:t>.</w:t>
      </w:r>
    </w:p>
    <w:p>
      <w:pPr>
        <w:spacing w:after="0" w:line="225" w:lineRule="exact"/>
        <w:rPr>
          <w:sz w:val="20"/>
          <w:szCs w:val="20"/>
          <w:color w:val="auto"/>
        </w:rPr>
      </w:pPr>
    </w:p>
    <w:p>
      <w:pPr>
        <w:jc w:val="both"/>
        <w:ind w:firstLine="1953"/>
        <w:spacing w:after="0" w:line="276" w:lineRule="auto"/>
        <w:tabs>
          <w:tab w:leader="none" w:pos="241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Assumed Liabilities</w:t>
      </w:r>
      <w:r>
        <w:rPr>
          <w:rFonts w:ascii="Arial" w:cs="Arial" w:eastAsia="Arial" w:hAnsi="Arial"/>
          <w:sz w:val="17"/>
          <w:szCs w:val="17"/>
          <w:color w:val="auto"/>
        </w:rPr>
        <w:t>. Subject to the terms and conditions in this Agreement, on and effective as of the Closing Date, Buyer shall assume, perform and discharge, as and when due any Liability of Seller arising or required to be performed or discharged after the Closing Date under the Assumed Contracts (including any customer claims under Seller’s warranty terms for devices under assumed customer contracts and fees under the assumed contract for OTI 2016 Annual Software Maintenance Agreement dated November 17, 2015), the Lease, and the Assignment and Assumption of Lease (collectively the “Assumed Liabilities”), and such Assumed Liabilities shall be the sole Liability assumed by Buyer.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left="-20" w:firstLine="1953"/>
        <w:spacing w:after="0" w:line="264" w:lineRule="auto"/>
        <w:tabs>
          <w:tab w:leader="none" w:pos="241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Retained Liabilities</w:t>
      </w:r>
      <w:r>
        <w:rPr>
          <w:rFonts w:ascii="Arial" w:cs="Arial" w:eastAsia="Arial" w:hAnsi="Arial"/>
          <w:sz w:val="18"/>
          <w:szCs w:val="18"/>
          <w:color w:val="auto"/>
        </w:rPr>
        <w:t>. The Retained Liabilities shall remain the sole responsibility of and shall be retained, paid, performed and discharged solely by Seller. “Retained Liabilities” shall mean all Liabilities of Seller including but not limited to the following (to the extent not an Assumed Liability):</w:t>
      </w:r>
    </w:p>
    <w:p>
      <w:pPr>
        <w:spacing w:after="0" w:line="181" w:lineRule="exact"/>
        <w:rPr>
          <w:rFonts w:ascii="Arial" w:cs="Arial" w:eastAsia="Arial" w:hAnsi="Arial"/>
          <w:sz w:val="18"/>
          <w:szCs w:val="18"/>
          <w:color w:val="auto"/>
        </w:rPr>
      </w:pPr>
    </w:p>
    <w:p>
      <w:pPr>
        <w:ind w:left="-20" w:firstLine="2601"/>
        <w:spacing w:after="0" w:line="277" w:lineRule="auto"/>
        <w:tabs>
          <w:tab w:leader="none" w:pos="2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Liability under any Assumed Contract that arises on or after the Closing Date but that arises out of or relates to any breach, claim or other matter that occurred, vested or became effective on or prior to the Closing Date;</w:t>
      </w:r>
    </w:p>
    <w:p>
      <w:pPr>
        <w:spacing w:after="0" w:line="170" w:lineRule="exact"/>
        <w:rPr>
          <w:rFonts w:ascii="Arial" w:cs="Arial" w:eastAsia="Arial" w:hAnsi="Arial"/>
          <w:sz w:val="18"/>
          <w:szCs w:val="18"/>
          <w:color w:val="auto"/>
        </w:rPr>
      </w:pPr>
    </w:p>
    <w:p>
      <w:pPr>
        <w:jc w:val="both"/>
        <w:ind w:left="-20" w:firstLine="2601"/>
        <w:spacing w:after="0" w:line="259" w:lineRule="auto"/>
        <w:tabs>
          <w:tab w:leader="none" w:pos="2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Liability for the unpaid Taxes of the Seller (including unpaid Taxes relating to or arising out of the Excluded Assets or the operation of Seller), or Taxes or similar amounts that the Seller was required to withhold and deposit, including deferred income Taxes, with respect to any period or any Taxes arising out of or relating to events which shall have occurred, or services performed, or products sold, or the operation of the business of Seller on or prior to the Closing Date or any unpaid Transfer Taxes;</w:t>
      </w:r>
    </w:p>
    <w:p>
      <w:pPr>
        <w:spacing w:after="0" w:line="186" w:lineRule="exact"/>
        <w:rPr>
          <w:rFonts w:ascii="Arial" w:cs="Arial" w:eastAsia="Arial" w:hAnsi="Arial"/>
          <w:sz w:val="18"/>
          <w:szCs w:val="18"/>
          <w:color w:val="auto"/>
        </w:rPr>
      </w:pPr>
    </w:p>
    <w:p>
      <w:pPr>
        <w:ind w:left="-20" w:firstLine="2601"/>
        <w:spacing w:after="0" w:line="277" w:lineRule="auto"/>
        <w:tabs>
          <w:tab w:leader="none" w:pos="29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for Buyer’s express obligations under the terms of the Assignment and Assumption of Lease, any Liability arising out of or relating to Seller’s Leased Real Property and any Liability to the landlord;</w:t>
      </w:r>
    </w:p>
    <w:p>
      <w:pPr>
        <w:spacing w:after="0" w:line="170" w:lineRule="exact"/>
        <w:rPr>
          <w:rFonts w:ascii="Arial" w:cs="Arial" w:eastAsia="Arial" w:hAnsi="Arial"/>
          <w:sz w:val="18"/>
          <w:szCs w:val="18"/>
          <w:color w:val="auto"/>
        </w:rPr>
      </w:pPr>
    </w:p>
    <w:p>
      <w:pPr>
        <w:jc w:val="both"/>
        <w:ind w:left="-20" w:firstLine="2601"/>
        <w:spacing w:after="0" w:line="272" w:lineRule="auto"/>
        <w:tabs>
          <w:tab w:leader="none" w:pos="2882" w:val="left"/>
        </w:tabs>
        <w:numPr>
          <w:ilvl w:val="1"/>
          <w:numId w:val="19"/>
        </w:numPr>
        <w:rPr>
          <w:rFonts w:ascii="Arial" w:cs="Arial" w:eastAsia="Arial" w:hAnsi="Arial"/>
          <w:sz w:val="17"/>
          <w:szCs w:val="17"/>
          <w:color w:val="auto"/>
        </w:rPr>
      </w:pPr>
      <w:r>
        <w:rPr>
          <w:rFonts w:ascii="Arial" w:cs="Arial" w:eastAsia="Arial" w:hAnsi="Arial"/>
          <w:sz w:val="17"/>
          <w:szCs w:val="17"/>
          <w:color w:val="auto"/>
        </w:rPr>
        <w:t>except as provided in Section 5.3, any Liability (including, for the avoidance of doubt, Taxes, if any) for or under the Benefit Plans or relating to payroll, salary, bonuses, employee equity incentives or options, vacation, sick leave, workers’ compensation, health care plans, or benefits or any other employee plans or benefits of any kind for, or other amounts or other obligations owed to, or otherwise relating to, Seller’s employees or former employees, current or former consultants or independent contractors in their capacities as current or former employees, independent contractors or consultants of Seller, as the case may be, or any grievance, complaint or claim by any current or former employee, consultant or independent contractor of Seller or obligation to indemnify, reimburse or advance amounts to any current or former employee, consultant or independent contractor or agent of Seller, in each case, arising before or on the Closing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6" w:name="page57"/>
    <w:bookmarkEnd w:id="56"/>
    <w:p>
      <w:pPr>
        <w:jc w:val="both"/>
        <w:ind w:firstLine="2601"/>
        <w:spacing w:after="0" w:line="264" w:lineRule="auto"/>
        <w:tabs>
          <w:tab w:leader="none" w:pos="28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Liability arising out of any Proceeding (i) to which Seller or any Affiliate of Seller is a party, (ii) relating to or arising in connection with any Excluded Asset or Retained Liability, or (iii) pending as of the Closing Date, or commenced after the Closing Date and arising out of or relating to any occurrence or event happening on or prior to the Closing Date;</w:t>
      </w:r>
    </w:p>
    <w:p>
      <w:pPr>
        <w:spacing w:after="0" w:line="181" w:lineRule="exact"/>
        <w:rPr>
          <w:rFonts w:ascii="Arial" w:cs="Arial" w:eastAsia="Arial" w:hAnsi="Arial"/>
          <w:sz w:val="18"/>
          <w:szCs w:val="18"/>
          <w:color w:val="auto"/>
        </w:rPr>
      </w:pPr>
    </w:p>
    <w:p>
      <w:pPr>
        <w:ind w:left="2920" w:hanging="319"/>
        <w:spacing w:after="0"/>
        <w:tabs>
          <w:tab w:leader="none" w:pos="2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Liability of Seller under this Agreement or any other document executed in connection with the Contemplated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jc w:val="both"/>
        <w:ind w:firstLine="2601"/>
        <w:spacing w:after="0" w:line="264" w:lineRule="auto"/>
        <w:tabs>
          <w:tab w:leader="none" w:pos="29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for any and all Liabilities related to product or service warranties, any Liability arising out of or relating to products, goods or services manufactured, sold, delivered, distributed, licensed, sublicensed or rendered (as the case may be) by Seller at any time prior to the Closing Date;</w:t>
      </w:r>
    </w:p>
    <w:p>
      <w:pPr>
        <w:spacing w:after="0" w:line="181" w:lineRule="exact"/>
        <w:rPr>
          <w:rFonts w:ascii="Arial" w:cs="Arial" w:eastAsia="Arial" w:hAnsi="Arial"/>
          <w:sz w:val="18"/>
          <w:szCs w:val="18"/>
          <w:color w:val="auto"/>
        </w:rPr>
      </w:pPr>
    </w:p>
    <w:p>
      <w:pPr>
        <w:ind w:left="3000" w:hanging="399"/>
        <w:spacing w:after="0"/>
        <w:tabs>
          <w:tab w:leader="none" w:pos="3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Liability arising out of any of the Excluded Assets; and</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Liability arising out of or relating to failure to pay any accounts payable of Seller.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Purchase Price</w:t>
      </w:r>
      <w:r>
        <w:rPr>
          <w:rFonts w:ascii="Arial" w:cs="Arial" w:eastAsia="Arial" w:hAnsi="Arial"/>
          <w:sz w:val="15"/>
          <w:szCs w:val="15"/>
          <w:color w:val="auto"/>
        </w:rPr>
        <w:t>.</w:t>
      </w:r>
    </w:p>
    <w:p>
      <w:pPr>
        <w:spacing w:after="0" w:line="225" w:lineRule="exact"/>
        <w:rPr>
          <w:sz w:val="20"/>
          <w:szCs w:val="20"/>
          <w:color w:val="auto"/>
        </w:rPr>
      </w:pPr>
    </w:p>
    <w:p>
      <w:pPr>
        <w:jc w:val="both"/>
        <w:ind w:firstLine="1953"/>
        <w:spacing w:after="0" w:line="259" w:lineRule="auto"/>
        <w:tabs>
          <w:tab w:leader="none" w:pos="24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for the Purchased Assets (the “Purchase Price”) shall be an amount equal to Five Million Six Hundred Twenty-Five Thousand Dollars ($5,625,000) which will be payable to Seller in immediately available funds at the Closing (the “Closing Payment”); provided, however, that Two Hundred Fifty Thousand Dollars ($250,000) shall be paid by Buyer to the Escrow Agent in accordance with subsection (b)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1953"/>
        <w:spacing w:after="0" w:line="257" w:lineRule="auto"/>
        <w:tabs>
          <w:tab w:leader="none" w:pos="2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Closing, Buyer will deposit with Lurio &amp; Associates, P.C., as temporary escrow agent (together with its successors, the “Escrow Agent”) the sum of Two Hundred Fifty Thousand Dollars ($250,000) (the “Escrow Deposit”) pursuant to the terms of the Escrow Agreement. The Escrow Deposit (together with any interest earned thereon) shall be held for a period of twelve (12) months following the Closing Date for purposes of paying any indemnification claims made by any Buyer Indemnified Parties under Section 6.4 hereof on or prior to the expiration of such twelve (12) month period.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Seller and Buyer covenant and agree to use commercially reasonable efforts to transfer the Escrow Deposit within twenty (20) business days following the Closing Date to an escrow account at a national banking institution mutually selected by the Seller and Buyer in good faith to act as successor Escrow Agent pursuant to an escrow agreement to be entered into by and between Seller, Buyer and the successor Escrow Agent, in form reasonably satisfactory to Buyer and Seller. The Seller and Buyer shall equally split the fees and costs payable in connection with such escrow agreement and successor Escrow Agent.</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Allocation</w:t>
      </w:r>
      <w:r>
        <w:rPr>
          <w:rFonts w:ascii="Arial" w:cs="Arial" w:eastAsia="Arial" w:hAnsi="Arial"/>
          <w:sz w:val="17"/>
          <w:szCs w:val="17"/>
          <w:color w:val="auto"/>
        </w:rPr>
        <w:t xml:space="preserve">. Within forty-five (45) days after the date hereof, and subject to the reasonable approval of Seller, Buyer shall prepare an allocation of the Purchase Price and Assumed Liabilities among the Purchased Assets. The allocation referred to in the preceding sentence shall be made in accordance with Section 1060 of the Code and the Treasury Regulations thereunder and the fair market values of the Purchased Assets </w:t>
      </w:r>
      <w:r>
        <w:rPr>
          <w:rFonts w:ascii="Arial" w:cs="Arial" w:eastAsia="Arial" w:hAnsi="Arial"/>
          <w:sz w:val="17"/>
          <w:szCs w:val="17"/>
          <w:u w:val="single" w:color="auto"/>
          <w:color w:val="auto"/>
        </w:rPr>
        <w:t>.</w:t>
      </w:r>
      <w:r>
        <w:rPr>
          <w:rFonts w:ascii="Arial" w:cs="Arial" w:eastAsia="Arial" w:hAnsi="Arial"/>
          <w:sz w:val="17"/>
          <w:szCs w:val="17"/>
          <w:color w:val="auto"/>
        </w:rPr>
        <w:t xml:space="preserve"> Buyer and Seller agree to cooperate with each other, and to furnish each other with such information as is reasonably requested by the other party, for purposes of such allocation. The Parties shall make consistent use of the allocation for all Tax purposes and in all filings, declarations and reports with the IRS in respect thereof, including the reports required to be filed under Section 1060 of the Code and the filing of IRS Form 8594. In any Proceeding related to the determination of any Tax, neither Buyer nor Seller shall contend or represent that such allocation is not a correct allocation.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Transfer Taxes</w:t>
      </w:r>
      <w:r>
        <w:rPr>
          <w:rFonts w:ascii="Arial" w:cs="Arial" w:eastAsia="Arial" w:hAnsi="Arial"/>
          <w:sz w:val="18"/>
          <w:szCs w:val="18"/>
          <w:color w:val="auto"/>
        </w:rPr>
        <w:t>. All excise, sales, use, value added, registration, stamp, recording, documentary, conveyancing, franchise, property, transfer, gains and similar Taxes, levies, charges and fees (collectively, “Transfer Taxes”) incurred in connection with the Closing of the transactions contemplated by this Agreement shall be borne by the party upon whom they are imposed.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transactions contemplated by this Agreement (the “Closing”) shall take place simultaneously with the execution of this Agreement on the date of this Agreement (the “Closing Date”) at the offices of Lurio &amp; Associates, P.C., Suite 3120, 2005 Market Street, Philadelphia, PA 19103. The consummation of the transactions contemplated by this Agreement shall be deemed to occur at 12:01 a.m. on the Closing Date.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Closing Obligations</w:t>
      </w:r>
      <w:r>
        <w:rPr>
          <w:rFonts w:ascii="Arial" w:cs="Arial" w:eastAsia="Arial" w:hAnsi="Arial"/>
          <w:sz w:val="16"/>
          <w:szCs w:val="16"/>
          <w:color w:val="auto"/>
        </w:rPr>
        <w:t>. In addition to any other documents to be delivered under other provisions of this Agreement, at the Closing:</w:t>
      </w:r>
    </w:p>
    <w:p>
      <w:pPr>
        <w:spacing w:after="0" w:line="225" w:lineRule="exact"/>
        <w:rPr>
          <w:sz w:val="20"/>
          <w:szCs w:val="20"/>
          <w:color w:val="auto"/>
        </w:rPr>
      </w:pPr>
    </w:p>
    <w:p>
      <w:pPr>
        <w:ind w:left="2380" w:hanging="427"/>
        <w:spacing w:after="0"/>
        <w:tabs>
          <w:tab w:leader="none" w:pos="2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Seller shall deliver to Buyer:</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 bill of sale in a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“Bill of Sale”), executed by Seller;</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Escrow Agreement, executed by Seller and Escrow Agent;</w:t>
      </w:r>
    </w:p>
    <w:p>
      <w:pPr>
        <w:spacing w:after="0" w:line="225" w:lineRule="exact"/>
        <w:rPr>
          <w:rFonts w:ascii="Arial" w:cs="Arial" w:eastAsia="Arial" w:hAnsi="Arial"/>
          <w:sz w:val="18"/>
          <w:szCs w:val="18"/>
          <w:color w:val="auto"/>
        </w:rPr>
      </w:pPr>
    </w:p>
    <w:p>
      <w:pPr>
        <w:ind w:firstLine="2601"/>
        <w:spacing w:after="0" w:line="277" w:lineRule="auto"/>
        <w:tabs>
          <w:tab w:leader="none" w:pos="30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(1) Intellectual Property Assignment Agreement, (2) Assignment of Patents, and (3) Assignment of Marks (each as defined below), in each case, executed by Seller;</w:t>
      </w:r>
    </w:p>
    <w:p>
      <w:pPr>
        <w:spacing w:after="0" w:line="170" w:lineRule="exact"/>
        <w:rPr>
          <w:rFonts w:ascii="Arial" w:cs="Arial" w:eastAsia="Arial" w:hAnsi="Arial"/>
          <w:sz w:val="18"/>
          <w:szCs w:val="18"/>
          <w:color w:val="auto"/>
        </w:rPr>
      </w:pPr>
    </w:p>
    <w:p>
      <w:pPr>
        <w:ind w:left="3040" w:hanging="439"/>
        <w:spacing w:after="0"/>
        <w:tabs>
          <w:tab w:leader="none" w:pos="3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Assignment and Assumption of Lease executed by Seller;</w:t>
      </w:r>
    </w:p>
    <w:p>
      <w:pPr>
        <w:spacing w:after="0" w:line="225" w:lineRule="exact"/>
        <w:rPr>
          <w:rFonts w:ascii="Arial" w:cs="Arial" w:eastAsia="Arial" w:hAnsi="Arial"/>
          <w:sz w:val="18"/>
          <w:szCs w:val="18"/>
          <w:color w:val="auto"/>
        </w:rPr>
      </w:pPr>
    </w:p>
    <w:p>
      <w:pPr>
        <w:ind w:left="3080" w:hanging="479"/>
        <w:spacing w:after="0"/>
        <w:tabs>
          <w:tab w:leader="none" w:pos="30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an assignment of the Domain Names in a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“Domain Name Assignment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executed by Seller;</w:t>
      </w:r>
    </w:p>
    <w:p>
      <w:pPr>
        <w:spacing w:after="0" w:line="210" w:lineRule="exact"/>
        <w:rPr>
          <w:rFonts w:ascii="Arial" w:cs="Arial" w:eastAsia="Arial" w:hAnsi="Arial"/>
          <w:sz w:val="17"/>
          <w:szCs w:val="17"/>
          <w:color w:val="auto"/>
        </w:rPr>
      </w:pPr>
    </w:p>
    <w:p>
      <w:pPr>
        <w:ind w:right="20" w:firstLine="2601"/>
        <w:spacing w:after="0" w:line="308" w:lineRule="auto"/>
        <w:tabs>
          <w:tab w:leader="none" w:pos="30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such other assignments, certificates of title, documents and other instruments of transfer and conveyance as may reasonably be requested by Buyer, each in form and substance satisfactory to Buyer and its legal counsel and executed by Seller;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20" w:firstLine="2601"/>
        <w:spacing w:after="0" w:line="277" w:lineRule="auto"/>
        <w:tabs>
          <w:tab w:leader="none" w:pos="29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executed written consents or approvals of, or notice to, any third parties to or regarding the assignment of the Assumed Contracts or the execution, delivery and performance of the Transaction Documents as specified on </w:t>
      </w:r>
      <w:r>
        <w:rPr>
          <w:rFonts w:ascii="Arial" w:cs="Arial" w:eastAsia="Arial" w:hAnsi="Arial"/>
          <w:sz w:val="18"/>
          <w:szCs w:val="18"/>
          <w:u w:val="single" w:color="auto"/>
          <w:color w:val="auto"/>
        </w:rPr>
        <w:t>Schedule 3.2(c)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000" w:hanging="399"/>
        <w:spacing w:after="0"/>
        <w:tabs>
          <w:tab w:leader="none" w:pos="3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Transition Services Agreement in the form attached hereto as Exhibit “J” (the “Transition Services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executed by Seller;</w:t>
      </w:r>
    </w:p>
    <w:p>
      <w:pPr>
        <w:spacing w:after="0" w:line="210" w:lineRule="exact"/>
        <w:rPr>
          <w:rFonts w:ascii="Arial" w:cs="Arial" w:eastAsia="Arial" w:hAnsi="Arial"/>
          <w:sz w:val="16"/>
          <w:szCs w:val="16"/>
          <w:color w:val="auto"/>
        </w:rPr>
      </w:pPr>
    </w:p>
    <w:p>
      <w:pPr>
        <w:jc w:val="both"/>
        <w:ind w:firstLine="2601"/>
        <w:spacing w:after="0" w:line="276" w:lineRule="auto"/>
        <w:tabs>
          <w:tab w:leader="none" w:pos="301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certificate of an authorized officer of Seller certifying, as complete and accurate as of the Closing Date, attached copies of the certificate of incorporation and bylaws of Seller, each as amended, including a certificate of existence issued by the Secretary of State of the State of Delaware, certifying and attaching all requisite resolutions of Seller’s board of directors and stockholders approving the execution and delivery of this Agreement and the consummation of the Contemplated Transactions, and certifying to the incumbency and signatures of the officers of Seller executing this Agreement and any other document relating to the Contemplated Transactions; and</w:t>
      </w:r>
    </w:p>
    <w:p>
      <w:pPr>
        <w:spacing w:after="0" w:line="172" w:lineRule="exact"/>
        <w:rPr>
          <w:rFonts w:ascii="Arial" w:cs="Arial" w:eastAsia="Arial" w:hAnsi="Arial"/>
          <w:sz w:val="17"/>
          <w:szCs w:val="17"/>
          <w:color w:val="auto"/>
        </w:rPr>
      </w:pPr>
    </w:p>
    <w:p>
      <w:pPr>
        <w:ind w:left="3120" w:hanging="519"/>
        <w:spacing w:after="0"/>
        <w:tabs>
          <w:tab w:leader="none" w:pos="31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such other documents as may be reasonably required by Buyer in connection with the consummation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Contemplated Transactions.</w:t>
      </w:r>
    </w:p>
    <w:p>
      <w:pPr>
        <w:spacing w:after="0" w:line="210" w:lineRule="exact"/>
        <w:rPr>
          <w:rFonts w:ascii="Arial" w:cs="Arial" w:eastAsia="Arial" w:hAnsi="Arial"/>
          <w:sz w:val="17"/>
          <w:szCs w:val="17"/>
          <w:color w:val="auto"/>
        </w:rPr>
      </w:pPr>
    </w:p>
    <w:p>
      <w:pPr>
        <w:ind w:left="2380" w:hanging="427"/>
        <w:spacing w:after="0"/>
        <w:tabs>
          <w:tab w:leader="none" w:pos="2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Buyer shall deliver to Seller:</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Closing Payment (less the amount described in Section 2.4(a)), to an account identified in writing by Seller prior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Closing;</w:t>
      </w:r>
    </w:p>
    <w:p>
      <w:pPr>
        <w:spacing w:after="0" w:line="210" w:lineRule="exact"/>
        <w:rPr>
          <w:rFonts w:ascii="Arial" w:cs="Arial" w:eastAsia="Arial" w:hAnsi="Arial"/>
          <w:sz w:val="16"/>
          <w:szCs w:val="16"/>
          <w:color w:val="auto"/>
        </w:rPr>
      </w:pPr>
    </w:p>
    <w:p>
      <w:pPr>
        <w:ind w:left="3000" w:hanging="399"/>
        <w:spacing w:after="0"/>
        <w:tabs>
          <w:tab w:leader="none" w:pos="3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Escrow Agreement, executed by Buyer;</w:t>
      </w:r>
    </w:p>
    <w:p>
      <w:pPr>
        <w:spacing w:after="0" w:line="225" w:lineRule="exact"/>
        <w:rPr>
          <w:rFonts w:ascii="Arial" w:cs="Arial" w:eastAsia="Arial" w:hAnsi="Arial"/>
          <w:sz w:val="18"/>
          <w:szCs w:val="18"/>
          <w:color w:val="auto"/>
        </w:rPr>
      </w:pPr>
    </w:p>
    <w:p>
      <w:pPr>
        <w:ind w:left="3020" w:hanging="419"/>
        <w:spacing w:after="0"/>
        <w:tabs>
          <w:tab w:leader="none" w:pos="3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(1) Intellectual Property Assignment Agreement, (2) Assignment of Patents, and (3) Assignment of Marks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defined below) executed by Buyer;</w:t>
      </w:r>
    </w:p>
    <w:p>
      <w:pPr>
        <w:spacing w:after="0" w:line="210" w:lineRule="exact"/>
        <w:rPr>
          <w:rFonts w:ascii="Arial" w:cs="Arial" w:eastAsia="Arial" w:hAnsi="Arial"/>
          <w:sz w:val="16"/>
          <w:szCs w:val="16"/>
          <w:color w:val="auto"/>
        </w:rPr>
      </w:pPr>
    </w:p>
    <w:p>
      <w:pPr>
        <w:ind w:left="3000" w:hanging="399"/>
        <w:spacing w:after="0"/>
        <w:tabs>
          <w:tab w:leader="none" w:pos="3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Transition Services Agreement executed by Buyer;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3000" w:hanging="399"/>
        <w:spacing w:after="0"/>
        <w:tabs>
          <w:tab w:leader="none" w:pos="3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Assumption Agreement in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executed by Buyer; and</w:t>
      </w:r>
    </w:p>
    <w:p>
      <w:pPr>
        <w:spacing w:after="0" w:line="225" w:lineRule="exact"/>
        <w:rPr>
          <w:rFonts w:ascii="Arial" w:cs="Arial" w:eastAsia="Arial" w:hAnsi="Arial"/>
          <w:sz w:val="18"/>
          <w:szCs w:val="18"/>
          <w:color w:val="auto"/>
        </w:rPr>
      </w:pPr>
    </w:p>
    <w:p>
      <w:pPr>
        <w:ind w:left="3040" w:hanging="439"/>
        <w:spacing w:after="0"/>
        <w:tabs>
          <w:tab w:leader="none" w:pos="3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Assignment and Assumption of Lease executed by Buyer.</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SELLER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Seller represents and warrants to Buyer that the statements in this Section 3 are true and correct as of the date hereof, except as set forth in the schedules accompanying this Agreement (the “Disclosure Schedules”). The Disclosure Schedules have been arranged for purposes of convenience in separately titled sections corresponding to the sections of this Section 3. Any disclosure in one section of the Disclosure Schedules may apply to and qualify disclosures made in one or more other sections to the extent that it is reasonably apparent that such disclosures apply to or qualify other sections, notwithstanding the omission of an appropriate cross reference to such other section.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Seller is a corporation duly incorporated, validly existing and in good standing under the laws of the state of Delaware, with full power and authority to conduct its business as it is now being conducted, to own or use the properties and assets that it purports to own or use, and to perform all of its obligations under the Transaction Documents. Seller is duly qualified to do business as a foreign company and is in good standing under the laws of each state or other jurisdiction in which either the ownership or use of the properties owned or used by it, or the nature of the activities conducted by it, requires such qualification. Seller neither has any subsidiaries nor owns any equity interests or other securities of any other Person. The only names used by Seller for the conduct of the Business at any time since the date of Seller’s incorporation, including any trade or doing-business-as name, is VendScreen, Inc.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Enforceability; Authority; No Conflict</w:t>
      </w:r>
      <w:r>
        <w:rPr>
          <w:rFonts w:ascii="Arial" w:cs="Arial" w:eastAsia="Arial" w:hAnsi="Arial"/>
          <w:sz w:val="17"/>
          <w:szCs w:val="17"/>
          <w:color w:val="auto"/>
        </w:rPr>
        <w:t>.</w:t>
      </w:r>
    </w:p>
    <w:p>
      <w:pPr>
        <w:spacing w:after="0" w:line="225" w:lineRule="exact"/>
        <w:rPr>
          <w:sz w:val="20"/>
          <w:szCs w:val="20"/>
          <w:color w:val="auto"/>
        </w:rPr>
      </w:pPr>
    </w:p>
    <w:p>
      <w:pPr>
        <w:jc w:val="both"/>
        <w:ind w:firstLine="1953"/>
        <w:spacing w:after="0" w:line="289" w:lineRule="auto"/>
        <w:tabs>
          <w:tab w:leader="none" w:pos="23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Agreement constitutes the legal, valid and binding obligation of Seller, enforceable against Seller in accordance with its terms, except as such enforceability may be limited by bankruptcy, insolvency, fraudulent transfer, reorganization, moratorium or other similar laws relating to or affecting the rights of creditors generally and by equitable principles (whether applied in a proceeding at law or in equity). Upon the execution and delivery by Seller of each Transaction Document to be executed or delivered by Seller at the Closing, such Transaction Document shall constitute the legal, valid, and binding obligation of Seller, enforceable against Seller in accordance with its terms; provided, that the exceptions pertaining to enforceability set forth in the immediately preceding sentence shall apply equally to this sentence. This Agreement, each applicable Transaction Document and the Contemplated Transactions have been duly approved and authorized by all requisite corporate action, including, without limiting the generality of the foregoing, all stockholder and board of directors approvals required pursuant to the Seller’s certificate of incorporation, bylaws, as amended, and any Legal Requirements, and no other corporate or other proceedings or actions on the part of Seller, its board of directors or stockholders are necessary therefor.</w:t>
      </w:r>
    </w:p>
    <w:p>
      <w:pPr>
        <w:spacing w:after="0" w:line="166" w:lineRule="exact"/>
        <w:rPr>
          <w:rFonts w:ascii="Arial" w:cs="Arial" w:eastAsia="Arial" w:hAnsi="Arial"/>
          <w:sz w:val="16"/>
          <w:szCs w:val="16"/>
          <w:color w:val="auto"/>
        </w:rPr>
      </w:pPr>
    </w:p>
    <w:p>
      <w:pPr>
        <w:jc w:val="both"/>
        <w:ind w:firstLine="1953"/>
        <w:spacing w:after="0" w:line="287" w:lineRule="auto"/>
        <w:tabs>
          <w:tab w:leader="none" w:pos="2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or any other Transaction Document nor the consummation or performance of any of the Contemplated Transactions will, directly or indirectly (with or without notice or lapse of time): (i) breach or conflict with any provision of any of the certificate of incorporation or bylaws of Seller, as amended as of the Closing Date; (ii) give any Governmental Body or other Person (including any holder of any capital stock, other equity interest or debt of Seller) the right to challenge any of the Contemplated Transactions or to exercise any remedy or obtain any relief under, any Legal Requirement or any Order to which Seller or any of the Purchased Assets, may be subject; (iii) contravene, conflict with or result in a violation or breach of any of the terms or requirements of, or give any Governmental Body the right to revoke, withdraw, suspend, cancel, terminate or modify, any Governmental Authorization that is held by Seller or that otherwise relates, directly or indirectly, to the Purchased Assets or to the business of Seller; or (iv) breach any provision of, or give any Person the right to declare a default or exercise any remedy or any right of first refusal or first offer under, or to accelerate the maturity or performance of, or payment under, or to cancel, terminate or modify, or otherwise result in or permit any change in the rights or obligations of any Person other than Seller under, any contract, lease, license or sublicense, franchise or other instrument or agreement to which Seller is a party or by which Seller or any of its assets are bound, including any Assumed Contract.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1953"/>
        <w:spacing w:after="0" w:line="257" w:lineRule="auto"/>
        <w:tabs>
          <w:tab w:leader="none" w:pos="23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3.2(c)</w:t>
      </w:r>
      <w:r>
        <w:rPr>
          <w:rFonts w:ascii="Arial" w:cs="Arial" w:eastAsia="Arial" w:hAnsi="Arial"/>
          <w:sz w:val="18"/>
          <w:szCs w:val="18"/>
          <w:color w:val="auto"/>
        </w:rPr>
        <w:t>, no notice to, or consent, approval or waiver from, any Person or filing or registration with any Governmental Body, is required in connection with the execution and delivery of this Agreement or the consummation or performance of any of the Contemplated Transactions, including the sale, transfer and assignment of the Purchased Assets. There are no applicable bulk sales laws or similar Legal Requirements which would require that notice of the Contemplated Transactions be given to creditors of Seller or any Governmental Body, or any other notice be given or consent or approval be obtained or similar action be taken.</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Sufficiency of Assets; Title</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7" w:lineRule="auto"/>
        <w:tabs>
          <w:tab w:leader="none" w:pos="23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Purchased Assets constitute all of the assets, tangible and intangible, of any nature whatsoever, owned or licensed by Seller and necessary and sufficient to operate Seller’s business in the manner presently operated, except for the Excluded Assets.</w:t>
      </w:r>
    </w:p>
    <w:p>
      <w:pPr>
        <w:spacing w:after="0" w:line="170" w:lineRule="exact"/>
        <w:rPr>
          <w:rFonts w:ascii="Arial" w:cs="Arial" w:eastAsia="Arial" w:hAnsi="Arial"/>
          <w:sz w:val="18"/>
          <w:szCs w:val="18"/>
          <w:color w:val="auto"/>
        </w:rPr>
      </w:pPr>
    </w:p>
    <w:p>
      <w:pPr>
        <w:jc w:val="both"/>
        <w:ind w:firstLine="1953"/>
        <w:spacing w:after="0" w:line="257" w:lineRule="auto"/>
        <w:tabs>
          <w:tab w:leader="none" w:pos="2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Schedule 3.3(b)(i)</w:t>
      </w:r>
      <w:r>
        <w:rPr>
          <w:rFonts w:ascii="Arial" w:cs="Arial" w:eastAsia="Arial" w:hAnsi="Arial"/>
          <w:sz w:val="18"/>
          <w:szCs w:val="18"/>
          <w:color w:val="auto"/>
        </w:rPr>
        <w:t xml:space="preserve">, Seller owns good, valid and transferable title to, or valid, subsisting and transferable leasehold or license interests in Purchased Assets (which leased or licensed Purchased Assets are set forth on </w:t>
      </w:r>
      <w:r>
        <w:rPr>
          <w:rFonts w:ascii="Arial" w:cs="Arial" w:eastAsia="Arial" w:hAnsi="Arial"/>
          <w:sz w:val="18"/>
          <w:szCs w:val="18"/>
          <w:u w:val="single" w:color="auto"/>
          <w:color w:val="auto"/>
        </w:rPr>
        <w:t>Schedule 3.3(b)(ii)</w:t>
      </w:r>
      <w:r>
        <w:rPr>
          <w:rFonts w:ascii="Arial" w:cs="Arial" w:eastAsia="Arial" w:hAnsi="Arial"/>
          <w:sz w:val="18"/>
          <w:szCs w:val="18"/>
          <w:color w:val="auto"/>
        </w:rPr>
        <w:t xml:space="preserve">), free and clear of any Encumbrances except Permitted Encumbrances and, except as set forth in such </w:t>
      </w:r>
      <w:r>
        <w:rPr>
          <w:rFonts w:ascii="Arial" w:cs="Arial" w:eastAsia="Arial" w:hAnsi="Arial"/>
          <w:sz w:val="18"/>
          <w:szCs w:val="18"/>
          <w:u w:val="single" w:color="auto"/>
          <w:color w:val="auto"/>
        </w:rPr>
        <w:t>Schedule 3.3(b)(i)</w:t>
      </w:r>
      <w:r>
        <w:rPr>
          <w:rFonts w:ascii="Arial" w:cs="Arial" w:eastAsia="Arial" w:hAnsi="Arial"/>
          <w:sz w:val="18"/>
          <w:szCs w:val="18"/>
          <w:color w:val="auto"/>
        </w:rPr>
        <w:t>, none of the Purchased Assets is owned by any Person other than Seller (including jointly with any other Person, including Affiliates of Seller); provided that the representations in this Section 3.3(b) do not apply to Intellectual Property, which is covered exclusively in Section 3.16.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1953"/>
        <w:spacing w:after="0" w:line="272" w:lineRule="auto"/>
        <w:tabs>
          <w:tab w:leader="none" w:pos="25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3.3(c)</w:t>
      </w:r>
      <w:r>
        <w:rPr>
          <w:rFonts w:ascii="Arial" w:cs="Arial" w:eastAsia="Arial" w:hAnsi="Arial"/>
          <w:sz w:val="17"/>
          <w:szCs w:val="17"/>
          <w:color w:val="auto"/>
        </w:rPr>
        <w:t>, each item of Tangible Personal Property is in good repair and good operating condition, ordinary wear and tear excepted, is fit for its intended use and suitable for immediate use in the business of Seller or otherwise in the ordinary course of business and is free from latent and patent defects in design, workmanship and materials. No item of Tangible Personal Property is in need of repair or replacement other than as part of routine maintenance in the ordinary course of business. Upon the sale, conveyance, transfer, assignment and delivery of the Tangible Personal Property in accordance with this Agreement, Buyer will acquire good and valid title to the Tangible Personal Property owned by Seller, free and clear of any Encumbrances except Permitted Encumbrances. Notwithstanding anything in Section 3.3(c), the representations in this Section 3.3(c) do not apply to Inventory, which is covered exclusively in Section 3.5.</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sets forth a list of all real property in which Seller has a leasehold interest (the “Leased Real Property”, with the leases or other Contracts evidencing such interests, and any amendments or modifications thereto or restatements thereof, being referred to as the “Real Property Leases”). Seller has provided Buyer with complete and accurate copies of all Real Property Leases. No party to any Real Property Lease has given Seller notice (whether written or oral) of, or made a claim with respect to, any breach or default thereunder. None of the Leased Real Property is subject to any assignment, sublease or grant to any Person of any license or right to the use, occupancy or enjoyment of the property or any portion thereof. Seller has paid on or prior to the date hereof (after giving effect to the Closing) to the applicable landlord all rentals and other amounts due and payable under the Real Property Leases as of the Closing. Seller has paid on or prior to the date hereof (after giving effect to the Closing) all required impositions under the Real Property Leases (e.g., Taxes, insurance, operating expense) up through and including the day of Closing to the extent the same were due and payable by or as of the Closing Date.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Inventories</w:t>
      </w:r>
      <w:r>
        <w:rPr>
          <w:rFonts w:ascii="Arial" w:cs="Arial" w:eastAsia="Arial" w:hAnsi="Arial"/>
          <w:sz w:val="17"/>
          <w:szCs w:val="17"/>
          <w:color w:val="auto"/>
        </w:rPr>
        <w:t xml:space="preserve">. To Seller’s Knowledge, </w:t>
      </w:r>
      <w:r>
        <w:rPr>
          <w:rFonts w:ascii="Arial" w:cs="Arial" w:eastAsia="Arial" w:hAnsi="Arial"/>
          <w:sz w:val="17"/>
          <w:szCs w:val="17"/>
          <w:u w:val="single" w:color="auto"/>
          <w:color w:val="auto"/>
        </w:rPr>
        <w:t>Schedule 2.1(b)</w:t>
      </w:r>
      <w:r>
        <w:rPr>
          <w:rFonts w:ascii="Arial" w:cs="Arial" w:eastAsia="Arial" w:hAnsi="Arial"/>
          <w:sz w:val="17"/>
          <w:szCs w:val="17"/>
          <w:color w:val="auto"/>
        </w:rPr>
        <w:t xml:space="preserve"> sets forth a true, correct and complete list of all Inventories used in or held for the business of Seller. All items included in the Inventories consist of a quality and quantity usable and, with respect to finished goods, saleable, in the ordinary course of business of Seller, and free from latent and patent defects in design, workmanship and materials or otherwise and, with respect to finished goods, fit for their intended purpose and in material conformity with their applicable specifications and technical documentation, in each case subject to the reserve amount provided in the balance sheet of Seller as of September 30, 2015. The quantities of each item of Inventories (whether raw materials, work-in-process, component parts, or finished goods) are not excessive but are reasonable in the present circumstances of Seller.</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Except as and to the extent reflected or reserved against on the balance sheet of Seller as of September 30, 2015 (such date, the “Balance Sheet Date”), Seller had no debts, liabilities or obligations (whether absolute, accrued, contingent or otherwise) of any nature whatsoever, whether or not known or unknown, due or payable relating to the Purchased Assets, which are required to be set forth on the balance sheet of Seller or in the notes thereto in accordance with GAAP applied on a basis consistent with Seller’s past practices, except for debts, liabilities and obligations incurred since the Balance Sheet Date in the ordinary course of business or in connection with the Transaction Documents.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Taxes</w:t>
      </w:r>
      <w:r>
        <w:rPr>
          <w:rFonts w:ascii="Arial" w:cs="Arial" w:eastAsia="Arial" w:hAnsi="Arial"/>
          <w:sz w:val="18"/>
          <w:szCs w:val="18"/>
          <w:color w:val="auto"/>
        </w:rPr>
        <w:t>. Seller has filed or caused to be filed on a timely basis all Seller’s Tax Returns and all reports with respect to Seller’s Taxes that are or were required to be filed or provided by the Closing Date pursuant to applicable Legal Requirements. All Tax Returns and reports filed or provided by Seller are true, correct, and complete in all material respects. Seller has paid all Seller’s Taxes and assessments by Governmental Bodies that were due before the Closing Date. All Taxes that Seller is or was required by Legal Requirements to withhold, deduct or collect have been duly withheld, deducted and collected and, to the extent required, have been paid to the proper Governmental Body or other Person. Seller has not been notified by any jurisdiction in which it does not file Tax Returns that it may be obligated to file Tax Returns in the jurisdiction.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3.8</w:t>
      </w:r>
      <w:r>
        <w:rPr>
          <w:rFonts w:ascii="Arial" w:cs="Arial" w:eastAsia="Arial" w:hAnsi="Arial"/>
          <w:sz w:val="17"/>
          <w:szCs w:val="17"/>
          <w:color w:val="auto"/>
        </w:rPr>
        <w:t xml:space="preserve">, there has not been any material adverse change in the business, operations, prospects, assets, results of operations, or condition (financial or other) of Seller (including the Purchased Assets), and no event has occurred or circumstance exists that may result in such a material adverse change, nor has any Encumbrance (other than Permitted Encumbrances) attached or arisen over or with respect to any of the Purchased Assets, in each case, since the Balance Sheet Date. Without limiting the generality of the foregoing, except as set forth on </w:t>
      </w:r>
      <w:r>
        <w:rPr>
          <w:rFonts w:ascii="Arial" w:cs="Arial" w:eastAsia="Arial" w:hAnsi="Arial"/>
          <w:sz w:val="17"/>
          <w:szCs w:val="17"/>
          <w:u w:val="single" w:color="auto"/>
          <w:color w:val="auto"/>
        </w:rPr>
        <w:t>Schedule 3.8,</w:t>
      </w:r>
      <w:r>
        <w:rPr>
          <w:rFonts w:ascii="Arial" w:cs="Arial" w:eastAsia="Arial" w:hAnsi="Arial"/>
          <w:sz w:val="17"/>
          <w:szCs w:val="17"/>
          <w:color w:val="auto"/>
        </w:rPr>
        <w:t xml:space="preserve"> since the Balance Sheet Date, Seller has not taken or caused to be taken any of the following actions, nor has any of the following occurred (as the case may be), in each case outside the ordinary course of business:</w:t>
      </w:r>
    </w:p>
    <w:p>
      <w:pPr>
        <w:spacing w:after="0" w:line="178" w:lineRule="exact"/>
        <w:rPr>
          <w:sz w:val="20"/>
          <w:szCs w:val="20"/>
          <w:color w:val="auto"/>
        </w:rPr>
      </w:pPr>
    </w:p>
    <w:p>
      <w:pPr>
        <w:ind w:left="2380" w:hanging="427"/>
        <w:spacing w:after="0"/>
        <w:tabs>
          <w:tab w:leader="none" w:pos="2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sold, assigned or transferred any portion of the Purchased Assets, other than in the ordinary course of business;</w:t>
      </w:r>
    </w:p>
    <w:p>
      <w:pPr>
        <w:spacing w:after="0" w:line="225" w:lineRule="exact"/>
        <w:rPr>
          <w:rFonts w:ascii="Arial" w:cs="Arial" w:eastAsia="Arial" w:hAnsi="Arial"/>
          <w:sz w:val="18"/>
          <w:szCs w:val="18"/>
          <w:color w:val="auto"/>
        </w:rPr>
      </w:pPr>
    </w:p>
    <w:p>
      <w:pPr>
        <w:ind w:firstLine="1953"/>
        <w:spacing w:after="0" w:line="277" w:lineRule="auto"/>
        <w:tabs>
          <w:tab w:leader="none" w:pos="24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amended or modified, (ii) entered into, agreed to or acquiesced to any waiver of or (iii) cancelled, terminated or received notice (whether written or oral) of future cancellation or termination of any Assumed Contract;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failed to make any payments on, under or relating to any Assumed Contracts, Taxes or Governmental Authorizations on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current basis as and when due;</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4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suffered or incurred any material damage, destruction or Loss relating to the business of Seller or the Purchased Assets, whether or not covered by insurance, or received or incurred any material claims or Liabilities relating to the business of Seller or the Purchased Assets, whether or not covered by insurance;</w:t>
      </w:r>
    </w:p>
    <w:p>
      <w:pPr>
        <w:spacing w:after="0" w:line="181" w:lineRule="exact"/>
        <w:rPr>
          <w:rFonts w:ascii="Arial" w:cs="Arial" w:eastAsia="Arial" w:hAnsi="Arial"/>
          <w:sz w:val="18"/>
          <w:szCs w:val="18"/>
          <w:color w:val="auto"/>
        </w:rPr>
      </w:pPr>
    </w:p>
    <w:p>
      <w:pPr>
        <w:ind w:firstLine="1953"/>
        <w:spacing w:after="0" w:line="308" w:lineRule="auto"/>
        <w:tabs>
          <w:tab w:leader="none" w:pos="25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incurred any indebtedness or non-current liability, or mortgaged, sold, assigned, transferred, hypothecated, pledged or otherwise placed or suffered or acquiesced in the imposition of an Encumbrance other than a Permitted Encumbrance on any Purchased Asset;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right="20" w:firstLine="1953"/>
        <w:spacing w:after="0" w:line="342" w:lineRule="auto"/>
        <w:tabs>
          <w:tab w:leader="none" w:pos="23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transferred, granted, licensed, sublicensed, assigned, terminated or otherwise disposed of, modified, changed or cancelled, or entered into, agreed to or acquiesced to any waiver of, any material rights or obligations with respect to any of the Intellectual Property Assets;</w:t>
      </w:r>
    </w:p>
    <w:p>
      <w:pPr>
        <w:spacing w:after="0" w:line="123" w:lineRule="exact"/>
        <w:rPr>
          <w:rFonts w:ascii="Arial" w:cs="Arial" w:eastAsia="Arial" w:hAnsi="Arial"/>
          <w:sz w:val="16"/>
          <w:szCs w:val="16"/>
          <w:color w:val="auto"/>
        </w:rPr>
      </w:pPr>
    </w:p>
    <w:p>
      <w:pPr>
        <w:ind w:left="2380" w:hanging="427"/>
        <w:spacing w:after="0"/>
        <w:tabs>
          <w:tab w:leader="none" w:pos="2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notice of resignation from or termination of employment with Seller of any employees; or</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entered into any agreement or commitment to take any of the actions set forth in paragraphs (a) through (g) of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5" w:lineRule="auto"/>
        <w:tabs>
          <w:tab w:leader="none" w:pos="239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Schedule 3.9(a)(i)</w:t>
      </w:r>
      <w:r>
        <w:rPr>
          <w:rFonts w:ascii="Arial" w:cs="Arial" w:eastAsia="Arial" w:hAnsi="Arial"/>
          <w:sz w:val="18"/>
          <w:szCs w:val="18"/>
          <w:color w:val="auto"/>
        </w:rPr>
        <w:t xml:space="preserve"> sets forth a true, correct, and complete list of each person employed by Seller including such employee’s Fair Labor Standards Act status as exempt or non-exempt, name, job title, work location, estimated current total compensation on a gross annualized basis and hourly pay rate (if applicable), total compensation paid to date in 2015 and total compensation paid in 2014. </w:t>
      </w:r>
      <w:r>
        <w:rPr>
          <w:rFonts w:ascii="Arial" w:cs="Arial" w:eastAsia="Arial" w:hAnsi="Arial"/>
          <w:sz w:val="18"/>
          <w:szCs w:val="18"/>
          <w:u w:val="single" w:color="auto"/>
          <w:color w:val="auto"/>
        </w:rPr>
        <w:t>Schedule 3.9(a)(ii)</w:t>
      </w:r>
      <w:r>
        <w:rPr>
          <w:rFonts w:ascii="Arial" w:cs="Arial" w:eastAsia="Arial" w:hAnsi="Arial"/>
          <w:sz w:val="18"/>
          <w:szCs w:val="18"/>
          <w:color w:val="auto"/>
        </w:rPr>
        <w:t xml:space="preserve"> sets forth any individuals who are (A) “leased employees” within the meaning of Section 414(n) of the Code or (B) “independent contractors” within the meaning of the Code and the rules and regulations promulgated thereunder (together with all employees of Seller, collectively, “Employees”) and with respect to each such Employee the following information: name, status as a leased employee or independent contractor, work location, compensation paid to date in 2015, and total compensation paid in 2014.</w:t>
      </w:r>
    </w:p>
    <w:p>
      <w:pPr>
        <w:spacing w:after="0" w:line="189" w:lineRule="exact"/>
        <w:rPr>
          <w:rFonts w:ascii="Arial" w:cs="Arial" w:eastAsia="Arial" w:hAnsi="Arial"/>
          <w:sz w:val="18"/>
          <w:szCs w:val="18"/>
          <w:color w:val="auto"/>
        </w:rPr>
      </w:pPr>
    </w:p>
    <w:p>
      <w:pPr>
        <w:jc w:val="both"/>
        <w:ind w:firstLine="1953"/>
        <w:spacing w:after="0" w:line="259" w:lineRule="auto"/>
        <w:tabs>
          <w:tab w:leader="none" w:pos="2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Seller nor any Affiliate of Seller is a party to, or bound by, any collective bargaining agreement or other agreement or understanding with any labor or trade union or similar labor organization. Neither the Seller nor any Affiliate of Seller has experienced, any union organizing efforts, strike, slowdown, work stoppage, lockout, material labor grievances, charges or complaints relating to unfair labor practices or other labor dispute.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1953"/>
        <w:spacing w:after="0" w:line="276" w:lineRule="auto"/>
        <w:tabs>
          <w:tab w:leader="none" w:pos="25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Without limiting the generality of Sections 3.11 and 3.12, there is no pending or current Proceeding, nor, to Seller’s Knowledge, is any Proceeding threatened, by any Governmental Body or any current or former employee, consultant or independent contractor of Seller or any Affiliate of Seller relating to or arising out of any violation or alleged violation of any Legal Requirement. Seller is and has at all times been in compliance with all Legal Requirements regarding employment, employment practices, terms and conditions of employment and wages and hours, in each case, with respect to any current, former or retired employees, consultants or independent contractors of Seller.</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Employee Benefits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lists all Benefit Plans of Seller that are currently in effect. Seller has performed, in all material respects, all of its obligations under all Benefit Plans, including all obligations under the provisions of ERISA, the Code and other Laws applicable to the Benefit Plans. Neither Seller nor any ERISA Affiliate has ever contributed to, or been required to contribute to any “multiemployer plan” (within the meaning of Section 3(37) of Employee Retirement Income Security Act of 1974, as amended (“ERISA”)) and neither Seller nor any ERISA Affiliate has any liability (contingent or otherwise) relating to the withdrawal or partial withdrawal from a multiemployer plan. None of the Benefit Plans is or at any time has been subject to Title IV of ERISA or Code Section 412. The Benefit Plans which are “employee pension benefit plans” within the meaning of Section 3(2) of ERISA and which are intended to meet the qualification requirements of Section 401(a) of the Code (each, a “Pension Plan”) have received favorable determination letters from the Internal Revenue Service with respect to their qualified status or are in the form of prototype or volume submitter plans that are the subject of favorable opinion or advisory letters from the Internal Revenue Service, and, to Seller’s Knowledge, nothing has occurred that would reasonably be expected to adversely affect the qualification of such Benefit Plan. To Seller’s Knowledge, no nonexempt “prohibited transaction” (within the meaning of Section 4975 of the Code or Sections 406 and 408 of ERISA) has occurred with respect to any of such Benefit Plans, which would reasonably be expected to result in a material liability to Seller. No Benefit Plan provides death or medical benefits beyond termination of service or retirement other than coverage mandated by law, benefits through the end of the month of termination of service or retirement and death benefits attributable to deaths occurring at or prior to termination of service or retirement.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spacing w:after="0" w:line="272"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Compliance with Legal Requirements; Governmental Authorizations</w:t>
      </w:r>
      <w:r>
        <w:rPr>
          <w:rFonts w:ascii="Arial" w:cs="Arial" w:eastAsia="Arial" w:hAnsi="Arial"/>
          <w:sz w:val="17"/>
          <w:szCs w:val="17"/>
          <w:color w:val="auto"/>
        </w:rPr>
        <w:t>. Seller is, and at all times, has been, in material compliance with each Legal Requirement that is or was applicable to it or to the conduct or operation of its business or the ownership or use of any of the Purchased Assets. No event has occurred or circumstance exists that (with or without notice or lapse of time) (A) may constitute or result in a violation by Seller of, or a failure on the part of Seller to comply with, any Legal Requirement or any Governmental Authorization that is held by Seller or that otherwise relates, directly or indirectly, to the business of Seller or the Purchased Assets, or (B) may give rise to any obligation on the part of Seller to undertake, or to bear all or any portion of the cost of, any remedial action of any nature. Each Governmental Authorization that is held by Seller or that otherwise relates to the business of Seller or the Purchased Assets is valid and in full force and effect, and Seller has been in compliance with any such Governmental Authorization.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 There is no pending or threatened Proceeding (i) by or against Seller or that otherwise relates to or may affect the business of, or any of the Purchased Assets, or (ii) that challenges, or that may have the effect of preventing, delaying, making illegal or otherwise interfering with, any of the Contemplated Transactions. No event has occurred or circumstance exists that could reasonably be expected to give rise to or serve as a basis for the commencement of any such Proceeding. There is no Order to which Seller, its business or any of the Purchased Assets is a party or is subject.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tabs>
          <w:tab w:leader="none" w:pos="5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9" w:lineRule="auto"/>
        <w:tabs>
          <w:tab w:leader="none" w:pos="2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Without limiting the generality of Sections 3.11 and 3.12, (i) Seller is not in violation of, and (ii) Seller currently conducts, and has at all times conducted, its business in compliance in all respects with, Environmental Laws. No permit, certificate, license, approval, registration or other Governmental Authorization is required under any Environmental Laws for the use, maintenance, ownership or storage of any of the Purchased Assets or for the operation of the business of Seller other than those Seller already has.</w:t>
      </w:r>
    </w:p>
    <w:p>
      <w:pPr>
        <w:spacing w:after="0" w:line="186" w:lineRule="exact"/>
        <w:rPr>
          <w:rFonts w:ascii="Arial" w:cs="Arial" w:eastAsia="Arial" w:hAnsi="Arial"/>
          <w:sz w:val="18"/>
          <w:szCs w:val="18"/>
          <w:color w:val="auto"/>
        </w:rPr>
      </w:pPr>
    </w:p>
    <w:p>
      <w:pPr>
        <w:jc w:val="both"/>
        <w:ind w:firstLine="1953"/>
        <w:spacing w:after="0" w:line="312" w:lineRule="auto"/>
        <w:tabs>
          <w:tab w:leader="none" w:pos="23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notice, citation, summons, order or other correspondence has been received by Seller, no complaint has been filed against Seller, no penalty has been threatened or assessed against Seller and to Seller’s Knowledge, no investigation, corrective action, remediation or review is pending or threatened against Seller by any Governmental Body with respect to any Environmental Laws or any violation or alleged violation thereof.</w:t>
      </w:r>
    </w:p>
    <w:p>
      <w:pPr>
        <w:spacing w:after="0" w:line="146" w:lineRule="exact"/>
        <w:rPr>
          <w:rFonts w:ascii="Arial" w:cs="Arial" w:eastAsia="Arial" w:hAnsi="Arial"/>
          <w:sz w:val="16"/>
          <w:szCs w:val="16"/>
          <w:color w:val="auto"/>
        </w:rPr>
      </w:pPr>
    </w:p>
    <w:p>
      <w:pPr>
        <w:ind w:right="20" w:firstLine="1953"/>
        <w:spacing w:after="0" w:line="277" w:lineRule="auto"/>
        <w:tabs>
          <w:tab w:leader="none" w:pos="23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Seller does not use, and has not used at any time, any Hazardous Substances. To Seller’s Knowledge, Seller has no Liability relating to, or arising as a result of, any Hazardous Materials that may have been discharged on, or released from, its premises.</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Contracts; Customers and Suppliers; No Defaults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9" w:lineRule="auto"/>
        <w:tabs>
          <w:tab w:leader="none" w:pos="241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contains an accurate and complete list of (i) all of Seller’s customers and licensees and (ii) all of Seller’s suppliers, vendors, licensors, sublicensors, and other counterparties to whom Seller made payments (“Suppliers”) in excess of $10,000 during each of 2014 and 2015 and, together therewith, a description (including date and title) of each outstanding contract, agreement or purchase or supply order or commitment with such party.</w:t>
      </w:r>
    </w:p>
    <w:p>
      <w:pPr>
        <w:spacing w:after="0" w:line="186" w:lineRule="exact"/>
        <w:rPr>
          <w:rFonts w:ascii="Arial" w:cs="Arial" w:eastAsia="Arial" w:hAnsi="Arial"/>
          <w:sz w:val="18"/>
          <w:szCs w:val="18"/>
          <w:color w:val="auto"/>
        </w:rPr>
      </w:pPr>
    </w:p>
    <w:p>
      <w:pPr>
        <w:ind w:firstLine="1953"/>
        <w:spacing w:after="0" w:line="277" w:lineRule="auto"/>
        <w:tabs>
          <w:tab w:leader="none" w:pos="24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Each Assumed Contract is in full force and effect and is valid and enforceable in accordance with its terms; and (ii) each Assumed Contract is assignable by Seller to Buyer without the consent or approval of, waiver by, or notice to any other Person.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right="20" w:firstLine="1953"/>
        <w:spacing w:after="0" w:line="264" w:lineRule="auto"/>
        <w:tabs>
          <w:tab w:leader="none" w:pos="24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Seller has not received any written notice that any party to an Assumed Contract has any intention or plan (whether present or future) to terminate any Assumed Contract. None of the Suppliers has given Seller written notice of the termination or any material change in the terms of its business relationship with the Seller.</w:t>
      </w:r>
    </w:p>
    <w:p>
      <w:pPr>
        <w:spacing w:after="0" w:line="181" w:lineRule="exact"/>
        <w:rPr>
          <w:rFonts w:ascii="Arial" w:cs="Arial" w:eastAsia="Arial" w:hAnsi="Arial"/>
          <w:sz w:val="18"/>
          <w:szCs w:val="18"/>
          <w:color w:val="auto"/>
        </w:rPr>
      </w:pPr>
    </w:p>
    <w:p>
      <w:pPr>
        <w:jc w:val="both"/>
        <w:ind w:firstLine="1953"/>
        <w:spacing w:after="0" w:line="270" w:lineRule="auto"/>
        <w:tabs>
          <w:tab w:leader="none" w:pos="250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Seller is, and at all times has been, in compliance with all applicable terms and requirements of each Assumed Contract; (ii) each other Person that has or had any obligation or liability under any Assumed Contract is, and at all times has been, in compliance with all applicable terms and requirements of such Assumed Contract; and (iii) no event has occurred or circumstance now exists or will exist in connection with the delegation and assignment to Buyer of the Assumed Contracts as contemplated hereby that (with or without notice or lapse of time) may contravene, conflict with or result in a breach of, or give Seller or other Person the right to declare a default or exercise any remedy or any right of first refusal or first offer under, or to accelerate the maturity or performance of, or payment under, or to cancel, terminate or modify, or otherwise result in or permit any change in the rights or obligations of any Person under, any Assumed Contract; and (iv) no event has occurred or circumstance exists under or by virtue of any contract that (with or without notice or lapse of time) would cause, and the delegation and assignment to Buyer of, the Assumed Contracts as contemplated hereby will not result in, the creation of any Encumbrance affecting any of the Purchased Assets.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Insurance</w:t>
      </w:r>
      <w:r>
        <w:rPr>
          <w:rFonts w:ascii="Arial" w:cs="Arial" w:eastAsia="Arial" w:hAnsi="Arial"/>
          <w:sz w:val="18"/>
          <w:szCs w:val="18"/>
          <w:color w:val="auto"/>
        </w:rPr>
        <w:t>. All policies of insurance to which Seller is a party or that provide coverage to Seller (i) are valid, outstanding and enforceable; and (ii) taken together, provide adequate insurance coverage for the Purchased Assets and the operations of Seller for all risks normally insured against by a Person carrying on the same business or businesses as Seller in the same location.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tabs>
          <w:tab w:leader="none" w:pos="5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Intellectual Property Assets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89" w:lineRule="auto"/>
        <w:tabs>
          <w:tab w:leader="none" w:pos="239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sets forth a true and complete list of the Intellectual Property Assets owned by Seller that are registered or are material Software, and Seller owns all rights, title, and interest in and to such Intellectual Property Assets. For each listed Intellectual Property Asset, </w:t>
      </w: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also includes, where applicable, the registration or application number, the date granted or applied for, the expiration date, the jurisdiction, and the current status thereof. All of the Intellectual Property Assets listed in </w:t>
      </w: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to the extent registered, have been issued by the authority referred to therein, and are held of record in the name of Seller and all pending applications identified in </w:t>
      </w: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have been validly filed with the authority referred to therein in the name of Seller. Except as provided in </w:t>
      </w: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none of the Intellectual Property Assets owned by Seller are licensed to any third party and no third party is authorized to use, copy, distribute, modify, decompile, or prepare derivatives of any of such Intellectual Property Assets, including any Software owned by Seller. All of Seller’s right, title and interest to the Intellectual Property Assets, excluding the Patents and Marks, are assigned by Seller to Buyer pursuant to the Intellectual Property Assignment Agreement in the form set forth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953"/>
        <w:spacing w:after="0" w:line="286" w:lineRule="auto"/>
        <w:tabs>
          <w:tab w:leader="none" w:pos="240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Schedule 3.16(b)</w:t>
      </w:r>
      <w:r>
        <w:rPr>
          <w:rFonts w:ascii="Arial" w:cs="Arial" w:eastAsia="Arial" w:hAnsi="Arial"/>
          <w:sz w:val="17"/>
          <w:szCs w:val="17"/>
          <w:color w:val="auto"/>
        </w:rPr>
        <w:t xml:space="preserve"> sets forth a complete and accurate list of all Patents and Marks issued or registered to or owned by Seller, and Seller owns all rights, title, and interest in such Patents and Marks, and all of Seller’s right title and interest to such Patents and Marks are assigned by Seller to Buyer in the form of the Assignment of Patents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the Assignment of Marks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953"/>
        <w:spacing w:after="0" w:line="277" w:lineRule="auto"/>
        <w:tabs>
          <w:tab w:leader="none" w:pos="236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3.16(c)</w:t>
      </w:r>
      <w:r>
        <w:rPr>
          <w:rFonts w:ascii="Arial" w:cs="Arial" w:eastAsia="Arial" w:hAnsi="Arial"/>
          <w:sz w:val="18"/>
          <w:szCs w:val="18"/>
          <w:color w:val="auto"/>
        </w:rPr>
        <w:t xml:space="preserve"> sets forth any and all Intellectual Property used by Seller that is licensed, leased, or otherwise owned by any third party, excluding licenses for Off-the-Shelf Software.</w:t>
      </w:r>
    </w:p>
    <w:p>
      <w:pPr>
        <w:spacing w:after="0" w:line="170" w:lineRule="exact"/>
        <w:rPr>
          <w:rFonts w:ascii="Arial" w:cs="Arial" w:eastAsia="Arial" w:hAnsi="Arial"/>
          <w:sz w:val="18"/>
          <w:szCs w:val="18"/>
          <w:color w:val="auto"/>
        </w:rPr>
      </w:pPr>
    </w:p>
    <w:p>
      <w:pPr>
        <w:ind w:firstLine="1953"/>
        <w:spacing w:after="0" w:line="277" w:lineRule="auto"/>
        <w:tabs>
          <w:tab w:leader="none" w:pos="24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3.16(d)</w:t>
      </w:r>
      <w:r>
        <w:rPr>
          <w:rFonts w:ascii="Arial" w:cs="Arial" w:eastAsia="Arial" w:hAnsi="Arial"/>
          <w:sz w:val="18"/>
          <w:szCs w:val="18"/>
          <w:color w:val="auto"/>
        </w:rPr>
        <w:t xml:space="preserve"> sets forth any and all Software that is licensed, leased, or otherwise provided by any third party to Seller, pursuant to any license, purchase, or other agreement, excluding licenses for Off-the-Shelf Software.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left="-20" w:firstLine="1953"/>
        <w:spacing w:after="0" w:line="259" w:lineRule="auto"/>
        <w:tabs>
          <w:tab w:leader="none" w:pos="24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Intellectual Property Assets set forth in </w:t>
      </w:r>
      <w:r>
        <w:rPr>
          <w:rFonts w:ascii="Arial" w:cs="Arial" w:eastAsia="Arial" w:hAnsi="Arial"/>
          <w:sz w:val="18"/>
          <w:szCs w:val="18"/>
          <w:u w:val="single" w:color="auto"/>
          <w:color w:val="auto"/>
        </w:rPr>
        <w:t>Schedule 3.16(e)</w:t>
      </w:r>
      <w:r>
        <w:rPr>
          <w:rFonts w:ascii="Arial" w:cs="Arial" w:eastAsia="Arial" w:hAnsi="Arial"/>
          <w:sz w:val="18"/>
          <w:szCs w:val="18"/>
          <w:color w:val="auto"/>
        </w:rPr>
        <w:t xml:space="preserve"> require timely payments of governmental maintenance fees, and all other registered Marks, Patents, and Domain Names are currently in material compliance with formal legal requirements (including payment of filing, examination, registration, and maintenance fees where applicable and proofs of working or use), and are not subject to any maintenance fees falling due within ninety (90) days after the Closing Date.</w:t>
      </w:r>
    </w:p>
    <w:p>
      <w:pPr>
        <w:spacing w:after="0" w:line="186" w:lineRule="exact"/>
        <w:rPr>
          <w:rFonts w:ascii="Arial" w:cs="Arial" w:eastAsia="Arial" w:hAnsi="Arial"/>
          <w:sz w:val="18"/>
          <w:szCs w:val="18"/>
          <w:color w:val="auto"/>
        </w:rPr>
      </w:pPr>
    </w:p>
    <w:p>
      <w:pPr>
        <w:jc w:val="both"/>
        <w:ind w:left="-20" w:firstLine="1953"/>
        <w:spacing w:after="0" w:line="255" w:lineRule="auto"/>
        <w:tabs>
          <w:tab w:leader="none" w:pos="2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Seller’s Knowledge, there is no pending or threatened objection or claim being asserted against Seller in any administrative or judicial proceeding or by any Person with respect to the ownership, validity, registrability, enforceability or use of any of the Intellectual Property Assets, including any Software, or challenging or questioning the validity or effectiveness of any such ownership or license and there is no basis for any such objection or claim. No notice of rejection, opposition, interference, petition for cancellation, or refusal to register has been received by Seller from a Governmental Body or an adverse party by Seller in connection with any of Seller’s applications for Patents, Copyrights, Software, or Domain Name registration.</w:t>
      </w:r>
    </w:p>
    <w:p>
      <w:pPr>
        <w:spacing w:after="0" w:line="193" w:lineRule="exact"/>
        <w:rPr>
          <w:rFonts w:ascii="Arial" w:cs="Arial" w:eastAsia="Arial" w:hAnsi="Arial"/>
          <w:sz w:val="18"/>
          <w:szCs w:val="18"/>
          <w:color w:val="auto"/>
        </w:rPr>
      </w:pPr>
    </w:p>
    <w:p>
      <w:pPr>
        <w:jc w:val="both"/>
        <w:ind w:left="-20" w:firstLine="1953"/>
        <w:spacing w:after="0" w:line="254" w:lineRule="auto"/>
        <w:tabs>
          <w:tab w:leader="none" w:pos="24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has not infringed, violated, or misappropriated any Intellectual Property rights of any other Person, and there is no violation, infringement, or misappropriation or alleged violation, infringement, or misappropriation of any currently existing Intellectual Property rights of any Person which will occur as a result of the continued operation of the business of Seller as now conducted. The Intellectual Property Assets and the manufacture, sale, use, offer for sale, and licensing of the Intellectual Property Assets do not violate, infringe, or misappropriate any of the Intellectual Property rights of any Person. There is no present violation, infringement or misappropriation of any of the Intellectual Property Assets by any Person, no one has asserted or threatened any claim or objection against any Person for any such violation, infringement or misappropriation and there is no basis for any such objection or claim. Seller has not agreed to indemnify any Person for or against any interference, infringement, misappropriation, or other violation with respect to any Intellectual Property Asset.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3" w:name="page74"/>
    <w:bookmarkEnd w:id="73"/>
    <w:p>
      <w:pPr>
        <w:jc w:val="both"/>
        <w:ind w:left="-20" w:firstLine="1953"/>
        <w:spacing w:after="0" w:line="276" w:lineRule="auto"/>
        <w:tabs>
          <w:tab w:leader="none" w:pos="237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Seller has taken commercially reasonable steps (including measures to protect secrecy and confidentiality) to protect Seller's right, title and interest in and to all Intellectual Property Assets, including the Software, and to cause its employees who have access to confidential or proprietary information of Seller to have a contractual or legal obligation of confidentiality to Seller with respect to such information, and have an obligation to transfer rights for no additional consideration in inventions, and authored works, whether or not patented, patentable, copyrighted or otherwise protectable under the Law, made during the course of their employment prior to the Closing Date using resources of Seller.</w:t>
      </w:r>
    </w:p>
    <w:p>
      <w:pPr>
        <w:spacing w:after="0" w:line="172" w:lineRule="exact"/>
        <w:rPr>
          <w:rFonts w:ascii="Arial" w:cs="Arial" w:eastAsia="Arial" w:hAnsi="Arial"/>
          <w:sz w:val="17"/>
          <w:szCs w:val="17"/>
          <w:color w:val="auto"/>
        </w:rPr>
      </w:pPr>
    </w:p>
    <w:p>
      <w:pPr>
        <w:jc w:val="both"/>
        <w:ind w:left="-20" w:firstLine="1953"/>
        <w:spacing w:after="0" w:line="259" w:lineRule="auto"/>
        <w:tabs>
          <w:tab w:leader="none" w:pos="2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Schedule 3.16(i)</w:t>
      </w:r>
      <w:r>
        <w:rPr>
          <w:rFonts w:ascii="Arial" w:cs="Arial" w:eastAsia="Arial" w:hAnsi="Arial"/>
          <w:sz w:val="18"/>
          <w:szCs w:val="18"/>
          <w:color w:val="auto"/>
        </w:rPr>
        <w:t>, Seller has not transferred ownership of or granted any license, option, or other rights with respect to, any Intellectual Property Asset, to any third party, or knowingly permitted the rights of Seller in such Intellectual Property Assets to lapse or enter the public domain. No claim is pending or threatened, and no notice or invitation to license has been received, which questions Seller's title to, claims any ownership of, or any rights to, any Intellectual Property Assets.</w:t>
      </w:r>
    </w:p>
    <w:p>
      <w:pPr>
        <w:spacing w:after="0" w:line="186" w:lineRule="exact"/>
        <w:rPr>
          <w:rFonts w:ascii="Arial" w:cs="Arial" w:eastAsia="Arial" w:hAnsi="Arial"/>
          <w:sz w:val="18"/>
          <w:szCs w:val="18"/>
          <w:color w:val="auto"/>
        </w:rPr>
      </w:pPr>
    </w:p>
    <w:p>
      <w:pPr>
        <w:jc w:val="both"/>
        <w:ind w:left="-20" w:firstLine="1953"/>
        <w:spacing w:after="0" w:line="269" w:lineRule="auto"/>
        <w:tabs>
          <w:tab w:leader="none" w:pos="249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No Employee is obligated under any contract (including licenses, covenants or commitments of any nature) or other agreement, or subject to any judgment, decree or order of any court or administrative agency, that would interfere with his or her duties to Seller or that would conflict with the Employee's best efforts to promote the interest of Seller and the business of Seller as presently conducted and as proposed to be conducted. Each Employee and former Employee and current and former consultant or independent contractor of Seller and any other person who participated in developing the Intellectual Property Assets owned by Seller has, pursuant to a contractual obligation with Seller, validly and properly assigned to Seller the rights of such Employee or former Employee or current or former consultant or independent contractor in and to all inventions, pending patent applications, patents issued and other Intellectual Property Assets used in the business or operations of Seller. No Employee or former Employee or current or former consultant or independent contractor of Seller is in violation of any such contractual obligation. Except as set forth in </w:t>
      </w:r>
      <w:r>
        <w:rPr>
          <w:rFonts w:ascii="Arial" w:cs="Arial" w:eastAsia="Arial" w:hAnsi="Arial"/>
          <w:sz w:val="17"/>
          <w:szCs w:val="17"/>
          <w:u w:val="single" w:color="auto"/>
          <w:color w:val="auto"/>
        </w:rPr>
        <w:t>Schedule 3.16(j)</w:t>
      </w:r>
      <w:r>
        <w:rPr>
          <w:rFonts w:ascii="Arial" w:cs="Arial" w:eastAsia="Arial" w:hAnsi="Arial"/>
          <w:sz w:val="17"/>
          <w:szCs w:val="17"/>
          <w:color w:val="auto"/>
        </w:rPr>
        <w:t>, no Employee or former Employee of Seller has excluded works or inventions made prior to his or her employment with Seller from his or her contractual obligation with Seller. It is not or will not be necessary to use any inventions of any Employee or former Employee made prior to their employment by Seller that is not otherwise licensed to Seller.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4" w:name="page75"/>
    <w:bookmarkEnd w:id="74"/>
    <w:p>
      <w:pPr>
        <w:jc w:val="both"/>
        <w:ind w:left="-20" w:firstLine="1953"/>
        <w:spacing w:after="0" w:line="270" w:lineRule="auto"/>
        <w:tabs>
          <w:tab w:leader="none" w:pos="237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Schedule 3.16(k)</w:t>
      </w:r>
      <w:r>
        <w:rPr>
          <w:rFonts w:ascii="Arial" w:cs="Arial" w:eastAsia="Arial" w:hAnsi="Arial"/>
          <w:sz w:val="17"/>
          <w:szCs w:val="17"/>
          <w:color w:val="auto"/>
        </w:rPr>
        <w:t xml:space="preserve"> contains a true, correct and complete list of all (i) Open Source Software incorporated or used in, linked to or with, or used to perform, execute, run, develop, compile or derive, any Software (or any component thereof) owned or developed by Seller, and (ii) all licenses and agreements governing such Open Source Software. None of the Intellectual Property Assets (or any components thereof) owned by Seller incorporate or use or are linked to or with any Off-the-Shelf or Open Source Software, or require or rely on Off-the-Shelf or Open Source Software to be performed, executed, run, developed, compiled or derived, in a manner that (A) violates the terms of any license or agreement governing any such Off-the-Shelf or Open Source Software or (B) requires any such Intellectual Property Assets (or any components thereof) to be disclosed or distributed in source code form to any party, be licensed to any party (including for the purpose of making derivative works) or be redistributable at no or minimal charge to any party. Seller will provide to Buyer all material documentation, agreements, or licenses relating to or arising out of Seller’s use of any Off-the-Shelf or Open Source Software or Software that is used, maintained or developed by Seller at or before the Closing.</w:t>
      </w:r>
    </w:p>
    <w:p>
      <w:pPr>
        <w:spacing w:after="0" w:line="181" w:lineRule="exact"/>
        <w:rPr>
          <w:rFonts w:ascii="Arial" w:cs="Arial" w:eastAsia="Arial" w:hAnsi="Arial"/>
          <w:sz w:val="17"/>
          <w:szCs w:val="17"/>
          <w:color w:val="auto"/>
        </w:rPr>
      </w:pPr>
    </w:p>
    <w:p>
      <w:pPr>
        <w:ind w:left="-20" w:right="20" w:firstLine="1953"/>
        <w:spacing w:after="0" w:line="308" w:lineRule="auto"/>
        <w:tabs>
          <w:tab w:leader="none" w:pos="23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Without limiting the generality of Sections 3.11 and 3.12, Seller is, and at all times, has been, in compliance with all Legal Requirements regarding consumer and data privacy and related matters concerning the disclosure of personally identifiable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75" w:name="page76"/>
    <w:bookmarkEnd w:id="75"/>
    <w:p>
      <w:pPr>
        <w:jc w:val="both"/>
        <w:ind w:firstLine="1953"/>
        <w:spacing w:after="0" w:line="255" w:lineRule="auto"/>
        <w:tabs>
          <w:tab w:leader="none" w:pos="25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each Trade Secret owned or used by to Seller, the documentation in Seller’s possession relating to such Trade Secret, if any, is current, accurate and sufficient in detail and content in all material respects to identify and explain it and to allow its full and proper use without reliance on the knowledge or memory of any individual. Seller has taken all commercially reasonable precautions to protect the secrecy, confidentiality, and value of all such Trade Secrets. To Seller’s Knowledge, such Trade Secrets are not part of the public knowledge or literature. Such Trade Secrets have not been used, divulged or appropriated either for the benefit of any Person (other than Seller) or to the detriment of Seller. No such Trade Secret is subject to any adverse claim, and no such Trade Secret has been challenged or threatened in any way or infringes any Intellectual Property right of any other Person.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Relationships With Related Persons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Schedule 3.17</w:t>
      </w:r>
      <w:r>
        <w:rPr>
          <w:rFonts w:ascii="Arial" w:cs="Arial" w:eastAsia="Arial" w:hAnsi="Arial"/>
          <w:sz w:val="16"/>
          <w:szCs w:val="16"/>
          <w:color w:val="auto"/>
        </w:rPr>
        <w:t xml:space="preserve">, no Related Person of Seller has or has had, any interest in (a) any Purchased Assets or other property (whether real, personal or mixed and whether tangible or intangible) used in or pertaining to Seller’s business, or (b) any Person that has had business dealings or a material financial interest in any transaction with Seller or engaged in competition with Seller. No Related Person of Seller is a party to any contract, understanding or arrangement with, or has any claim (whether contractual or otherwise), cause of action or right or entitlement against, Seller, whether contingent or absolute, direct or indirect, or express or implied (including any claim for any payment or entitlement to any service or property and any loan or indebtedness, whether in favor of Seller or such Related Person), except as set forth on </w:t>
      </w:r>
      <w:r>
        <w:rPr>
          <w:rFonts w:ascii="Arial" w:cs="Arial" w:eastAsia="Arial" w:hAnsi="Arial"/>
          <w:sz w:val="16"/>
          <w:szCs w:val="16"/>
          <w:u w:val="single" w:color="auto"/>
          <w:color w:val="auto"/>
        </w:rPr>
        <w:t>Schedule 3.17</w:t>
      </w:r>
      <w:r>
        <w:rPr>
          <w:rFonts w:ascii="Arial" w:cs="Arial" w:eastAsia="Arial" w:hAnsi="Arial"/>
          <w:sz w:val="16"/>
          <w:szCs w:val="16"/>
          <w:color w:val="auto"/>
        </w:rPr>
        <w:t>. Notwithstanding anything in Section 3.17, the representations in this Section 3.17 do not apply to Intellectual Property, which is covered exclusively in Section 3.16.</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Brokers or Finders</w:t>
      </w:r>
      <w:r>
        <w:rPr>
          <w:rFonts w:ascii="Arial" w:cs="Arial" w:eastAsia="Arial" w:hAnsi="Arial"/>
          <w:sz w:val="17"/>
          <w:szCs w:val="17"/>
          <w:color w:val="auto"/>
        </w:rPr>
        <w:t>. Neither Seller nor any of its Representatives have incurred any obligation or liability, contingent or otherwise, for brokerage or finders’ fees or agents’ commissions or other similar payments in connection with the sale of the Purchased Assets or the Contemplated Transactions.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spacing w:after="0" w:line="268"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Schedule 3.19</w:t>
      </w:r>
      <w:r>
        <w:rPr>
          <w:rFonts w:ascii="Arial" w:cs="Arial" w:eastAsia="Arial" w:hAnsi="Arial"/>
          <w:sz w:val="17"/>
          <w:szCs w:val="17"/>
          <w:color w:val="auto"/>
        </w:rPr>
        <w:t xml:space="preserve"> is a true, correct and complete copy of the statements of income, cash flows and balance sheets of Seller as of and for its fiscal years ended December 31, 2012, December 31, 2013, and December 31, 2014 (the “Annual Financial Statements”), and Seller's income statements, cash flows, and balance sheets as of the Balance Sheet Date (collectively, the “Interim Financial Statements”). The Annual Financial Statements and Interim Financial Statements have been prepared from the underlying books and records of Seller and (i) fairly present in all material respects the financial condition of Seller, the results of operations and cash flows of Seller for the periods therein referred to, and the assets and liabilities of Seller as of the dates thereof, in each case, without any material departure from GAAP as applied by Seller for the periods indicated, except, with respect to the documents as of the Balance Sheet Date, normal year-end adjustments in accordance with past practice of Seller and the absence of footnotes; (iii) include all the material expenses or obligations incurred by Seller and/or any Affiliates thereof related to Seller or the business of Seller required to be disclosed in accordance with GAAP applied on a basis consistent with Seller’s past practices, except for expenses or obligations incurred since the Balance Sheet Date in the ordinary course of business or in connection with the Transaction Documents; and (iv) include on a consistent basis all of the assets, liabilities, reserves, allowances and accruals related to Seller and/or the business of Seller required to be included in accordance with GAAP applied on a basis consistent with Seller’s past practices, except for assets, liabilities, reserves, allowances and accruals accrued or incurred since the Balance Sheet Date in the ordinary course of business or in connection with the Transaction Documents.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Product Warranty and Product Liability</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7" w:lineRule="auto"/>
        <w:tabs>
          <w:tab w:leader="none" w:pos="246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Schedule 3.20</w:t>
      </w:r>
      <w:r>
        <w:rPr>
          <w:rFonts w:ascii="Arial" w:cs="Arial" w:eastAsia="Arial" w:hAnsi="Arial"/>
          <w:sz w:val="18"/>
          <w:szCs w:val="18"/>
          <w:color w:val="auto"/>
        </w:rPr>
        <w:t xml:space="preserve"> contains a summary of Seller’s good faith estimate of claims for, any (i) product returns, or (ii) warranty obligations relating to any products, goods or services sold, delivered, distributed, licensed, sublicensed or rendered by Seller.</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3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goods, products and services sold, delivered, distributed, licensed, sublicensed or rendered by the Seller relating to the business of Seller conform in all material respects to the specifications, documentation, samples and/or sales demonstrations furnished to the customers or purchasers of such products, goods or services (as the case may be).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right="20"/>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Receivables</w:t>
      </w:r>
      <w:r>
        <w:rPr>
          <w:rFonts w:ascii="Arial" w:cs="Arial" w:eastAsia="Arial" w:hAnsi="Arial"/>
          <w:sz w:val="18"/>
          <w:szCs w:val="18"/>
          <w:color w:val="auto"/>
        </w:rPr>
        <w:t>. Seller does not warrant the collectability of any of its receivables. Seller’s balance sheet as of the Balance Sheet Date includes receivables that are over 90 days past due and may not be collectible.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Disclosure</w:t>
      </w:r>
      <w:r>
        <w:rPr>
          <w:rFonts w:ascii="Arial" w:cs="Arial" w:eastAsia="Arial" w:hAnsi="Arial"/>
          <w:sz w:val="18"/>
          <w:szCs w:val="18"/>
          <w:color w:val="auto"/>
        </w:rPr>
        <w:t>. No representation or warranty or other statement made by Seller in this Agreement or the Disclosure Schedules contains any untrue statement of a material fact or omits to state a material fact necessary to make any of them, in light of the circumstances in which it was made, not materially misleading. To Seller’s Knowledge, there is no fact that has specific application to Seller (other than general economic or industry conditions) and that may materially adversely affect the assets, business, prospects, financial condition or results of operations of Seller that has not been set forth in this Agreement or the Disclosure Schedules.</w:t>
      </w:r>
    </w:p>
    <w:p>
      <w:pPr>
        <w:spacing w:after="0" w:line="18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Buyer represents and warrants to Seller that the statements in this Section 4 are true and correct as of the date 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Buyer is a corporation duly organized, validly existing and in good standing under the laws of the Commonwealth of Pennsylvania, with full corporate power and authority to conduct its business as it is now conducted.</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Authority; No Conflict</w:t>
      </w:r>
      <w:r>
        <w:rPr>
          <w:rFonts w:ascii="Arial" w:cs="Arial" w:eastAsia="Arial" w:hAnsi="Arial"/>
          <w:sz w:val="17"/>
          <w:szCs w:val="17"/>
          <w:color w:val="auto"/>
        </w:rPr>
        <w:t>.</w:t>
      </w:r>
    </w:p>
    <w:p>
      <w:pPr>
        <w:spacing w:after="0" w:line="225" w:lineRule="exact"/>
        <w:rPr>
          <w:sz w:val="20"/>
          <w:szCs w:val="20"/>
          <w:color w:val="auto"/>
        </w:rPr>
      </w:pPr>
    </w:p>
    <w:p>
      <w:pPr>
        <w:jc w:val="both"/>
        <w:ind w:firstLine="1953"/>
        <w:spacing w:after="0" w:line="290" w:lineRule="auto"/>
        <w:tabs>
          <w:tab w:leader="none" w:pos="23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Agreement constitutes the legal, valid and binding obligation of Buyer, enforceable against it in accordance with its terms, except as such enforceability may be limited by bankruptcy, insolvency, fraudulent transfer, reorganization, moratorium or other similar laws relating to or affecting the rights of creditors generally and by equitable principles (whether applied in a proceeding at law or in equity). Upon the execution and delivery by Buyer of the Transaction Documents to be executed or delivered by Buyer at the Closing, such Transaction Documents will constitute the legal, valid and binding obligation of Buyer, enforceable against it in accordance with their respective terms; provided, that the exceptions pertaining to enforceability set forth in the immediately preceding sentence shall apply equally to this sentence. Buyer has the right, power and authority to execute and deliver this Agreement and each of the Transaction Documents to be executed or delivered by Buyer at the Closing and to perform its obligations under this Agreement and each of such Transaction Documents, and such action has been duly authorized by all necessary company action.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1953"/>
        <w:spacing w:after="0" w:line="257" w:lineRule="auto"/>
        <w:tabs>
          <w:tab w:leader="none" w:pos="24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or performance of any of the Contemplated Transactions will, directly or indirectly (with or without notice or lapse of time): (i) breach any provision of any of the articles of incorporation or bylaws of Buyer, as amended; (ii) breach or give any Governmental Body or other Person the right to challenge any of the Contemplated Transactions or to exercise any remedy or obtain any relief under any Legal Requirement or any Order to which Buyer may be subject; or (iii) breach any provision of any contract or agreement to which Buyer is bound.</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Certain Proceedings</w:t>
      </w:r>
      <w:r>
        <w:rPr>
          <w:rFonts w:ascii="Arial" w:cs="Arial" w:eastAsia="Arial" w:hAnsi="Arial"/>
          <w:sz w:val="17"/>
          <w:szCs w:val="17"/>
          <w:color w:val="auto"/>
        </w:rPr>
        <w:t>. There is no pending or, to Buyer’s knowledge, threatened Proceeding that has been commenced against Buyer and that challenges, or may have the effect of preventing, delaying, making illegal or otherwise interfering with, any of the Contemplated Transactions.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Neither Buyer nor any of its Representatives have incurred any obligation or liability, contingent or otherwise, for brokerage or finders’ fees or agents’ commissions or other similar payment in connection with the Contemplated Transactions.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Disclosure</w:t>
      </w:r>
      <w:r>
        <w:rPr>
          <w:rFonts w:ascii="Arial" w:cs="Arial" w:eastAsia="Arial" w:hAnsi="Arial"/>
          <w:sz w:val="17"/>
          <w:szCs w:val="17"/>
          <w:color w:val="auto"/>
        </w:rPr>
        <w:t>. No representation or warranty or other statement made by Buyer in this Agreement contains any untrue statement of a material fact or omits to state a material fact necessary to make any of them, in light of the circumstances in which it was made, not materially misleading.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Employee Matters and Employee Benefits</w:t>
      </w:r>
      <w:r>
        <w:rPr>
          <w:rFonts w:ascii="Arial" w:cs="Arial" w:eastAsia="Arial" w:hAnsi="Arial"/>
          <w:sz w:val="17"/>
          <w:szCs w:val="17"/>
          <w:color w:val="auto"/>
        </w:rPr>
        <w:t>. Except as expressly provided in this Agreement, nothing in this Agreement (including Sections 5.2 and 5.3) shall be deemed to impose on Buyer any Liabilities or responsibilities (including, for the avoidance of doubt, Taxes, if any) for periods prior to the Closing Date to or relating to Seller’s employees, consultants or independent contractors (or those of any Affiliate of Seller) in their capacity as such, including without limitation, Liabilities or responsibilities for (a) pension, retirement, profit-sharing, savings, medical, dental, disability income, life insurance or accidental death benefits, whether insured or self-insured, whether funded or unfunded, (b) workers’ compensation (both long term and short term) benefits, whether insured or self-insured, whether or not accruing or based upon exposure to conditions prior to the date of this Agreement or for claims incurred or for disabilities commencing prior to the Closing Date, or (c) severance benefits.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Former Employees</w:t>
      </w:r>
      <w:r>
        <w:rPr>
          <w:rFonts w:ascii="Arial" w:cs="Arial" w:eastAsia="Arial" w:hAnsi="Arial"/>
          <w:sz w:val="17"/>
          <w:szCs w:val="17"/>
          <w:color w:val="auto"/>
        </w:rPr>
        <w:t xml:space="preserve">. Notwithstanding Section 5.1, Buyer anticipates that all of the employees of Seller would be employed by Buyer following the Closing Date and through a minimum ninety (90) to one hundred and eighty (180) day transition period to ensure seamless customer integration and appropriate knowledge transfer. Thereafter, employees would be retained by Buyer based upon their role, responsibility and performance consistent with all other employees of Buyer. As employees of Buyer, former employees of Seller would be covered by and entitled to all fringe benefits that are generally available to employees of Buyer, including health insurance, dental insurance, group life and disability insurance, and matching 401(k) plan, subject to the eligibility and participation requirements of such benefits and plans. At the Closing, Buyer and each employee of Seller would execute and deliver either an employment or a non-solicitation agreement, as the case may be,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COBRA</w:t>
      </w:r>
      <w:r>
        <w:rPr>
          <w:rFonts w:ascii="Arial" w:cs="Arial" w:eastAsia="Arial" w:hAnsi="Arial"/>
          <w:sz w:val="17"/>
          <w:szCs w:val="17"/>
          <w:color w:val="auto"/>
        </w:rPr>
        <w:t>. Buyer and the buying group (as defined in Treasury Regulation Section 54.4980B-9, Q&amp;A-3(b)) of which it is a part, and not Seller or the selling group (as defined in Treasury Regulation Section 54.4980B-9, Q&amp;A-3(a)) of which it is a part, shall be solely responsible for providing continuation coverage under Sections 601-608 of ERISA, Section 4980B of the Code and similar state laws to those individuals who are M&amp;A qualified beneficiaries (as defined in Treasury Regulation Section 54.4980B-9, Q&amp;A-4(a)) with respect to the transactions contemplated in or by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Assignment and Assumption of Lease</w:t>
      </w:r>
      <w:r>
        <w:rPr>
          <w:rFonts w:ascii="Arial" w:cs="Arial" w:eastAsia="Arial" w:hAnsi="Arial"/>
          <w:sz w:val="18"/>
          <w:szCs w:val="18"/>
          <w:color w:val="auto"/>
        </w:rPr>
        <w:t xml:space="preserve">. At the Closing, Seller and Buyer shall enter into an assignment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of the Leased Real Property as more particularly set forth therein (the “Assignment and Assumption of Lease”).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Assignment of Intellectual Property Assets; Payment of Maintenance Fees</w:t>
      </w:r>
      <w:r>
        <w:rPr>
          <w:rFonts w:ascii="Arial" w:cs="Arial" w:eastAsia="Arial" w:hAnsi="Arial"/>
          <w:sz w:val="16"/>
          <w:szCs w:val="16"/>
          <w:color w:val="auto"/>
        </w:rPr>
        <w:t xml:space="preserve">. At the Closing, Seller and Buyer shall enter into and execute an assignment of the Intellectual Property Assets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“Intellectual Property Assignment Agreement”), and an assignment of the Seller’s Patents,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“Assignment of Patents”) and an assignment of the Marks,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“Assignment of Marks”). Seller agrees to pay all maintenance expenses related to the Patents or Marks through the Closing Date, and Buyer agrees to pay all maintenance expenses related to the Patents or the Marks on and after the Closing Date, as it chooses to do at its sole discretion.</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Seller Covenants</w:t>
      </w:r>
      <w:r>
        <w:rPr>
          <w:rFonts w:ascii="Arial" w:cs="Arial" w:eastAsia="Arial" w:hAnsi="Arial"/>
          <w:sz w:val="16"/>
          <w:szCs w:val="16"/>
          <w:color w:val="auto"/>
        </w:rPr>
        <w:t>. Seller shall perform the following covenants:</w:t>
      </w:r>
    </w:p>
    <w:p>
      <w:pPr>
        <w:spacing w:after="0" w:line="225" w:lineRule="exact"/>
        <w:rPr>
          <w:sz w:val="20"/>
          <w:szCs w:val="20"/>
          <w:color w:val="auto"/>
        </w:rPr>
      </w:pPr>
    </w:p>
    <w:p>
      <w:pPr>
        <w:ind w:firstLine="1953"/>
        <w:spacing w:after="0" w:line="277" w:lineRule="auto"/>
        <w:tabs>
          <w:tab w:leader="none" w:pos="25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 in a timely manner all Taxes resulting from or payable in connection with the sale of the Assets pursuant to this Agreement that are imposed on Seller.</w:t>
      </w:r>
    </w:p>
    <w:p>
      <w:pPr>
        <w:spacing w:after="0" w:line="170" w:lineRule="exact"/>
        <w:rPr>
          <w:rFonts w:ascii="Arial" w:cs="Arial" w:eastAsia="Arial" w:hAnsi="Arial"/>
          <w:sz w:val="18"/>
          <w:szCs w:val="18"/>
          <w:color w:val="auto"/>
        </w:rPr>
      </w:pPr>
    </w:p>
    <w:p>
      <w:pPr>
        <w:jc w:val="both"/>
        <w:ind w:firstLine="1953"/>
        <w:spacing w:after="0" w:line="312" w:lineRule="auto"/>
        <w:tabs>
          <w:tab w:leader="none" w:pos="23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Pay, or make adequate provision for the payment, in full, of all of the Retained Liabilities, including but not limited to (i) an amount equal to the vending cash payable to operators (account no. 2300) of Seller as of the Closing Date shall be paid to the appropriate operators, and (ii) an amount equal to any customer deposits (account no. 2410) of Seller as of the Closing Date shall be paid to the applicable customer.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1953"/>
        <w:spacing w:after="0" w:line="259" w:lineRule="auto"/>
        <w:tabs>
          <w:tab w:leader="none" w:pos="25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Cooperate with Buyer and its counsel in the contest or defense of, and make available its personnel and provide any testimony and access to its books and records in connection with, any Proceeding involving or relating to (i) any Contemplated Transaction or (ii) any action, activity, circumstance, condition, conduct, event, fact, failure to act, incident, occurrence, plan, practice, situation, status or transaction on or before the Closing Date involving Seller or its business.</w:t>
      </w:r>
    </w:p>
    <w:p>
      <w:pPr>
        <w:spacing w:after="0" w:line="186" w:lineRule="exact"/>
        <w:rPr>
          <w:rFonts w:ascii="Arial" w:cs="Arial" w:eastAsia="Arial" w:hAnsi="Arial"/>
          <w:sz w:val="18"/>
          <w:szCs w:val="18"/>
          <w:color w:val="auto"/>
        </w:rPr>
      </w:pPr>
    </w:p>
    <w:p>
      <w:pPr>
        <w:jc w:val="both"/>
        <w:ind w:firstLine="1953"/>
        <w:spacing w:after="0" w:line="270" w:lineRule="auto"/>
        <w:tabs>
          <w:tab w:leader="none" w:pos="23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 the Closing Date, Seller shall (i) file with the Secretary of State of the State of Delaware an amendment to the certificate of incorporation of Seller changing the legal name of Seller to a name that does not include the words “VendScreen” or any variation thereof or any word that is similar in sound or appearance to such words or otherwise confusingly similar thereto, (ii) file all corresponding documents, filings or certificates necessary to effect the same name change with the applicable Governmental Body in any other jurisdiction in which Seller has qualified to do business as a foreign entity or otherwise registered (the filings required by Section 5.6(d)(i) and (ii), collectively, the “Amendments”), and (iii) provide that its board of directors and/or stockholders of Seller, as applicable, adopt an amendment to the bylaws of Seller reflecting the name change required under Section 5.6(d)(i). From and after the Closing Date, Seller (x) shall discontinue any use of the name “VendScreen” and any service marks, trademarks, trade names, trade dress, identifying symbols, logos, emblems, signs, insignia and other marks related thereto or containing or comprising the foregoing, including any name or mark confusingly similar thereto, (y) shall not hold itself out as having any affiliation with Buyer or its Affiliates, and (z) shall cause each of its subsidiaries and Affiliates to comply with each of the restrictions set forth in clauses (x) and (y) of this sentence.</w:t>
      </w:r>
    </w:p>
    <w:p>
      <w:pPr>
        <w:spacing w:after="0" w:line="17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Buyer Covenants</w:t>
      </w:r>
      <w:r>
        <w:rPr>
          <w:rFonts w:ascii="Arial" w:cs="Arial" w:eastAsia="Arial" w:hAnsi="Arial"/>
          <w:sz w:val="16"/>
          <w:szCs w:val="16"/>
          <w:color w:val="auto"/>
        </w:rPr>
        <w:t>. Buyer shall assume, perform and discharge, as and when due all Assumed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tabs>
          <w:tab w:leader="none" w:pos="4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9" w:lineRule="auto"/>
        <w:tabs>
          <w:tab w:leader="none" w:pos="11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From time to time, as and when requested by any Party hereto, the other Party hereto shall, to the extent reasonably practicable, execute and deliver, or cause to be executed and delivered, all such documents, assignments, and instruments and shall take, or cause to be taken, all such further or other actions reasonably necessary to evidence and effectuate the transactions contemplated by this Agreement. The reasonable out-of-pocket expenses of the other Party shall be paid by the requesting Party.</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1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Following the Closing Date, in order for Buyer to prepare all historical financial statements of Seller, including audited, unaudited, and pro forma financial statements, as may be required to be filed on a current report on Form 8-K with the Securities and Exchange Commission (the “SEC”) in connection with the Contemplated Transactions, Seller agrees to make commercially reasonable efforts to(i) furnish to Buyer or its Representatives any additional documents or information relating to Seller (as to periods on or prior to the Closing Date), the Purchased Assets, or the business of Seller in the possession or control of Seller, its directors, officers, agents, or advisors (including corporate, financial, and accounting books and records, work papers, sales records, invoices, and other documents necessary for the completion of a financial audit or other such financial statements), and (ii) provide all such other assistance as may be necessary or desirable for the preparation of audited or other financial statements required to be filed by Buyer with the SEC, including providing any certifications, representations (including the signing of management representation letters), or consents requested by Buyer, providing cooperation with all auditors, accountants, and Representatives of Buyer, and providing access to personnel of Seller, in each case (i) and (ii), after reasonable request by Buyer and to the extent practical in light of Seller’s personnel and resources following the Closing Date. All of the costs and expenses incurred by Buyer or Seller in connection with the preparation of such financial statements shall be paid by the Buyer.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Unless otherwise required by applicable law, Seller shall not make any public announcements regarding this Agreement or the Contemplated Transactions without the prior written consent of the Buyer (which consent shall not be unreasonably withheld or delayed); provided, that notwithstanding anything to the contrary in this Section 5.9, Seller acknowledges and agrees that Buyer may make reference to this Agreement, the other Transaction Documents and the Contemplated Transactions, and may file this Agreement and any of the Transaction Documents as an exhibit, in any report or reports on Form 8-K, 10-Q or 10-K or similar forms and filings with the United States Securities and Exchange Commission or in any press release or other public statement.</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Noncompetition, Nonsolicitation and Confidentiality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53"/>
        <w:spacing w:after="0" w:line="264" w:lineRule="auto"/>
        <w:tabs>
          <w:tab w:leader="none" w:pos="239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Except to the extent necessary to fulfill its Retained Liabilities, fulfill its obligations under the Transaction Documents and wind down its operations, Seller covenants and agrees that for a period of five (5) years following the Closing Date (the “Restricted Period”), it will not, directly or indirectly, either alone or in conjunction with any other Person:</w:t>
      </w:r>
    </w:p>
    <w:p>
      <w:pPr>
        <w:spacing w:after="0" w:line="181" w:lineRule="exact"/>
        <w:rPr>
          <w:rFonts w:ascii="Arial" w:cs="Arial" w:eastAsia="Arial" w:hAnsi="Arial"/>
          <w:sz w:val="18"/>
          <w:szCs w:val="18"/>
          <w:color w:val="auto"/>
        </w:rPr>
      </w:pPr>
    </w:p>
    <w:p>
      <w:pPr>
        <w:ind w:left="3000" w:hanging="399"/>
        <w:spacing w:after="0"/>
        <w:tabs>
          <w:tab w:leader="none" w:pos="30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Engage in any Competitive Activity (as defined below) within the Prohibited Territory (as defined below); and/or</w:t>
      </w:r>
    </w:p>
    <w:p>
      <w:pPr>
        <w:spacing w:after="0" w:line="236" w:lineRule="exact"/>
        <w:rPr>
          <w:rFonts w:ascii="Arial" w:cs="Arial" w:eastAsia="Arial" w:hAnsi="Arial"/>
          <w:sz w:val="17"/>
          <w:szCs w:val="17"/>
          <w:color w:val="auto"/>
        </w:rPr>
      </w:pPr>
    </w:p>
    <w:p>
      <w:pPr>
        <w:jc w:val="both"/>
        <w:ind w:firstLine="2601"/>
        <w:spacing w:after="0" w:line="264" w:lineRule="auto"/>
        <w:tabs>
          <w:tab w:leader="none" w:pos="328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As an employee, agent, partner, shareholder, member, investor or other equity holder, director, manager, independent contractor, consultant, advisor or in any other capacity, direct or assist any other Person to engage in any Competitive Activity within the Prohibited Territory.</w:t>
      </w:r>
    </w:p>
    <w:p>
      <w:pPr>
        <w:spacing w:after="0" w:line="181" w:lineRule="exact"/>
        <w:rPr>
          <w:rFonts w:ascii="Arial" w:cs="Arial" w:eastAsia="Arial" w:hAnsi="Arial"/>
          <w:sz w:val="18"/>
          <w:szCs w:val="18"/>
          <w:color w:val="auto"/>
        </w:rPr>
      </w:pPr>
    </w:p>
    <w:p>
      <w:pPr>
        <w:ind w:left="2380" w:hanging="427"/>
        <w:spacing w:after="0"/>
        <w:tabs>
          <w:tab w:leader="none" w:pos="2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Terms used in this Section shall have the following meanings:</w:t>
      </w:r>
    </w:p>
    <w:p>
      <w:pPr>
        <w:spacing w:after="0" w:line="225" w:lineRule="exact"/>
        <w:rPr>
          <w:rFonts w:ascii="Arial" w:cs="Arial" w:eastAsia="Arial" w:hAnsi="Arial"/>
          <w:sz w:val="18"/>
          <w:szCs w:val="18"/>
          <w:color w:val="auto"/>
        </w:rPr>
      </w:pPr>
    </w:p>
    <w:p>
      <w:pPr>
        <w:jc w:val="both"/>
        <w:ind w:firstLine="2601"/>
        <w:spacing w:after="0" w:line="264" w:lineRule="auto"/>
        <w:tabs>
          <w:tab w:leader="none" w:pos="3055"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“Competitive Activity” means (A) being engaged in any aspect of the Restricted Business; and/or (B) the design, development, production, marketing, selling or rendering of any services or products that are substantially similar to, are competitive with, or could be used as a substitute or replacement for, the services or products of Seller or Buyer as of the Closing Date.</w:t>
      </w:r>
    </w:p>
    <w:p>
      <w:pPr>
        <w:spacing w:after="0" w:line="181" w:lineRule="exact"/>
        <w:rPr>
          <w:rFonts w:ascii="Arial" w:cs="Arial" w:eastAsia="Arial" w:hAnsi="Arial"/>
          <w:sz w:val="18"/>
          <w:szCs w:val="18"/>
          <w:color w:val="auto"/>
        </w:rPr>
      </w:pPr>
    </w:p>
    <w:p>
      <w:pPr>
        <w:ind w:left="3040" w:hanging="439"/>
        <w:spacing w:after="0"/>
        <w:tabs>
          <w:tab w:leader="none" w:pos="3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“Prohibited Territory” means worldwide.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2601"/>
        <w:spacing w:after="0" w:line="264" w:lineRule="auto"/>
        <w:tabs>
          <w:tab w:leader="none" w:pos="3102"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“Restricted Business” means the business engaged in by Seller as of the Closing Date, including the business of producing devices that interface with existing vending machines to allow for cashless payments, display of nutrition information, and display of advertisements and providing related services such as credit and debit card processing within the vending machine industry.</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41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Except to the extent necessary to fulfill its Retained Liabilities, fulfill its obligations under the Transaction Documents and wind down its operations, during the Restricted Period, Seller shall not, directly or indirectly, sell or solicit the sale of products or services relating to the Restricted Business.</w:t>
      </w:r>
    </w:p>
    <w:p>
      <w:pPr>
        <w:spacing w:after="0" w:line="181" w:lineRule="exact"/>
        <w:rPr>
          <w:rFonts w:ascii="Arial" w:cs="Arial" w:eastAsia="Arial" w:hAnsi="Arial"/>
          <w:sz w:val="18"/>
          <w:szCs w:val="18"/>
          <w:color w:val="auto"/>
        </w:rPr>
      </w:pPr>
    </w:p>
    <w:p>
      <w:pPr>
        <w:jc w:val="both"/>
        <w:ind w:firstLine="1953"/>
        <w:spacing w:after="0" w:line="257" w:lineRule="auto"/>
        <w:tabs>
          <w:tab w:leader="none" w:pos="240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At all times from and after the Closing Date, (i) Seller shall provide, at a minimum, the same care to avoid disclosure or unauthorized use of the Confidential Information that Seller exercises in maintaining its own confidential information (but no less than a reasonable degree of care), and (ii) except to the extent reasonably necessary to fulfill its Retained Liabilities, fulfill its obligations under the Transaction Documents and wind down its operations, the Confidential Information shall not be used, disclosed, or reproduced in any form or manner whatsoever by Seller. The Confidential Information shall be deemed the property of Buyer.</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disclosure by Seller of any Confidential Information pursuant to applicable federal, state or local law, regulation or a valid subpoena or order issued by a court or governmental agency of competent jurisdiction (a “Legal Order”) shall be subject to the terms of this subsection (d). Prior to making any such disclosure, Seller shall provide Buyer with: (i) to the extent permitted by law, prompt written notice of such requirement so that Buyer may seek a protective order or other remedy, provided that Seller shall use commercially reasonable efforts to provide such notice to Buyer no more than five (5) business days after Seller’s receipt of the request for disclosure; and(ii) to the extent reasonably practicable, commercially reasonable assistance, at Buyer’s expense and upon Buyer’s request, in opposing such disclosure or seeking a protective order or other limitations on disclosure. If, after providing such notice and assistance as required herein, Seller remains subject to a Legal Order to disclose any Confidential Information, Seller (or other persons to whom such Legal Order is directed) shall disclose no more than that portion of the Confidential Information which, on the advice of Seller’s legal counsel, such Legal Order specifically requires Seller to disclose and, upon Buyer’s request and expense shall use commercially reasonable efforts to obtain assurances from the applicable Governmental Body that such Confidential Information will be afforded confidential treatment.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left="-20" w:firstLine="1953"/>
        <w:spacing w:after="0" w:line="259" w:lineRule="auto"/>
        <w:tabs>
          <w:tab w:leader="none" w:pos="23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Seller has carefully read and considered the provisions of this Agreement and, having done so, agrees that the restrictions set forth in this Section 5.10 are fair and reasonable given the terms and conditions of this Agreement. Seller further agrees that the restrictions set forth in this Section 5.10 are reasonably required for the protection of the legitimate business interests of Buyer. Seller agrees not to contest the reasonableness of the restrictions set forth in this Section 5.10 before any court, arbitrator, arbitration panel or other body.</w:t>
      </w:r>
    </w:p>
    <w:p>
      <w:pPr>
        <w:spacing w:after="0" w:line="186" w:lineRule="exact"/>
        <w:rPr>
          <w:rFonts w:ascii="Arial" w:cs="Arial" w:eastAsia="Arial" w:hAnsi="Arial"/>
          <w:sz w:val="18"/>
          <w:szCs w:val="18"/>
          <w:color w:val="auto"/>
        </w:rPr>
      </w:pPr>
    </w:p>
    <w:p>
      <w:pPr>
        <w:jc w:val="both"/>
        <w:ind w:left="-20" w:firstLine="1953"/>
        <w:spacing w:after="0" w:line="286" w:lineRule="auto"/>
        <w:tabs>
          <w:tab w:leader="none" w:pos="2386"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a judicial or arbitral determination is made that any of the provisions of this Section 5.10 constitutes an unreasonable or otherwise unenforceable restriction against Seller (whether on its face or as applied), the provisions of this Section 5.10 shall be rendered void only to the extent that such judicial or arbitral determination finds such provisions to be unreasonable or otherwise unenforceable with respect to Seller.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6" w:name="page87"/>
    <w:bookmarkEnd w:id="86"/>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REMEDIES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Survival</w:t>
      </w:r>
      <w:r>
        <w:rPr>
          <w:rFonts w:ascii="Arial" w:cs="Arial" w:eastAsia="Arial" w:hAnsi="Arial"/>
          <w:sz w:val="17"/>
          <w:szCs w:val="17"/>
          <w:color w:val="auto"/>
        </w:rPr>
        <w:t>. All representations and warranties (a) other than the representations and warranties contained in Sections 3.1, 3.2(a), 3.18, 4.1, 4.2(a) and 4.4 (collectively, the “Fundamental Representations”), and (b) other than the representations and warranties contained in Section 3.16 (the “Intellectual Property Representations”), contained herein shall survive for a period of twelve (12) months from the Closing Date. The Fundamental Representations shall survive until the expiration of the applicable statute of limitations and the Intellectual Property Representations shall survive for a period of three (3) years following the Closing Date. Any claim or suit based upon fraud or intentional misrepresentation shall survive indefinitely. If a Buyer or Seller Indemnified Party delivers to an Indemnifying Party, before the expiration date of a particular representation or warranty, a notice with reasonable specificity pursuant to this Section 6, then such representation or warranty shall continue to survive beyond such expiration date, but only for purposes of the matter(s) specified in such notice and, unless otherwise agreed in writing by the Parties, only for up to a year unless Buyer files a claim or commences a Proceeding with respect to the subject matter of such notice prior to the expiration of such one-year period.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After the Closing and subject to the terms and conditions of this Section 6, Seller shall indemnify and hold harmless Buyer, its successors and assigns and its Representatives (collectively, the “Buyer Indemnified Parties”), for all Losses, directly or indirectly, relating to or arising from (without duplication): (a) any breach or inaccuracy of any representation or warranty made by Seller in this Agreement or in any other Transaction Document; (b) any breach of any covenant or agreement of Seller in this Agreement or in any other Transaction Document; (c) the Retained Liabilities; (d) the Excluded Assets; and (e) any Liabilities or responsibilities described in Section 5.</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Indemnification by Buyer</w:t>
      </w:r>
      <w:r>
        <w:rPr>
          <w:rFonts w:ascii="Arial" w:cs="Arial" w:eastAsia="Arial" w:hAnsi="Arial"/>
          <w:sz w:val="17"/>
          <w:szCs w:val="17"/>
          <w:color w:val="auto"/>
        </w:rPr>
        <w:t>. After the Closing, subject to the terms and conditions of this Section 6, Buyer shall indemnify and hold harmless Seller, its successors and assigns and its Representatives (collectively, the “Seller Indemnified Parties”), for all Losses, directly or indirectly, relating to or arising from (without duplication): (a) any breach or inaccuracy, of any representation or warranty made by Buyer in this Agreement or in any other Transaction Document; and (b) any breach of any covenant or agreement of Buyer in this Agreement or in any other Transaction Document.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Notice</w:t>
      </w:r>
      <w:r>
        <w:rPr>
          <w:rFonts w:ascii="Arial" w:cs="Arial" w:eastAsia="Arial" w:hAnsi="Arial"/>
          <w:sz w:val="17"/>
          <w:szCs w:val="17"/>
          <w:color w:val="auto"/>
        </w:rPr>
        <w:t>. If a Buyer Indemnified Party or a Seller Indemnified Party (the “Claimant”) believes that it has suffered or incurred any Loss, it shall so notify the party which the Claimant believes has an obligation to indemnify (the “Indemnifying Party”) promptly as reasonably possible in writing describing such loss or expense, the amount thereof, if known, and the method of computation of such loss or expense, all with reasonable particularity.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Defense of Claims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1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action at law, suit in equity, arbitration or administrative action is instituted by or against a third party (including any Governmental Body) with respect to which the Claimant intends to claim any liability or expense as a Loss subject to indemnification under this Section 6, it shall include in the notice required by Section 6.4 a description of such action or suit, describing such loss or expenses, the amount thereof, if known, and the method of computation of such loss or expense, all with reasonable particularity.</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Indemnifying Party shall have thirty (30) days after receipt of such notice to notify the Claimant that it elects to conduct and control any legal or administrative action or suit with respect to an indemnifiable claim. Until the Indemnifying Party gives the foregoing notice, the Claimant shall have the right to defend, contest, settle, or compromise such action or suit in its exclusive discretion, provided that in such event the Claimant shall waive any right to indemnity therefor by the Indemnifying Party and no amount in respect thereof shall be claimed as Loss under this Section 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656"/>
        <w:spacing w:after="0" w:line="287" w:lineRule="auto"/>
        <w:tabs>
          <w:tab w:leader="none" w:pos="11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Indemnifying Party gives the above-described notice, the Indemnifying Party shall have the right to undertake, conduct, and control, through counsel of its own choosing and at its sole expense, the conduct and settlement of such action or suit, and the Claimant shall cooperate with the Indemnifying Party in connection therewith; provided, however, that (a) the Indemnifying Party shall not thereby consent to the imposition of any injunction, Order or settlement against or involving the Claimant without the written consent of the Claimant, which consent shall not be unreasonably withheld; (b) the Indemnifying Party shall permit the Claimant to participate in such conduct or settlement through counsel chosen by the Claimant, but the fees and expenses of such counsel shall be borne by the Claimant except as provided in clause (c) below; and (c) upon a final determination of such action or suit, the Indemnifying Party shall promptly reimburse the Claimant, to the extent required under this Section 6, for the full amount of any Loss resulting from such action or suit incurred by the Claimant, other than fees and expenses of counsel for the Claimant incurred after the assumption of the conduct and control of such action or suit by the Indemnifying Party (except in the case that the use of the legal counsel selected by the Indemnifying Party presents a conflict of interest with respect to the Claimant, in which case the Claimant may employ legal counsel of its choice after the assumption of the conduct and control of such action or suit by the Indemnifying Party and shall be entitled to reimbursement of the fees and expenses thereof by the Indemnifying Party).</w:t>
      </w:r>
    </w:p>
    <w:p>
      <w:pPr>
        <w:spacing w:after="0" w:line="172" w:lineRule="exact"/>
        <w:rPr>
          <w:rFonts w:ascii="Arial" w:cs="Arial" w:eastAsia="Arial" w:hAnsi="Arial"/>
          <w:sz w:val="16"/>
          <w:szCs w:val="16"/>
          <w:color w:val="auto"/>
        </w:rPr>
      </w:pPr>
    </w:p>
    <w:p>
      <w:pPr>
        <w:jc w:val="both"/>
        <w:ind w:firstLine="656"/>
        <w:spacing w:after="0" w:line="257" w:lineRule="auto"/>
        <w:tabs>
          <w:tab w:leader="none" w:pos="11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 long as the Indemnifying Party is contesting any such action or suit in good faith, the Claimant shall not pay or settle any such action or suit. Notwithstanding the foregoing, the Claimant shall have the right to pay or settle any such action or suit, provided that in such event the Claimant shall waive any right to indemnity therefor by the Indemnifying Party and no amount in respect thereof shall be claimed as Loss under this Section 6. The Indemnifying Party shall be entitled to contest the issue of its obligations of indemnification hereunder, provided that the Indemnifying Party complies with the provisions hereof.</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Payment of Losses</w:t>
      </w:r>
      <w:r>
        <w:rPr>
          <w:rFonts w:ascii="Arial" w:cs="Arial" w:eastAsia="Arial" w:hAnsi="Arial"/>
          <w:sz w:val="17"/>
          <w:szCs w:val="17"/>
          <w:color w:val="auto"/>
        </w:rPr>
        <w:t>. The Indemnifying Party shall pay to the Claimant in immediately available cash the amount to which the Claimant is entitled by reason of the provisions of this Section 6, such payment to be made within five (5) business days after such amount is finally determined either by mutual agreement of the Parties or pursuant to the final, non-appealable judgment or Order of a court of competent jurisdiction. Notwithstanding the foregoing, any amount to which Buyer becomes entitled by reason of the provisions of this Section 6 shall be paid as follows:</w:t>
      </w:r>
    </w:p>
    <w:p>
      <w:pPr>
        <w:spacing w:after="0" w:line="171" w:lineRule="exact"/>
        <w:rPr>
          <w:sz w:val="20"/>
          <w:szCs w:val="20"/>
          <w:color w:val="auto"/>
        </w:rPr>
      </w:pPr>
    </w:p>
    <w:p>
      <w:pPr>
        <w:ind w:firstLine="1953"/>
        <w:spacing w:after="0" w:line="277" w:lineRule="auto"/>
        <w:tabs>
          <w:tab w:leader="none" w:pos="25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from the Escrow Deposit (together with all interest earned thereon) on the terms and conditions of the Escrow Agreement so long as the Escrow Deposit is available for distribution;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firstLine="1953"/>
        <w:spacing w:after="0" w:line="277" w:lineRule="auto"/>
        <w:tabs>
          <w:tab w:leader="none" w:pos="24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thereafter, from the Seller for any amount to which Buyer becomes entitled by reason of the provisions of this Section 6 which has not otherwise been satisfied pursuant to Section 6.6(a), subject to the limitations set forth in Section 6.</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Exclusivity</w:t>
      </w:r>
      <w:r>
        <w:rPr>
          <w:rFonts w:ascii="Arial" w:cs="Arial" w:eastAsia="Arial" w:hAnsi="Arial"/>
          <w:sz w:val="17"/>
          <w:szCs w:val="17"/>
          <w:color w:val="auto"/>
        </w:rPr>
        <w:t>. The Parties agree that the sole and exclusive remedy of any Party or their respective Affiliates with respect to this Agreement, the Transaction Documents or any other claims relating to the Purchased Assets, the events giving rise to this Agreement and the other transactions contemplated hereby shall be limited to the indemnification provisions set forth in this Section 6; provided however, that nothing in this Section 6.7 shall prevent either Party from seeking injunctive or equitable relief, including but not limited to specific performance, for claims of breach or failure to perform any covenant set forth in this Agreement; provided, further, that notwithstanding anything in this Agreement to the contrary, nothing contained in this Section 6.7 shall relieve or limit the liability of any Party or any officer or director of such Party from any liability arising out of or resulting from intentional misrepresentation or fraud in connection with the Contemplated Transactions or any of the Transaction Documents.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Limitations</w:t>
      </w:r>
      <w:r>
        <w:rPr>
          <w:rFonts w:ascii="Arial" w:cs="Arial" w:eastAsia="Arial" w:hAnsi="Arial"/>
          <w:sz w:val="18"/>
          <w:szCs w:val="18"/>
          <w:color w:val="auto"/>
        </w:rPr>
        <w:t>. Except in the case of intentional misrepresentation or fraud, or from a breach of a Fundamental Representation, the aggregate liability of Seller under Section 6 shall in no event exceed the Purchase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Insurance</w:t>
      </w:r>
      <w:r>
        <w:rPr>
          <w:rFonts w:ascii="Arial" w:cs="Arial" w:eastAsia="Arial" w:hAnsi="Arial"/>
          <w:sz w:val="18"/>
          <w:szCs w:val="18"/>
          <w:color w:val="auto"/>
        </w:rPr>
        <w:t>. The amount of any and all Losses under this Section 6 shall be determined net of any amounts actually recovered by the Claimant under insurance policies, indemnities or other reimbursement arrangements with respect to such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Basket Provision</w:t>
      </w:r>
      <w:r>
        <w:rPr>
          <w:rFonts w:ascii="Arial" w:cs="Arial" w:eastAsia="Arial" w:hAnsi="Arial"/>
          <w:sz w:val="17"/>
          <w:szCs w:val="17"/>
          <w:color w:val="auto"/>
        </w:rPr>
        <w:t>. Notwithstanding anything to the contrary contained herein, Seller shall not be liable under this Section 6 until the aggregate amount of all Losses for which it would otherwise be liable exceeds Thirty-Two Thousand Five Hundred Dollars ($32,500) (the “Basket Amount”), in which event Seller shall be required to pay or be liable for all Losses from the first dollar; provided, however, that the Basket Amount shall not apply to Losses incurred in connection with a breach of any Fundamental Representation or any fraud or intentional misrepresentation.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right="20"/>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Adjustment to Purchase Price</w:t>
      </w:r>
      <w:r>
        <w:rPr>
          <w:rFonts w:ascii="Arial" w:cs="Arial" w:eastAsia="Arial" w:hAnsi="Arial"/>
          <w:sz w:val="18"/>
          <w:szCs w:val="18"/>
          <w:color w:val="auto"/>
        </w:rPr>
        <w:t>. Any indemnity payments received under this Section 6 shall be treated by Seller and Buyer, to the extent permitted by Legal Requirements, as adjustments to the Purchase Price.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Effect of Knowledge</w:t>
      </w:r>
      <w:r>
        <w:rPr>
          <w:rFonts w:ascii="Arial" w:cs="Arial" w:eastAsia="Arial" w:hAnsi="Arial"/>
          <w:sz w:val="17"/>
          <w:szCs w:val="17"/>
          <w:color w:val="auto"/>
        </w:rPr>
        <w:t>. The representations, warranties and covenants of any Indemnifying Party, and any Buyer or Seller Indemnified Party’s right to indemnification with respect thereto, shall not be affected or deemed waived by reason of any investigation made by or on behalf of the Buyer or Seller Indemnified Party (including by any of its Representatives) or by reason of the fact that the Buyer or Seller Indemnified Party or any of its Representatives knew or should have known that any such representation or warranty is, was or might be inaccurate.</w:t>
      </w:r>
    </w:p>
    <w:p>
      <w:pPr>
        <w:spacing w:after="0" w:line="16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each Party will bear its respective fees and expenses incurred in connection with the preparation, negotiation, execution and performance of this Agreement and the Contemplated Transactions, including all fees and expense of its Representatives.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waivers and other communications required or permitted by this Agreement or any Transaction Document shall be in writing and shall be deemed given to a Party (a) when delivered to the appropriate address by hand or by nationally recognized overnight courier service (costs prepaid); (b) upon written confirmation of receipt by the recipient of such notice if notice was sent by facsimile or e-mail transmission; or (c) upon the third business day after such notice is deposited in the United States mail, if mailed by certified mail, return receipt requested, in each case to the following addresses, facsimile numbers or e-mail addresses and marked to the attention of the person (by name or title) designated below (or to such other address, facsimile number, e-mail address or person as a Party may designate by written notice to the other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To Buyer: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140, 100 Deerfield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P. Herbert, Chairman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sherbert@usatech.com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610-989-0340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610-989-0704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Lurio &amp; Associates,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2005 Market Street, Suite 3120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M. Lurio, Esquire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dlurio@luriolaw.com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215-665-9300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215-665-8582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Seller: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3x5 Special Opportunity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Nicholas Walrod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nwalrod@3x5fund.com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(503) 808-9645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1120 N.W. Couch Street, Tenth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OR 97209-4128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Brentley M. Bullock, Esquire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bbullock@perkinscoie.com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503-727-2020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503-346-2020</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92" w:name="page93"/>
    <w:bookmarkEnd w:id="92"/>
    <w:p>
      <w:pPr>
        <w:jc w:val="both"/>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Jurisdiction; Service of Process</w:t>
      </w:r>
      <w:r>
        <w:rPr>
          <w:rFonts w:ascii="Arial" w:cs="Arial" w:eastAsia="Arial" w:hAnsi="Arial"/>
          <w:sz w:val="17"/>
          <w:szCs w:val="17"/>
          <w:color w:val="auto"/>
        </w:rPr>
        <w:t>. Any Proceeding arising out of or relating to this Agreement, any Transaction Document, or any Contemplated Transaction shall be brought in the courts of the Commonwealth of Pennsylvania, in the City of Philadelphia, or, if it has or can acquire jurisdiction, in the United States District Court for the Eastern District of Pennsylvania, and each of the parties irrevocably submits to the exclusive jurisdiction of each such court in any such Proceeding, waives any objection it may now or hereafter have to venue or to convenience of forum, agrees that all claims in respect of the Proceeding shall be heard and determined only in any such court and agrees not to bring any Proceeding arising out of or relating to this Agreement, any Transaction Document, or any Contemplated Transaction in any other court. Service of process, summons, notice or other document by mail to a Party's address set forth herein shall be effective service of process for any suit, action or other proceeding brought in any such court.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Waiver; Remedies Cumulative</w:t>
      </w:r>
      <w:r>
        <w:rPr>
          <w:rFonts w:ascii="Arial" w:cs="Arial" w:eastAsia="Arial" w:hAnsi="Arial"/>
          <w:sz w:val="18"/>
          <w:szCs w:val="18"/>
          <w:color w:val="auto"/>
        </w:rPr>
        <w:t>. The rights and remedies of the parties to this Agreement are cumulative and not alternative.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No claim or right arising out of this Agreement or any of the documents referred to in this Agreement can be discharged by one Party, in whole or in part, by a waiver or renunciation of the claim or right unless in writing signed by the other Party.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Entire Agreement and Modification</w:t>
      </w:r>
      <w:r>
        <w:rPr>
          <w:rFonts w:ascii="Arial" w:cs="Arial" w:eastAsia="Arial" w:hAnsi="Arial"/>
          <w:sz w:val="18"/>
          <w:szCs w:val="18"/>
          <w:color w:val="auto"/>
        </w:rPr>
        <w:t>. This Agreement supersedes all prior agreements, understandings and expressions of intent (including the Letter of Intent dated September 17, 2015, by Buyer as accepted by Seller , the Prior Confidentiality Agreements, and the ePort Connect Services Agreement between Seller and Buyer dated May 6, 2015), whether written or oral, between the parties with respect to its subject matter and constitute (along with the Disclosure Schedules, Exhibits, and other Transaction Documents) a complete and exclusive statement of the terms of the agreement between the parties with respect to its subject matter. This Agreement may not be amended, supplemented or otherwise modified except by a written agreement executed by each Party to this Agreement.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Assignments and Successors</w:t>
      </w:r>
      <w:r>
        <w:rPr>
          <w:rFonts w:ascii="Arial" w:cs="Arial" w:eastAsia="Arial" w:hAnsi="Arial"/>
          <w:sz w:val="18"/>
          <w:szCs w:val="18"/>
          <w:color w:val="auto"/>
        </w:rPr>
        <w:t>. No Party may assign any of its rights or delegate any of its obligations under this Agreement without the prior written consent of the other Party; provided, however, that Buyer may assign its rights and obligations to any Affiliate of Buyer. This Agreement will apply to, be binding in all respects upon, and inure to the benefit of the successors and permitted assigns of the parties.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spacing w:after="0" w:line="27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provision of this Agreement to any person or circumstance, is held invalid or unenforceable by any court of competent jurisdiction, the other provisions of this Agreement, and the application of any such provision of this Agreement to persons or circumstances other than those as to which it was held invalid or unenforceable, will remain in full force and effect and such provision shall be deemed to be replaced by the valid and enforceable provision most substantively similar thereto. Any provision of this Agreement held invalid or unenforceable only in part or degree will remain in full force and effect to the extent not held invalid or unenforceable.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not confer any rights or remedies upon any Person other than the parties hereto and their respective successors and permitted assigns.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The headings of Sections in this Agreement are provided for convenience only and will not affect its construction or interpretation.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agree that irreparable damage would occur if any provision of this Agreement (including but not limited to Section</w:t>
      </w:r>
    </w:p>
    <w:p>
      <w:pPr>
        <w:spacing w:after="0" w:line="23" w:lineRule="exact"/>
        <w:rPr>
          <w:sz w:val="20"/>
          <w:szCs w:val="20"/>
          <w:color w:val="auto"/>
        </w:rPr>
      </w:pPr>
    </w:p>
    <w:p>
      <w:pPr>
        <w:ind w:right="20" w:firstLine="8"/>
        <w:spacing w:after="0" w:line="261" w:lineRule="auto"/>
        <w:tabs>
          <w:tab w:leader="none" w:pos="1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were not performed in accordance with the terms hereof and that the Parties shall be entitled to specific performance of the terms hereof, in addition to any other remedy to which they are entitled at law or in equity.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or any Transaction Document (and any claim or dispute relating directly or indirectly to, or arising in connection with, this Agreement or any Transaction Document) will be governed by and construed under the laws of the state of Delaware without regard to conflicts of laws principles that would require the application of any other law.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spacing w:after="0" w:line="25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or electronic transmission shall constitute effective execution and delivery of this Agreement as to the parties and may be used in lieu of the manually-signed original Agreement for all purposes. Signatures of the parties transmitted by facsimile or electronically shall be deemed to be their original signatures for all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w:t>
      </w:r>
      <w:r>
        <w:rPr>
          <w:rFonts w:ascii="Arial" w:cs="Arial" w:eastAsia="Arial" w:hAnsi="Arial"/>
          <w:sz w:val="18"/>
          <w:szCs w:val="18"/>
          <w:b w:val="1"/>
          <w:bCs w:val="1"/>
          <w:color w:val="auto"/>
        </w:rPr>
        <w:t>,</w:t>
      </w:r>
      <w:r>
        <w:rPr>
          <w:rFonts w:ascii="Arial" w:cs="Arial" w:eastAsia="Arial" w:hAnsi="Arial"/>
          <w:sz w:val="18"/>
          <w:szCs w:val="18"/>
          <w:color w:val="auto"/>
        </w:rPr>
        <w:t xml:space="preserv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SELLER:</w:t>
            </w:r>
          </w:p>
        </w:tc>
        <w:tc>
          <w:tcPr>
            <w:tcW w:w="5140" w:type="dxa"/>
            <w:vAlign w:val="bottom"/>
          </w:tcPr>
          <w:p>
            <w:pPr>
              <w:spacing w:after="0"/>
              <w:rPr>
                <w:sz w:val="24"/>
                <w:szCs w:val="24"/>
                <w:color w:val="auto"/>
              </w:rPr>
            </w:pP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VENDSCREEN</w:t>
            </w:r>
            <w:r>
              <w:rPr>
                <w:rFonts w:ascii="Arial" w:cs="Arial" w:eastAsia="Arial" w:hAnsi="Arial"/>
                <w:sz w:val="18"/>
                <w:szCs w:val="18"/>
                <w:b w:val="1"/>
                <w:bCs w:val="1"/>
                <w:color w:val="auto"/>
              </w:rPr>
              <w:t>,</w:t>
            </w:r>
            <w:r>
              <w:rPr>
                <w:rFonts w:ascii="Arial" w:cs="Arial" w:eastAsia="Arial" w:hAnsi="Arial"/>
                <w:sz w:val="18"/>
                <w:szCs w:val="18"/>
                <w:color w:val="auto"/>
              </w:rPr>
              <w:t xml:space="preserve"> INC.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 Grano</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David G. Grano,</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6280" w:type="dxa"/>
            <w:vAlign w:val="bottom"/>
            <w:tcBorders>
              <w:bottom w:val="single" w:sz="8" w:color="DCDCDC"/>
            </w:tcBorders>
          </w:tcPr>
          <w:p>
            <w:pPr>
              <w:ind w:left="5640"/>
              <w:spacing w:after="0"/>
              <w:rPr>
                <w:sz w:val="20"/>
                <w:szCs w:val="20"/>
                <w:color w:val="auto"/>
              </w:rPr>
            </w:pPr>
            <w:r>
              <w:rPr>
                <w:rFonts w:ascii="Arial" w:cs="Arial" w:eastAsia="Arial" w:hAnsi="Arial"/>
                <w:sz w:val="18"/>
                <w:szCs w:val="18"/>
                <w:color w:val="auto"/>
              </w:rPr>
              <w:t>52</w:t>
            </w:r>
          </w:p>
        </w:tc>
        <w:tc>
          <w:tcPr>
            <w:tcW w:w="5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6" w:name="page97"/>
    <w:bookmarkEnd w:id="96"/>
    <w:p>
      <w:pPr>
        <w:ind w:left="5140"/>
        <w:spacing w:after="0"/>
        <w:rPr>
          <w:sz w:val="20"/>
          <w:szCs w:val="20"/>
          <w:color w:val="auto"/>
        </w:rPr>
      </w:pPr>
      <w:r>
        <w:rPr>
          <w:rFonts w:ascii="Arial" w:cs="Arial" w:eastAsia="Arial" w:hAnsi="Arial"/>
          <w:sz w:val="18"/>
          <w:szCs w:val="18"/>
          <w:u w:val="single" w:color="auto"/>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Escrow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 Intellectual Property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 Assignment of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 Assignment and Assumption of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 Assignment of Marks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 Bill of Sale</w:t>
      </w:r>
    </w:p>
    <w:p>
      <w:pPr>
        <w:spacing w:after="0" w:line="225" w:lineRule="exact"/>
        <w:rPr>
          <w:sz w:val="20"/>
          <w:szCs w:val="20"/>
          <w:color w:val="auto"/>
        </w:rPr>
      </w:pPr>
    </w:p>
    <w:p>
      <w:pPr>
        <w:ind w:right="3879"/>
        <w:spacing w:after="0" w:line="501" w:lineRule="auto"/>
        <w:rPr>
          <w:sz w:val="20"/>
          <w:szCs w:val="20"/>
          <w:color w:val="auto"/>
        </w:rPr>
      </w:pPr>
      <w:r>
        <w:rPr>
          <w:rFonts w:ascii="Arial" w:cs="Arial" w:eastAsia="Arial" w:hAnsi="Arial"/>
          <w:sz w:val="18"/>
          <w:szCs w:val="18"/>
          <w:color w:val="auto"/>
        </w:rPr>
        <w:t>“G” – Non-Solicitation Agreements and Employment and Non-Solicitation Agreements “H” – Assumption Agreement</w:t>
      </w:r>
    </w:p>
    <w:p>
      <w:pPr>
        <w:spacing w:after="0"/>
        <w:rPr>
          <w:sz w:val="20"/>
          <w:szCs w:val="20"/>
          <w:color w:val="auto"/>
        </w:rPr>
      </w:pPr>
      <w:r>
        <w:rPr>
          <w:rFonts w:ascii="Arial" w:cs="Arial" w:eastAsia="Arial" w:hAnsi="Arial"/>
          <w:sz w:val="18"/>
          <w:szCs w:val="18"/>
          <w:color w:val="auto"/>
        </w:rPr>
        <w:t>“I” – Domain Name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 Transition Services Agreement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97" w:name="page98"/>
    <w:bookmarkEnd w:id="97"/>
    <w:p>
      <w:pPr>
        <w:jc w:val="right"/>
        <w:ind w:right="3819"/>
        <w:spacing w:after="0"/>
        <w:rPr>
          <w:sz w:val="20"/>
          <w:szCs w:val="20"/>
          <w:color w:val="auto"/>
        </w:rPr>
      </w:pPr>
      <w:r>
        <w:rPr>
          <w:rFonts w:ascii="Arial" w:cs="Arial" w:eastAsia="Arial" w:hAnsi="Arial"/>
          <w:sz w:val="18"/>
          <w:szCs w:val="18"/>
          <w:u w:val="single" w:color="auto"/>
          <w:color w:val="auto"/>
        </w:rPr>
        <w:t>SCHEDULE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2.1(a)(i) – Tangible Personal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2.1(b) – 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2.1(c) – Assumed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2.1(e) – Governmental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Schedules</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98" w:name="page99"/>
    <w:bookmarkEnd w:id="98"/>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10.1</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HERITAGE BANK OF COMMERCE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w:t>
      </w:r>
      <w:r>
        <w:rPr>
          <w:rFonts w:ascii="Arial" w:cs="Arial" w:eastAsia="Arial" w:hAnsi="Arial"/>
          <w:sz w:val="11"/>
          <w:szCs w:val="11"/>
          <w:b w:val="1"/>
          <w:bCs w:val="1"/>
          <w:color w:val="auto"/>
        </w:rPr>
        <w:t>OAN</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ND</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1"/>
          <w:szCs w:val="11"/>
          <w:b w:val="1"/>
          <w:bCs w:val="1"/>
          <w:color w:val="auto"/>
        </w:rPr>
        <w:t>ECURITY</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is entered into as of March 29, 2016, by and between HERITAGE BANK OF COMMERCE (“Bank”)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T</w:t>
      </w:r>
      <w:r>
        <w:rPr>
          <w:rFonts w:ascii="Arial" w:cs="Arial" w:eastAsia="Arial" w:hAnsi="Arial"/>
          <w:sz w:val="12"/>
          <w:szCs w:val="12"/>
          <w:b w:val="1"/>
          <w:bCs w:val="1"/>
          <w:color w:val="auto"/>
        </w:rPr>
        <w:t>ECHNOLOGIES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1280" w:hanging="624"/>
        <w:spacing w:after="0"/>
        <w:tabs>
          <w:tab w:leader="none" w:pos="1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following definitions: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whether or not earned by performance, and any and all credit insurance, guaranties, and other security therefor, as well as all merchandise returned to or reclaimed by Borrower and Borrower’s Books relating to any of the foregoing.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EBITDA” means net income (loss) before interest income, interest expense, income taxes, depreciation, amortization, non-recurring professional service fees recorded in selling, general and administrative (SG&amp;A) expenses that were incurred in connection with the VendScreen, Inc. transaction as well as other integration and transaction expenses related to VendScreen, Inc., change in fair value of warrant liabilities and stock-based compensation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“Advance” or “Advances” means a cash advance or cash advances under the Revolving Facility.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“Bank Expenses” means all: reasonable costs or expenses (including reasonable attorneys’ fees and expenses) incurred in connection with the preparation, negotiation, administration, and enforcement of the Loan Documents; reasonable Collateral audit fees; and Bank’s reasonable attorneys’ fees and expenses incurred in amending, enforcing or defending the Loan Documents (including fees and expenses of appeal), incurred before, during and after an Insolvency Proceeding, whether or not suit is brought.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 Base” means an amount equal to eighty-five percent (85%) of License and Transaction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California are authorized or required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“Change in Control” shall mean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“Closing Date” means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California Uniform Commercial Code.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“Collateral” means the property described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“Contingent Obligation” means, as applied to any Person, any direct or indirect liability, contingent or otherwise, of that Person with respect to</w:t>
      </w:r>
    </w:p>
    <w:p>
      <w:pPr>
        <w:spacing w:after="0" w:line="35" w:lineRule="exact"/>
        <w:rPr>
          <w:sz w:val="20"/>
          <w:szCs w:val="20"/>
          <w:color w:val="auto"/>
        </w:rPr>
      </w:pPr>
    </w:p>
    <w:p>
      <w:pPr>
        <w:jc w:val="both"/>
        <w:ind w:firstLine="8"/>
        <w:spacing w:after="0" w:line="269" w:lineRule="auto"/>
        <w:tabs>
          <w:tab w:leader="none" w:pos="2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indebtedness, lease, dividend, letter of credit or other obligation of another; (ii) any obligations with respect to undrawn letters of credit for the account of that Person; and (iii) 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Bank in good faith; provided, however, that such amount shall not in any event exceed the maximum amount of the obligations under the guarantee or other support arrangement.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“Copyrights” means any and all copyright rights, copyright applications, copyright registrations and like protections in each work or authorship and derivative work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Extension” means each Advance or any other extension of credit by Bank for the benefit of Borrower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“Daily Balance” means the amount of the Obligations owed at the end of a given day.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“Equipment” means all present and future machinery, equipment, computer hardware and software, tenant improvements, furniture, fixtures, vehicles, tools, parts and attachments in which Borrower has any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assigned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means generally accepted accounting principles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“Guaranty” means the secured guaranty of even date by Stitch Networks Corporation and USAT Capital Corp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648"/>
        <w:spacing w:after="0" w:line="312" w:lineRule="auto"/>
        <w:rPr>
          <w:sz w:val="20"/>
          <w:szCs w:val="20"/>
          <w:color w:val="auto"/>
        </w:rPr>
      </w:pPr>
      <w:r>
        <w:rPr>
          <w:rFonts w:ascii="Arial" w:cs="Arial" w:eastAsia="Arial" w:hAnsi="Arial"/>
          <w:sz w:val="16"/>
          <w:szCs w:val="16"/>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respecting obligations of the type set forth in (a), (b), or (c) above.</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“Intellectual Property” means all of Borrower’s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means all inventory in which Borrower has or acquires any interest, including work in process and finished products intended for sale or lease or to be furnished under a contract of service, of every kind and description now or at any time hereafter owned by or in the custody or possession, actual or constructive, of Borrower,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interest or other securities) any Person, or any loan, advance or capital contribution to any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“License and Transaction Revenue” shall mean Borrower’s license and transaction fee revenue (as is reflected as such in its consolidated statement of operations) for the preceding three (3) calendar months.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“Loan Documents” means, collectively, this Agreement, any note or notes executed by Borrower, any guarantees by third parties, all documents and agreements listed in Section 3.1, and any other agreement entered into in connection with this Agreement, all as amended or extended from time to time.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“Material Adverse Effect” means a material adverse effect on (i) the business operations, condition (financial or otherwise) or prospects of Borrower and its Subsidiaries taken as a whole or (ii) the ability of Borrower to repay the Obligations or otherwise perform its obligations under the Loan Documents or (iii) the value or priority of Bank’s security interests in the Collateral.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“Negotiable Collateral” means all letters of credit of which Borrower is a beneficiary, notes, drafts, instruments, securities, documents of title, and chattel paper, and Borrower’s Books relating to any of the foregoing.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“Obligations” means all debt, principal, interest, Bank Expenses and other amounts owed to Bank by Borrower pursuant to this Agreement or any other Loan Document (other than the Warrant),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Indebtedness” means:</w:t>
      </w:r>
    </w:p>
    <w:p>
      <w:pPr>
        <w:spacing w:after="0" w:line="225" w:lineRule="exact"/>
        <w:rPr>
          <w:sz w:val="20"/>
          <w:szCs w:val="20"/>
          <w:color w:val="auto"/>
        </w:rPr>
      </w:pPr>
    </w:p>
    <w:p>
      <w:pPr>
        <w:ind w:left="2620" w:hanging="667"/>
        <w:spacing w:after="0"/>
        <w:tabs>
          <w:tab w:leader="none" w:pos="26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Indebtedness of Borrower in favor of Bank arising under this Agreement or any other Loan Document;</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Indebtedness existing on the Closing Date and disclosed in the Schedule;</w:t>
      </w:r>
    </w:p>
    <w:p>
      <w:pPr>
        <w:spacing w:after="0" w:line="225" w:lineRule="exact"/>
        <w:rPr>
          <w:rFonts w:ascii="Arial" w:cs="Arial" w:eastAsia="Arial" w:hAnsi="Arial"/>
          <w:sz w:val="18"/>
          <w:szCs w:val="18"/>
          <w:b w:val="1"/>
          <w:bCs w:val="1"/>
          <w:color w:val="auto"/>
        </w:rPr>
      </w:pPr>
    </w:p>
    <w:p>
      <w:pPr>
        <w:jc w:val="both"/>
        <w:ind w:firstLine="1953"/>
        <w:spacing w:after="0" w:line="286" w:lineRule="auto"/>
        <w:tabs>
          <w:tab w:leader="none" w:pos="2622"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Indebtedness not otherwise described in clauses (a) and (b) above, secured by a lien described in clause (c) of the defined term “Permitted Liens,” provided (i) such Indebtedness does not exceed the lesser of the cost or fair market value of the equipment financed with such Indebtedness (measured at the time of such acquisition) and (ii) such Indebtedness does not exceed $*** in the aggregate at any given time;</w:t>
      </w:r>
    </w:p>
    <w:p>
      <w:pPr>
        <w:spacing w:after="0" w:line="165" w:lineRule="exact"/>
        <w:rPr>
          <w:rFonts w:ascii="Arial" w:cs="Arial" w:eastAsia="Arial" w:hAnsi="Arial"/>
          <w:sz w:val="17"/>
          <w:szCs w:val="17"/>
          <w:b w:val="1"/>
          <w:bCs w:val="1"/>
          <w:color w:val="auto"/>
        </w:rPr>
      </w:pPr>
    </w:p>
    <w:p>
      <w:pPr>
        <w:ind w:left="2620" w:hanging="667"/>
        <w:spacing w:after="0"/>
        <w:tabs>
          <w:tab w:leader="none" w:pos="26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b w:val="1"/>
          <w:bCs w:val="1"/>
          <w:color w:val="auto"/>
        </w:rPr>
      </w:pPr>
    </w:p>
    <w:p>
      <w:pPr>
        <w:ind w:left="2600" w:hanging="647"/>
        <w:spacing w:after="0"/>
        <w:tabs>
          <w:tab w:leader="none" w:pos="26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trade debt and operating leases incurred in the ordinary course of business;</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Indebtedness in connection with insurance premium financing, credit cards or similar programs;</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other unsecured Indebtedness not to exceed *** in the aggregate at any time; and</w:t>
      </w:r>
    </w:p>
    <w:p>
      <w:pPr>
        <w:spacing w:after="0" w:line="225" w:lineRule="exact"/>
        <w:rPr>
          <w:rFonts w:ascii="Arial" w:cs="Arial" w:eastAsia="Arial" w:hAnsi="Arial"/>
          <w:sz w:val="18"/>
          <w:szCs w:val="18"/>
          <w:b w:val="1"/>
          <w:bCs w:val="1"/>
          <w:color w:val="auto"/>
        </w:rPr>
      </w:pPr>
    </w:p>
    <w:p>
      <w:pPr>
        <w:jc w:val="both"/>
        <w:ind w:firstLine="1953"/>
        <w:spacing w:after="0" w:line="264" w:lineRule="auto"/>
        <w:tabs>
          <w:tab w:leader="none" w:pos="2628"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extensions, refinancings, modifications, amendments and restatements of any items of Permitted Indebtedness of the type described in clauses (a) through (g) above, provided that the principal amount thereof is not increased or the terms thereof are not modified to impose more burdensome terms upon Borrower.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Investment” means:</w:t>
      </w:r>
    </w:p>
    <w:p>
      <w:pPr>
        <w:spacing w:after="0" w:line="225" w:lineRule="exact"/>
        <w:rPr>
          <w:sz w:val="20"/>
          <w:szCs w:val="20"/>
          <w:color w:val="auto"/>
        </w:rPr>
      </w:pPr>
    </w:p>
    <w:p>
      <w:pPr>
        <w:ind w:left="5660" w:right="3620" w:hanging="3707"/>
        <w:spacing w:after="0" w:line="778" w:lineRule="auto"/>
        <w:tabs>
          <w:tab w:leader="none" w:pos="2619"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 disclosed in the Schedule;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1953"/>
        <w:spacing w:after="0" w:line="273" w:lineRule="auto"/>
        <w:tabs>
          <w:tab w:leader="none" w:pos="2669"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 (iii) certificates of deposit maturing no more than one (1) year from the date of investment therein issued by Bank, (iv) Bank’s money market accounts, (v) Investments made by Borrower in the accounts maintained by Borrower with JP Morgan Chase Bank to the extent permitted by Section 6.8; and (vi) other Investments in an aggregate amount not to exceed $*** outstanding at any time during the term of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Liens” means the following:</w:t>
      </w:r>
    </w:p>
    <w:p>
      <w:pPr>
        <w:spacing w:after="0" w:line="225" w:lineRule="exact"/>
        <w:rPr>
          <w:sz w:val="20"/>
          <w:szCs w:val="20"/>
          <w:color w:val="auto"/>
        </w:rPr>
      </w:pPr>
    </w:p>
    <w:p>
      <w:pPr>
        <w:ind w:left="2660" w:hanging="707"/>
        <w:spacing w:after="0"/>
        <w:tabs>
          <w:tab w:leader="none" w:pos="266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Any Liens existing on the Closing Date and disclosed in the Schedule or arising under this Agreement or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firstLine="1953"/>
        <w:spacing w:after="0" w:line="264" w:lineRule="auto"/>
        <w:tabs>
          <w:tab w:leader="none" w:pos="273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provided that Borrower maintains adequate reserves on its books, and provided that no notice of any such Lien has been filed or recorded under the IRC;</w:t>
      </w:r>
    </w:p>
    <w:p>
      <w:pPr>
        <w:spacing w:after="0" w:line="181" w:lineRule="exact"/>
        <w:rPr>
          <w:rFonts w:ascii="Arial" w:cs="Arial" w:eastAsia="Arial" w:hAnsi="Arial"/>
          <w:sz w:val="18"/>
          <w:szCs w:val="18"/>
          <w:b w:val="1"/>
          <w:bCs w:val="1"/>
          <w:color w:val="auto"/>
        </w:rPr>
      </w:pPr>
    </w:p>
    <w:p>
      <w:pPr>
        <w:jc w:val="both"/>
        <w:ind w:firstLine="1953"/>
        <w:spacing w:after="0" w:line="279" w:lineRule="auto"/>
        <w:tabs>
          <w:tab w:leader="none" w:pos="2811"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Liens (i) upon or in any equipment or fixed or capital assets which was not financed by Bank acquired or held by Borrower or any of its Subsidiaries to secure the purchase price of such equipment or indebtedness incurred solely for the purpose of financing the acquisition of such equipment or fixed or capital assets, or (ii) existing on such equipment or fixed or capital assets at the time of its acquisition, provided that the Lien is confined solely to the property so acquired and improvements thereon, and the proceeds of such equipment;</w:t>
      </w:r>
    </w:p>
    <w:p>
      <w:pPr>
        <w:spacing w:after="0" w:line="171" w:lineRule="exact"/>
        <w:rPr>
          <w:rFonts w:ascii="Arial" w:cs="Arial" w:eastAsia="Arial" w:hAnsi="Arial"/>
          <w:sz w:val="17"/>
          <w:szCs w:val="17"/>
          <w:b w:val="1"/>
          <w:bCs w:val="1"/>
          <w:color w:val="auto"/>
        </w:rPr>
      </w:pPr>
    </w:p>
    <w:p>
      <w:pPr>
        <w:jc w:val="both"/>
        <w:ind w:firstLine="1953"/>
        <w:spacing w:after="0" w:line="264" w:lineRule="auto"/>
        <w:tabs>
          <w:tab w:leader="none" w:pos="265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Liens incurred in connection with the extension, renewal or refinancing of the indebtedness secured by Liens of the type described in clauses (a) through (c) above, provided that any extension, renewal or replacement Lien shall be limited to the property encumbered by the existing Lien and the principal amount of the indebtedness being extended, renewed or refinanced does not increase;</w:t>
      </w:r>
    </w:p>
    <w:p>
      <w:pPr>
        <w:spacing w:after="0" w:line="181" w:lineRule="exact"/>
        <w:rPr>
          <w:rFonts w:ascii="Arial" w:cs="Arial" w:eastAsia="Arial" w:hAnsi="Arial"/>
          <w:sz w:val="18"/>
          <w:szCs w:val="18"/>
          <w:b w:val="1"/>
          <w:bCs w:val="1"/>
          <w:color w:val="auto"/>
        </w:rPr>
      </w:pPr>
    </w:p>
    <w:p>
      <w:pPr>
        <w:ind w:left="2600" w:hanging="647"/>
        <w:spacing w:after="0"/>
        <w:tabs>
          <w:tab w:leader="none" w:pos="260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licenses of Intellectual Property granted to third parties in the ordinary course of business; and</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rental or licensing of Inventory or Equipment to third parties in the ordinary course of business.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“Prime Rate” means the rate published as the U.S. Prime Rate from time to time in the money rate column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whether or not such announced rate is the lowest rate available from Bank.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“Responsible Officer” means each of the Chief Executive Officer, the Chief Operating Officer, the Chief Financial Officer and the Controller of Borrower.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7"/>
          <w:szCs w:val="17"/>
          <w:color w:val="auto"/>
        </w:rPr>
        <w:t>“Revolving Facility” means the facility under which Borrower may request Bank to issue Advances, as specified in Section 2.1(a) 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“Revolving Line” means a credit extension of up to Twelve Million Dollars ($12,000,000).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“Revolving Maturity Date” means the one-year anniversary of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means the schedule of exceptions attached hereto and approved by Bank, if 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 is one hundred percent (100%) of the issued and outstanding capital stock, membership units or other securities owned or held of record by a Borrower or any Subsidiary of Borrower, in any direct or indirect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“Subordinated Debt” means any debt incurred by Borrower that is subordinated to the debt owing by Borrower to Bank on terms acceptable to Bank (and identified as being such by Borrower and Bank).</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“Subsidiary”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(including any Affiliate), or both, by such Person. Unless the context otherwise requires, each reference to a Subsidiary herein shall be a reference to a Subsidiary of Borrower.</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means the warrant to purchase common stock of the Borrower referred to in Section 3.1.</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1.2 Accounting Terms</w:t>
      </w:r>
      <w:r>
        <w:rPr>
          <w:rFonts w:ascii="Arial" w:cs="Arial" w:eastAsia="Arial" w:hAnsi="Arial"/>
          <w:sz w:val="18"/>
          <w:szCs w:val="18"/>
          <w:color w:val="auto"/>
        </w:rPr>
        <w:t>. All accounting terms not specifically defined herein shall be construed in accordance with GAAP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made hereunder shall be made in accordance with GAAP. When used herein, the terms “financial statements” shall include the notes and schedules thereto.</w:t>
      </w:r>
    </w:p>
    <w:p>
      <w:pPr>
        <w:spacing w:after="0" w:line="176" w:lineRule="exact"/>
        <w:rPr>
          <w:sz w:val="20"/>
          <w:szCs w:val="20"/>
          <w:color w:val="auto"/>
        </w:rPr>
      </w:pPr>
    </w:p>
    <w:p>
      <w:pPr>
        <w:ind w:left="1280" w:hanging="624"/>
        <w:spacing w:after="0"/>
        <w:tabs>
          <w:tab w:leader="none" w:pos="1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Credit Extensions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Borrower promises to pay to the order of Bank, in lawful money of the United States of America, the aggregate unpaid principal amount of all Credit Extensions made by Bank to Borrower hereunder. Borrower shall also pay interest on the unpaid principal amount of such Credit Extensions at rates in accordance with the terms hereof.</w:t>
      </w:r>
    </w:p>
    <w:p>
      <w:pPr>
        <w:spacing w:after="0" w:line="177" w:lineRule="exact"/>
        <w:rPr>
          <w:sz w:val="20"/>
          <w:szCs w:val="20"/>
          <w:color w:val="auto"/>
        </w:rPr>
      </w:pPr>
    </w:p>
    <w:p>
      <w:pPr>
        <w:ind w:left="2620" w:hanging="667"/>
        <w:spacing w:after="0"/>
        <w:tabs>
          <w:tab w:leader="none" w:pos="26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Advances.</w:t>
      </w:r>
    </w:p>
    <w:p>
      <w:pPr>
        <w:spacing w:after="0" w:line="229" w:lineRule="exact"/>
        <w:rPr>
          <w:rFonts w:ascii="Arial" w:cs="Arial" w:eastAsia="Arial" w:hAnsi="Arial"/>
          <w:sz w:val="18"/>
          <w:szCs w:val="18"/>
          <w:b w:val="1"/>
          <w:bCs w:val="1"/>
          <w:color w:val="auto"/>
        </w:rPr>
      </w:pPr>
    </w:p>
    <w:p>
      <w:pPr>
        <w:jc w:val="both"/>
        <w:ind w:firstLine="2601"/>
        <w:spacing w:after="0" w:line="279" w:lineRule="auto"/>
        <w:tabs>
          <w:tab w:leader="none" w:pos="3213"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Subject to and upon the terms and conditions of this Agreement, Borrower may request Advances in an aggregate outstanding amount not to exceed the lesser of (i) the Revolving Line or (ii) the Borrowing Base. Subject to the terms and conditions of this Agreement, amounts borrowed pursuant to this Section 2.1(a) may be repaid and reborrowed at any time prior to the Revolving Maturity Date, at which time all Advances under this Section 2.1(a) shall be immediately due and payable. Borrower may prepay any Advances without penalty or premium.</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ind w:firstLine="2601"/>
        <w:spacing w:after="0" w:line="290" w:lineRule="auto"/>
        <w:tabs>
          <w:tab w:leader="none" w:pos="3501"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 xml:space="preserve">Whenever Borrower desires an Advance, Borrower will notify Bank by email, facsimile transmission or telephone no later than 2:00 p.m. Pacific Time, on the Business Day that is one day before the Business Day the Advance is to be made. Each such notification shall be promptly confirmed by a Borrowing Base Certificate in substantially the form of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 which may be accompanied by an Advance/Paydown Request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Bank is authorized to make Advances under this Agreement, based upon instructions received from a Responsible Officer or a designee of a Responsible Officer, or without instructions if in Bank’s discretion such Advances are necessary to meet Obligations which have become due and remain unpaid. Bank shall be entitled to rely on any email or telephonic notice given by a person who Bank reasonably believes to be a Responsible Officer or a designee thereof, and Borrower shall indemnify and hold Bank harmless for any damages or loss suffered by Bank as a result of such reliance. Bank will credit the amount of Advances made under this Section to Borrower’s deposit account at Bank.</w:t>
      </w:r>
    </w:p>
    <w:p>
      <w:pPr>
        <w:spacing w:after="0" w:line="162"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2.2 Overadvances</w:t>
      </w:r>
      <w:r>
        <w:rPr>
          <w:rFonts w:ascii="Arial" w:cs="Arial" w:eastAsia="Arial" w:hAnsi="Arial"/>
          <w:sz w:val="18"/>
          <w:szCs w:val="18"/>
          <w:color w:val="auto"/>
        </w:rPr>
        <w:t>. If the aggregate amount of the outstanding Advances exceeds the lesser of the Revolving Line or the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Base at any time, Borrower shall immediately pay to Bank, in cash, the amount of such excess.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Interest Rates, Payments, and Calculations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82" w:lineRule="auto"/>
        <w:tabs>
          <w:tab w:leader="none" w:pos="267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Rates. </w:t>
      </w:r>
      <w:r>
        <w:rPr>
          <w:rFonts w:ascii="Arial" w:cs="Arial" w:eastAsia="Arial" w:hAnsi="Arial"/>
          <w:sz w:val="18"/>
          <w:szCs w:val="18"/>
          <w:color w:val="auto"/>
        </w:rPr>
        <w:t>Except as set forth in Section 2.3(b), the Advances shall bear interest, on the outstanding Daily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at a rate equal to two and one quarter of one percent (2.25%) above the Prime Rate.</w:t>
      </w:r>
    </w:p>
    <w:p>
      <w:pPr>
        <w:spacing w:after="0" w:line="161" w:lineRule="exact"/>
        <w:rPr>
          <w:rFonts w:ascii="Arial" w:cs="Arial" w:eastAsia="Arial" w:hAnsi="Arial"/>
          <w:sz w:val="18"/>
          <w:szCs w:val="18"/>
          <w:b w:val="1"/>
          <w:bCs w:val="1"/>
          <w:color w:val="auto"/>
        </w:rPr>
      </w:pPr>
    </w:p>
    <w:p>
      <w:pPr>
        <w:jc w:val="both"/>
        <w:ind w:firstLine="1953"/>
        <w:spacing w:after="0" w:line="281" w:lineRule="auto"/>
        <w:tabs>
          <w:tab w:leader="none" w:pos="2688"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Late Fee; Default Rate</w:t>
      </w:r>
      <w:r>
        <w:rPr>
          <w:rFonts w:ascii="Arial" w:cs="Arial" w:eastAsia="Arial" w:hAnsi="Arial"/>
          <w:sz w:val="17"/>
          <w:szCs w:val="17"/>
          <w:color w:val="auto"/>
        </w:rPr>
        <w:t>. If any payment is not made within ten (10) days after the date such payment is due,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pay Bank a late fee equal to the lesser of (i) five percent (5%) of the amount of such unpaid amount or (ii) the maximum amount permitted to be charged under applicable law. All Obligations shall bear interest, from and after the occurrence and during the continuance of an Event of Default, at a rate equal to five (5) percentage points above the interest rate applicable immediately prior to the occurrence of the Event of Default.</w:t>
      </w:r>
    </w:p>
    <w:p>
      <w:pPr>
        <w:spacing w:after="0" w:line="164" w:lineRule="exact"/>
        <w:rPr>
          <w:rFonts w:ascii="Arial" w:cs="Arial" w:eastAsia="Arial" w:hAnsi="Arial"/>
          <w:sz w:val="17"/>
          <w:szCs w:val="17"/>
          <w:b w:val="1"/>
          <w:bCs w:val="1"/>
          <w:color w:val="auto"/>
        </w:rPr>
      </w:pPr>
    </w:p>
    <w:p>
      <w:pPr>
        <w:jc w:val="both"/>
        <w:ind w:firstLine="1953"/>
        <w:spacing w:after="0" w:line="256" w:lineRule="auto"/>
        <w:tabs>
          <w:tab w:leader="none" w:pos="2689"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 Interest hereunder shall be due and payable on the first business day of each month during the term hereof.</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at its option, charge such interest, all Bank Expenses, and all Periodic Payments against any of Borrower’s deposit accounts or against the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 All payments shall be free and clear of any taxes, withholdings, duties, impositions or other charges, to the end that Bank will receive the entire amount of any Obligations payable hereunder, regardless of source of payment.</w:t>
      </w:r>
    </w:p>
    <w:p>
      <w:pPr>
        <w:spacing w:after="0" w:line="187" w:lineRule="exact"/>
        <w:rPr>
          <w:rFonts w:ascii="Arial" w:cs="Arial" w:eastAsia="Arial" w:hAnsi="Arial"/>
          <w:sz w:val="18"/>
          <w:szCs w:val="18"/>
          <w:b w:val="1"/>
          <w:bCs w:val="1"/>
          <w:color w:val="auto"/>
        </w:rPr>
      </w:pPr>
    </w:p>
    <w:p>
      <w:pPr>
        <w:jc w:val="both"/>
        <w:ind w:firstLine="1953"/>
        <w:spacing w:after="0" w:line="289" w:lineRule="auto"/>
        <w:tabs>
          <w:tab w:leader="none" w:pos="2817"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Lockbox. </w:t>
      </w:r>
      <w:r>
        <w:rPr>
          <w:rFonts w:ascii="Arial" w:cs="Arial" w:eastAsia="Arial" w:hAnsi="Arial"/>
          <w:sz w:val="16"/>
          <w:szCs w:val="16"/>
          <w:color w:val="auto"/>
        </w:rPr>
        <w:t>Borrower shall cause all account debtors (other than account debtors relating to License and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and QuickStart Lease Receivables) to wire any amounts owing to Borrower to such account (the “Bancontrol Account”) as Bank shall specify, and to mail all payments made by check to a post office box under Bank’s control. All invoices shall specify such post office box as the payment address. Bank shall have sole authority to collect such payments and deposit them to the Bancontrol Account. If Borrower receives any amount despite such instructions, Borrower shall immediately deliver such payment to Bank in the form received, except for an endorsement to the order of Bank and, pending such delivery, shall hold such payment in trust for Bank. Funds from the Bancontrol Account shall be swept daily by Bank; two Business Days after clearance of any checks, Bank shall credit all amounts paid into the Bancontrol Account to Borrower’s operating account. Borrower shall enter into such lockbox agreement as Bank shall reasonably request from time to time. Bank may, at its option, conduct a credit check of the account debtors relating to the License and Transaction Revenue requested by Borrower for inclusion in the Borrowing Base. Bank may also verify directly with the respective account debtors the validity, amount and other matters relating to the License and Transaction Revenue, and notify any account debtor of Bank’s security interest in the Borrower’s Accounts.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1953"/>
        <w:spacing w:after="0" w:line="314" w:lineRule="auto"/>
        <w:tabs>
          <w:tab w:leader="none" w:pos="259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Computation</w:t>
      </w:r>
      <w:r>
        <w:rPr>
          <w:rFonts w:ascii="Arial" w:cs="Arial" w:eastAsia="Arial" w:hAnsi="Arial"/>
          <w:sz w:val="16"/>
          <w:szCs w:val="16"/>
          <w:color w:val="auto"/>
        </w:rPr>
        <w:t>. In the event the Prime Rate is changed from time to time hereafter, the applicable rate of interest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increased or decreased, effective as of the day the Prime Rate is changed, by an amount equal to such change in the Prime Rate. All interest chargeable under the Loan Documents shall be computed on the basis of a three hundred sixty (360) day year for the actual number of days elapsed.</w:t>
      </w:r>
    </w:p>
    <w:p>
      <w:pPr>
        <w:spacing w:after="0" w:line="14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2.4 Crediting Payments</w:t>
      </w:r>
      <w:r>
        <w:rPr>
          <w:rFonts w:ascii="Arial" w:cs="Arial" w:eastAsia="Arial" w:hAnsi="Arial"/>
          <w:sz w:val="16"/>
          <w:szCs w:val="16"/>
          <w:color w:val="auto"/>
        </w:rPr>
        <w:t>. Prior to the occurrence of an Event of Default, Bank shall credit a wire transfer of funds, check or other item</w:t>
      </w:r>
      <w:r>
        <w:rPr>
          <w:rFonts w:ascii="Arial" w:cs="Arial" w:eastAsia="Arial" w:hAnsi="Arial"/>
          <w:sz w:val="16"/>
          <w:szCs w:val="16"/>
          <w:b w:val="1"/>
          <w:bCs w:val="1"/>
          <w:color w:val="auto"/>
        </w:rPr>
        <w:t xml:space="preserve"> </w:t>
      </w:r>
      <w:r>
        <w:rPr>
          <w:rFonts w:ascii="Arial" w:cs="Arial" w:eastAsia="Arial" w:hAnsi="Arial"/>
          <w:sz w:val="16"/>
          <w:szCs w:val="16"/>
          <w:color w:val="auto"/>
        </w:rPr>
        <w:t>of payment to such deposit account or Obligation as Borrower specifies. After the occurrence of an Event of Default, the receipt by Bank of any wire transfer of funds, check, or other item of payment shall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12:00 noon Pacific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 the following:</w:t>
      </w:r>
    </w:p>
    <w:p>
      <w:pPr>
        <w:spacing w:after="0" w:line="225" w:lineRule="exact"/>
        <w:rPr>
          <w:sz w:val="20"/>
          <w:szCs w:val="20"/>
          <w:color w:val="auto"/>
        </w:rPr>
      </w:pPr>
    </w:p>
    <w:p>
      <w:pPr>
        <w:ind w:left="2620" w:hanging="667"/>
        <w:spacing w:after="0"/>
        <w:tabs>
          <w:tab w:leader="none" w:pos="26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Facility Fees</w:t>
      </w:r>
      <w:r>
        <w:rPr>
          <w:rFonts w:ascii="Arial" w:cs="Arial" w:eastAsia="Arial" w:hAnsi="Arial"/>
          <w:sz w:val="18"/>
          <w:szCs w:val="18"/>
          <w:color w:val="auto"/>
        </w:rPr>
        <w:t>. On the Closing Date, a facility fee with respect to the Revolving Facility equal to $90,000; and</w:t>
      </w:r>
    </w:p>
    <w:p>
      <w:pPr>
        <w:spacing w:after="0" w:line="225" w:lineRule="exact"/>
        <w:rPr>
          <w:rFonts w:ascii="Arial" w:cs="Arial" w:eastAsia="Arial" w:hAnsi="Arial"/>
          <w:sz w:val="18"/>
          <w:szCs w:val="18"/>
          <w:b w:val="1"/>
          <w:bCs w:val="1"/>
          <w:color w:val="auto"/>
        </w:rPr>
      </w:pPr>
    </w:p>
    <w:p>
      <w:pPr>
        <w:jc w:val="both"/>
        <w:ind w:firstLine="1953"/>
        <w:spacing w:after="0" w:line="266" w:lineRule="auto"/>
        <w:tabs>
          <w:tab w:leader="none" w:pos="283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On the Closing Date, all Bank Expenses incurred through the Closing Date, including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and expenses and, after the Closing Date, all Bank Expenses, including reasonable attorneys’ fees and expenses, as and when they are incurred by Bank.</w:t>
      </w:r>
    </w:p>
    <w:p>
      <w:pPr>
        <w:spacing w:after="0" w:line="17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2.6 Term</w:t>
      </w:r>
      <w:r>
        <w:rPr>
          <w:rFonts w:ascii="Arial" w:cs="Arial" w:eastAsia="Arial" w:hAnsi="Arial"/>
          <w:sz w:val="17"/>
          <w:szCs w:val="17"/>
          <w:color w:val="auto"/>
        </w:rPr>
        <w:t>. This Agreement shall become effective on the Closing Date and, subject to Section 12.7, shall continue in full force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 for so long as any Obligations (other than inchoate indemnity obligations and any other obligations which, by their terms, are to survive the termination of this Agreement)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 Notwithstanding termination, Bank’s Lien on the Collateral shall remain in effect for so long as any Obligations (other than inchoate indemnity obligations and any other obligations which, by their terms, are to survive the termination of this Agreement) are outstanding, and shall be released and terminated by Bank immediately upon satisfaction of such Obligations. This Agreement may be terminated prior to the Revolving Maturity Date by Borrower effective two (2) Business Days after written notice of termination is given to Bank.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ind w:left="1280" w:hanging="624"/>
        <w:spacing w:after="0"/>
        <w:tabs>
          <w:tab w:leader="none" w:pos="1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OANS</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The obligation of Bank to make the initial Credit Extension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Bank shall have received, in form and substance satisfactory to Bank, the following:</w:t>
      </w:r>
    </w:p>
    <w:p>
      <w:pPr>
        <w:spacing w:after="0" w:line="166" w:lineRule="exact"/>
        <w:rPr>
          <w:sz w:val="20"/>
          <w:szCs w:val="20"/>
          <w:color w:val="auto"/>
        </w:rPr>
      </w:pPr>
    </w:p>
    <w:p>
      <w:pPr>
        <w:ind w:left="2620" w:hanging="667"/>
        <w:spacing w:after="0"/>
        <w:tabs>
          <w:tab w:leader="none" w:pos="2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b w:val="1"/>
          <w:bCs w:val="1"/>
          <w:color w:val="auto"/>
        </w:rPr>
      </w:pPr>
    </w:p>
    <w:p>
      <w:pPr>
        <w:ind w:left="2800" w:hanging="847"/>
        <w:spacing w:after="0"/>
        <w:tabs>
          <w:tab w:leader="none" w:pos="280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a certificate of the Secretary of Borrower with respect to incumbency and resolutions authorizing the execution and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delivery of this Agreement;</w:t>
      </w:r>
    </w:p>
    <w:p>
      <w:pPr>
        <w:spacing w:after="0" w:line="210" w:lineRule="exact"/>
        <w:rPr>
          <w:rFonts w:ascii="Arial" w:cs="Arial" w:eastAsia="Arial" w:hAnsi="Arial"/>
          <w:sz w:val="17"/>
          <w:szCs w:val="17"/>
          <w:b w:val="1"/>
          <w:bCs w:val="1"/>
          <w:color w:val="auto"/>
        </w:rPr>
      </w:pPr>
    </w:p>
    <w:p>
      <w:pPr>
        <w:ind w:left="2600" w:hanging="647"/>
        <w:spacing w:after="0"/>
        <w:tabs>
          <w:tab w:leader="none" w:pos="260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UCC National Form Financing Statement;</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an intellectual property security agreement;</w:t>
      </w:r>
    </w:p>
    <w:p>
      <w:pPr>
        <w:spacing w:after="0" w:line="225" w:lineRule="exact"/>
        <w:rPr>
          <w:rFonts w:ascii="Arial" w:cs="Arial" w:eastAsia="Arial" w:hAnsi="Arial"/>
          <w:sz w:val="18"/>
          <w:szCs w:val="18"/>
          <w:b w:val="1"/>
          <w:bCs w:val="1"/>
          <w:color w:val="auto"/>
        </w:rPr>
      </w:pPr>
    </w:p>
    <w:p>
      <w:pPr>
        <w:ind w:left="2600" w:hanging="647"/>
        <w:spacing w:after="0"/>
        <w:tabs>
          <w:tab w:leader="none" w:pos="260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a warrant to purchase common stock of Borrower;</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Guaranty;</w:t>
      </w:r>
    </w:p>
    <w:p>
      <w:pPr>
        <w:spacing w:after="0" w:line="225" w:lineRule="exact"/>
        <w:rPr>
          <w:rFonts w:ascii="Arial" w:cs="Arial" w:eastAsia="Arial" w:hAnsi="Arial"/>
          <w:sz w:val="18"/>
          <w:szCs w:val="18"/>
          <w:b w:val="1"/>
          <w:bCs w:val="1"/>
          <w:color w:val="auto"/>
        </w:rPr>
      </w:pPr>
    </w:p>
    <w:p>
      <w:pPr>
        <w:jc w:val="both"/>
        <w:ind w:right="20" w:firstLine="1953"/>
        <w:spacing w:after="0" w:line="264" w:lineRule="auto"/>
        <w:tabs>
          <w:tab w:leader="none" w:pos="2848"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receipt of a payoff letter from AvidBank concerning outstanding Indebtedness of Borrower due to such bank; and evidence satisfactory to Bank in its sole determination that any Lien securing obligations of Borrower to AvidBank (or any successor thereto) will be terminated, concurrently with the making of the initial Credit Extension;</w:t>
      </w:r>
    </w:p>
    <w:p>
      <w:pPr>
        <w:spacing w:after="0" w:line="181" w:lineRule="exact"/>
        <w:rPr>
          <w:rFonts w:ascii="Arial" w:cs="Arial" w:eastAsia="Arial" w:hAnsi="Arial"/>
          <w:sz w:val="18"/>
          <w:szCs w:val="18"/>
          <w:b w:val="1"/>
          <w:bCs w:val="1"/>
          <w:color w:val="auto"/>
        </w:rPr>
      </w:pPr>
    </w:p>
    <w:p>
      <w:pPr>
        <w:ind w:left="2620" w:hanging="667"/>
        <w:spacing w:after="0"/>
        <w:tabs>
          <w:tab w:leader="none" w:pos="2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certificate(s) of insurance naming Bank as loss payee and additional insured;</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payment of the fees and Bank Expenses then due specified in Section 2.5 hereof;</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current financial statements of Borrower;</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delivery of the share certificates representing the Shares and stock powers held by Borrower;</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a deposit account control agreement satisfactory to Bank with respect to each of Borrower’s accounts not with Bank;</w:t>
      </w:r>
    </w:p>
    <w:p>
      <w:pPr>
        <w:spacing w:after="0" w:line="236" w:lineRule="exact"/>
        <w:rPr>
          <w:rFonts w:ascii="Arial" w:cs="Arial" w:eastAsia="Arial" w:hAnsi="Arial"/>
          <w:sz w:val="17"/>
          <w:szCs w:val="17"/>
          <w:b w:val="1"/>
          <w:bCs w:val="1"/>
          <w:color w:val="auto"/>
        </w:rPr>
      </w:pPr>
    </w:p>
    <w:p>
      <w:pPr>
        <w:ind w:left="2680" w:hanging="727"/>
        <w:spacing w:after="0"/>
        <w:tabs>
          <w:tab w:leader="none" w:pos="26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an audit of the Collateral, the results of which shall be satisfactory to Bank;</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establishment of the Bancontrol Account and lockbox arrangements; and</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such other documents, and completion of such other matters, as Bank may reasonably deem necessary or appropriate.</w:t>
      </w:r>
    </w:p>
    <w:p>
      <w:pPr>
        <w:spacing w:after="0" w:line="244"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Conditions Precedent to all Credit Extensions</w:t>
      </w:r>
      <w:r>
        <w:rPr>
          <w:rFonts w:ascii="Arial" w:cs="Arial" w:eastAsia="Arial" w:hAnsi="Arial"/>
          <w:sz w:val="16"/>
          <w:szCs w:val="16"/>
          <w:color w:val="auto"/>
        </w:rPr>
        <w:t>. The obligation of Bank to make each Credit Extension, including the initial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Extension, is further subject to the following conditions:</w:t>
      </w:r>
    </w:p>
    <w:p>
      <w:pPr>
        <w:spacing w:after="0" w:line="211" w:lineRule="exact"/>
        <w:rPr>
          <w:sz w:val="20"/>
          <w:szCs w:val="20"/>
          <w:color w:val="auto"/>
        </w:rPr>
      </w:pPr>
    </w:p>
    <w:p>
      <w:pPr>
        <w:ind w:left="5660" w:right="4240" w:hanging="3707"/>
        <w:spacing w:after="0" w:line="778" w:lineRule="auto"/>
        <w:tabs>
          <w:tab w:leader="none" w:pos="2619"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timely receipt by Bank of the notice as provided in Section 2.1;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both"/>
        <w:ind w:firstLine="1953"/>
        <w:spacing w:after="0" w:line="257" w:lineRule="auto"/>
        <w:tabs>
          <w:tab w:leader="none" w:pos="2628"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 5 shall be true and correct in all material respects on and as of the date of Borrower’s request for such Credit Extension and on the effective date of each Credit Extension as though made at and as of each such date, and no Event of Default shall have occurred and be continuing, or would exist after giving effect to such Credit Extension. The making of each Credit Extension shall be deemed to be a representation and warranty by Borrower on the date of such Credit Extension as to the accuracy of the representations and warranties contained in Section 5 in accordance with and subject to this Section 3.2(b); and</w:t>
      </w:r>
    </w:p>
    <w:p>
      <w:pPr>
        <w:spacing w:after="0" w:line="188" w:lineRule="exact"/>
        <w:rPr>
          <w:rFonts w:ascii="Arial" w:cs="Arial" w:eastAsia="Arial" w:hAnsi="Arial"/>
          <w:sz w:val="18"/>
          <w:szCs w:val="18"/>
          <w:b w:val="1"/>
          <w:bCs w:val="1"/>
          <w:color w:val="auto"/>
        </w:rPr>
      </w:pPr>
    </w:p>
    <w:p>
      <w:pPr>
        <w:jc w:val="both"/>
        <w:ind w:firstLine="1953"/>
        <w:spacing w:after="0" w:line="264" w:lineRule="auto"/>
        <w:tabs>
          <w:tab w:leader="none" w:pos="277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in Bank’s sole discretion, there has not been any material impairment in the Accounts, general affairs, management, results of operation, financial condition or the prospect of repayment of the Obligations, or there has not been any material adverse deviation by Borrower from the most recent business plan of Borrower presented to and accepted by Bank.</w:t>
      </w:r>
    </w:p>
    <w:p>
      <w:pPr>
        <w:spacing w:after="0" w:line="177" w:lineRule="exact"/>
        <w:rPr>
          <w:rFonts w:ascii="Arial" w:cs="Arial" w:eastAsia="Arial" w:hAnsi="Arial"/>
          <w:sz w:val="18"/>
          <w:szCs w:val="18"/>
          <w:b w:val="1"/>
          <w:bCs w:val="1"/>
          <w:color w:val="auto"/>
        </w:rPr>
      </w:pPr>
    </w:p>
    <w:p>
      <w:pPr>
        <w:ind w:left="1280" w:hanging="624"/>
        <w:spacing w:after="0"/>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4.1 Grant of Security Interest</w:t>
      </w:r>
      <w:r>
        <w:rPr>
          <w:rFonts w:ascii="Arial" w:cs="Arial" w:eastAsia="Arial" w:hAnsi="Arial"/>
          <w:sz w:val="17"/>
          <w:szCs w:val="17"/>
          <w:color w:val="auto"/>
        </w:rPr>
        <w:t>. Borrower grants and pledges to Bank a continuing security interest in all presently existing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acquired or arising Collateral in order to secure prompt repayment of any and all Obligations and in order to secure prompt performance by Borrower of each of its covenants and duties under the Loan Documents. Such security interest constitutes a valid, first priority security interest in the presently existing Collateral, and will constitute a valid, first priority security interest in Collateral acquired after the date hereof.</w:t>
      </w:r>
    </w:p>
    <w:p>
      <w:pPr>
        <w:spacing w:after="0" w:line="16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4.2 Delivery of Additional Documentation Required</w:t>
      </w:r>
      <w:r>
        <w:rPr>
          <w:rFonts w:ascii="Arial" w:cs="Arial" w:eastAsia="Arial" w:hAnsi="Arial"/>
          <w:sz w:val="18"/>
          <w:szCs w:val="18"/>
          <w:color w:val="auto"/>
        </w:rPr>
        <w:t>. Borrower shall from time to time execute and deliver to Bank, at the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of Bank, all Negotiable Collateral, all financing statements and other documents that Bank may reasonably request, in form satisfactory to Bank, to perfect and continue the perfection of Bank’s security interests in the Collateral and in order to fully consummate all of the transactions contemplated under the Loan Documents. Borrower from time to time may deposit with Bank specific time deposit accounts to secure specific Obligations. Borrower authorizes Bank to hold such balances in pledge and to decline to honor any drafts thereon or any request by Borrower or any other Person to pay or otherwise transfer any part of such balances for so long as the Obligations are outstanding.</w:t>
      </w:r>
    </w:p>
    <w:p>
      <w:pPr>
        <w:spacing w:after="0" w:line="18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4.3 Right to Inspect</w:t>
      </w:r>
      <w:r>
        <w:rPr>
          <w:rFonts w:ascii="Arial" w:cs="Arial" w:eastAsia="Arial" w:hAnsi="Arial"/>
          <w:sz w:val="18"/>
          <w:szCs w:val="18"/>
          <w:color w:val="auto"/>
        </w:rPr>
        <w:t>. Bank (through any of its officers, employees, or agents) shall have the right, upon reasonable prior notice,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during Borrower’s usual business hours but no more than twice a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w:t>
      </w:r>
    </w:p>
    <w:p>
      <w:pPr>
        <w:spacing w:after="0" w:line="18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color w:val="auto"/>
        </w:rPr>
        <w:t>4.4 Pledge of Shares</w:t>
      </w:r>
      <w:r>
        <w:rPr>
          <w:rFonts w:ascii="Arial" w:cs="Arial" w:eastAsia="Arial" w:hAnsi="Arial"/>
          <w:sz w:val="16"/>
          <w:szCs w:val="16"/>
          <w:color w:val="auto"/>
        </w:rPr>
        <w:t>. Borrower hereby pledges, assigns and grants to Bank, a security interest in all the Shares, together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to the extent not certificated as of the Closing Date, within ten (10) days of the certification of any Shares, the certificate or certificates for the Shares will be delivered to Bank,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of an Event of Default hereunder, Bank may effect the transfer of any securities included in the Collateral (including but not limited to the Shares) into the name of Bank and cause new (as applicable) certificates representing such securities to be issued in the name of Bank or its transferee. Borrower will execute and deliver such documents, and take or cause to be taken such actions, as Bank may reasonably request to perfect or continue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1280" w:hanging="624"/>
        <w:spacing w:after="0"/>
        <w:tabs>
          <w:tab w:leader="none" w:pos="12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5.1 Due Organization and Qualification</w:t>
      </w:r>
      <w:r>
        <w:rPr>
          <w:rFonts w:ascii="Arial" w:cs="Arial" w:eastAsia="Arial" w:hAnsi="Arial"/>
          <w:sz w:val="18"/>
          <w:szCs w:val="18"/>
          <w:color w:val="auto"/>
        </w:rPr>
        <w:t>. Borrower and each Subsidiary is a corporation duly existing under the laws of its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qualified and licensed to do business in any state in which the conduct of its business or its ownership of property requires that it be so qualified, except where the failure to so qualify or be licensed would not result in a Material Adverse Effect.</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5.2 Due Authorization; No Conflict</w:t>
      </w:r>
      <w:r>
        <w:rPr>
          <w:rFonts w:ascii="Arial" w:cs="Arial" w:eastAsia="Arial" w:hAnsi="Arial"/>
          <w:sz w:val="18"/>
          <w:szCs w:val="18"/>
          <w:color w:val="auto"/>
        </w:rPr>
        <w:t>. The execution, delivery, and performance of the Loan Documents are within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powers, have been duly authorized, and are not in conflict with nor constitute a breach of any provision contained in Borrower’s Articles of Incorporation or Bylaws, nor will they constitute a material default under any material agreement to which Borrower is a party or by which Borrower is bound. Borrower is not in material default under any material agreement to which it is a party or by which it is bound.</w:t>
      </w:r>
    </w:p>
    <w:p>
      <w:pPr>
        <w:spacing w:after="0" w:line="180"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No Prior Encumbrances</w:t>
      </w:r>
      <w:r>
        <w:rPr>
          <w:rFonts w:ascii="Arial" w:cs="Arial" w:eastAsia="Arial" w:hAnsi="Arial"/>
          <w:sz w:val="16"/>
          <w:szCs w:val="16"/>
          <w:color w:val="auto"/>
        </w:rPr>
        <w:t>. Borrower has good and marketable title to its property, free and clear of Liens, except for Permitted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5.4 Bona Fide Accounts</w:t>
      </w:r>
      <w:r>
        <w:rPr>
          <w:rFonts w:ascii="Arial" w:cs="Arial" w:eastAsia="Arial" w:hAnsi="Arial"/>
          <w:sz w:val="18"/>
          <w:szCs w:val="18"/>
          <w:color w:val="auto"/>
        </w:rPr>
        <w:t>. The Accounts included in any Borrowing Base Certificate are bona fide existing obligations.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Borrowing Base Certificate, Borrower has not received notice of actual or imminent Insolvency Proceeding of any account debtor for which the License and Transaction Revenue is included in any such Borrowing Base Certificate .</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5.5 Merchantable Inventory</w:t>
      </w:r>
      <w:r>
        <w:rPr>
          <w:rFonts w:ascii="Arial" w:cs="Arial" w:eastAsia="Arial" w:hAnsi="Arial"/>
          <w:sz w:val="18"/>
          <w:szCs w:val="18"/>
          <w:color w:val="auto"/>
        </w:rPr>
        <w:t>. All Inventory is in all material respects of good and marketable quality, free from all material defects,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Inventory for which adequate reserves have been made.</w:t>
      </w:r>
    </w:p>
    <w:p>
      <w:pPr>
        <w:spacing w:after="0" w:line="16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5.6 Intellectual Property</w:t>
      </w:r>
      <w:r>
        <w:rPr>
          <w:rFonts w:ascii="Arial" w:cs="Arial" w:eastAsia="Arial" w:hAnsi="Arial"/>
          <w:sz w:val="17"/>
          <w:szCs w:val="17"/>
          <w:color w:val="auto"/>
        </w:rPr>
        <w:t>. Borrower or its subsidiaries is the sole owner of the Intellectual Property, except for non-exclusive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by Borrower to its customers in the ordinary course of business. Each of the Patents is valid and enforceable, except where the failure to be so valid or enforceable would not result in a Material Adverse Effect, and no part of the Intellectual Property has been judged invalid or unenforceable, in whole or in part, and no claim has been made that any part of the Intellectual Property violates the rights of any third party, except where the failure to be so valid or enforceable or any such violation would not result in a Material Adverse Effect. Except as set forth in the Schedule, Borrower’s rights as a licensee of intellectual property do not give rise to more than five percent (5%) of its gross revenue in any given month, including without limitation revenue derived from the sale, licensing, rendering or disposition of any product or service.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both"/>
        <w:ind w:firstLine="1297"/>
        <w:spacing w:after="0" w:line="258" w:lineRule="auto"/>
        <w:rPr>
          <w:sz w:val="20"/>
          <w:szCs w:val="20"/>
          <w:color w:val="auto"/>
        </w:rPr>
      </w:pPr>
      <w:r>
        <w:rPr>
          <w:rFonts w:ascii="Arial" w:cs="Arial" w:eastAsia="Arial" w:hAnsi="Arial"/>
          <w:sz w:val="18"/>
          <w:szCs w:val="18"/>
          <w:b w:val="1"/>
          <w:bCs w:val="1"/>
          <w:color w:val="auto"/>
        </w:rPr>
        <w:t>5.7 Name; Location of Chief Executive Office</w:t>
      </w:r>
      <w:r>
        <w:rPr>
          <w:rFonts w:ascii="Arial" w:cs="Arial" w:eastAsia="Arial" w:hAnsi="Arial"/>
          <w:sz w:val="18"/>
          <w:szCs w:val="18"/>
          <w:color w:val="auto"/>
        </w:rPr>
        <w:t>. Except as disclosed in the Schedule, Borrower has not done business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name other than that specified on the signature page hereof; or, in the past five (5) years, changed its jurisdiction of formation, corporate structure, organizational type, or any organizational number assigned by its jurisdiction. The chief executive office of Borrower is located at the address indicated in Section 10 hereof or such other location of which Bank has been notified in accordance with Section 7.2. As of the Closing Date, all Borrower’s Inventory and Equipment is located only at the location set forth in Section 10 hereof.</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5.8 Litigation</w:t>
      </w:r>
      <w:r>
        <w:rPr>
          <w:rFonts w:ascii="Arial" w:cs="Arial" w:eastAsia="Arial" w:hAnsi="Arial"/>
          <w:sz w:val="18"/>
          <w:szCs w:val="18"/>
          <w:color w:val="auto"/>
        </w:rPr>
        <w:t>. Except as set forth in the Schedule or as may be reported to the Bank in accordance with Section 6.3(e), there are no</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actions or material proceedings pending by or against Borrower or any Subsidiary before any court or administrative agency.</w:t>
      </w:r>
    </w:p>
    <w:p>
      <w:pPr>
        <w:spacing w:after="0" w:line="16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5.9 No Material Adverse Change in Financial Statements</w:t>
      </w:r>
      <w:r>
        <w:rPr>
          <w:rFonts w:ascii="Arial" w:cs="Arial" w:eastAsia="Arial" w:hAnsi="Arial"/>
          <w:sz w:val="17"/>
          <w:szCs w:val="17"/>
          <w:color w:val="auto"/>
        </w:rPr>
        <w:t>. All consolidated and consolidating financial statements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any Subsidiary that Bank has received from Borrower fairly present in all material respects Borrower’s financial condition as of the date thereof and Borrower’s consolidated and consolidating results of operations for the period then ended. There has not been a material adverse change in the consolidated or the consolidating financial condition of Borrower since the date of the most recent of such financial statements submitted to Bank.</w:t>
      </w:r>
    </w:p>
    <w:p>
      <w:pPr>
        <w:spacing w:after="0" w:line="16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Solvency, Payment of Debts</w:t>
      </w:r>
      <w:r>
        <w:rPr>
          <w:rFonts w:ascii="Arial" w:cs="Arial" w:eastAsia="Arial" w:hAnsi="Arial"/>
          <w:sz w:val="16"/>
          <w:szCs w:val="16"/>
          <w:color w:val="auto"/>
        </w:rPr>
        <w:t>. Borrower is solvent and able to pay its debts (including trade debts) as they mature.</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5.11 Regulatory Compliance</w:t>
      </w:r>
      <w:r>
        <w:rPr>
          <w:rFonts w:ascii="Arial" w:cs="Arial" w:eastAsia="Arial" w:hAnsi="Arial"/>
          <w:sz w:val="17"/>
          <w:szCs w:val="17"/>
          <w:color w:val="auto"/>
        </w:rPr>
        <w:t>. Borrower and each Subsidiary have met the minimum funding requirements of ERISA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employee benefit plans subject to ERISA, and no event has occurred resulting from Borrower’s failure to comply with ERISA that could result in Borrower’s incurring any material liability.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and each Subsidiary have complied with all the provisions of the Federal Fair Labor Standards Act. Borrower and each Subsidiary have not violated any material statutes, laws, ordinances or rules applicable to it which would result in a Material Adverse Effect.</w:t>
      </w:r>
    </w:p>
    <w:p>
      <w:pPr>
        <w:spacing w:after="0" w:line="17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b w:val="1"/>
          <w:bCs w:val="1"/>
          <w:color w:val="auto"/>
        </w:rPr>
        <w:t>5.12 Environmental Condition</w:t>
      </w:r>
      <w:r>
        <w:rPr>
          <w:rFonts w:ascii="Arial" w:cs="Arial" w:eastAsia="Arial" w:hAnsi="Arial"/>
          <w:sz w:val="17"/>
          <w:szCs w:val="17"/>
          <w:color w:val="auto"/>
        </w:rPr>
        <w:t>. None of Borrower’s or any Subsidiary’s properties or assets has ever been used by Borrower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or, to the best of Borrower’s knowledge, by previous owners or operators, in the disposal of, or to produce, store, handle, treat, release, or transport, any hazardous waste or hazardous substance other than in accordance with applicable law; to the best of Borrower’s knowledge, none of Borrower’s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Borrower or any Subsidiary; and neither Borrower nor any Subsidiary has received a summons, citation, notice, or directive from the Environmental Protection Agency or any other federal, state or other governmental agency concerning any action or omission by Borrower or any Subsidiary resulting in the releasing, or otherwise disposing of hazardous waste or hazardous substances into the environment.</w:t>
      </w:r>
    </w:p>
    <w:p>
      <w:pPr>
        <w:spacing w:after="0" w:line="174"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5.13 Taxes</w:t>
      </w:r>
      <w:r>
        <w:rPr>
          <w:rFonts w:ascii="Arial" w:cs="Arial" w:eastAsia="Arial" w:hAnsi="Arial"/>
          <w:sz w:val="18"/>
          <w:szCs w:val="18"/>
          <w:color w:val="auto"/>
        </w:rPr>
        <w:t>. Borrower and each Subsidiary have filed or caused to be filed all material tax returns required to be filed, and have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have made adequate provision for the payment of, all material taxes reflected therein.</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5.14 Investments</w:t>
      </w:r>
      <w:r>
        <w:rPr>
          <w:rFonts w:ascii="Arial" w:cs="Arial" w:eastAsia="Arial" w:hAnsi="Arial"/>
          <w:sz w:val="18"/>
          <w:szCs w:val="18"/>
          <w:color w:val="auto"/>
        </w:rPr>
        <w:t>. Neither Borrower nor any Subsidiary owns any stock, partnership interest or other equity securities of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Permitted Investments.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both"/>
        <w:ind w:firstLine="1297"/>
        <w:spacing w:after="0" w:line="266" w:lineRule="auto"/>
        <w:rPr>
          <w:sz w:val="20"/>
          <w:szCs w:val="20"/>
          <w:color w:val="auto"/>
        </w:rPr>
      </w:pPr>
      <w:r>
        <w:rPr>
          <w:rFonts w:ascii="Arial" w:cs="Arial" w:eastAsia="Arial" w:hAnsi="Arial"/>
          <w:sz w:val="18"/>
          <w:szCs w:val="18"/>
          <w:b w:val="1"/>
          <w:bCs w:val="1"/>
          <w:color w:val="auto"/>
        </w:rPr>
        <w:t>5.15 Government Consents</w:t>
      </w:r>
      <w:r>
        <w:rPr>
          <w:rFonts w:ascii="Arial" w:cs="Arial" w:eastAsia="Arial" w:hAnsi="Arial"/>
          <w:sz w:val="18"/>
          <w:szCs w:val="18"/>
          <w:color w:val="auto"/>
        </w:rPr>
        <w:t>. Borrower and each Subsidiary have obtained all material consents, approvals and authorizations of, made</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declarations or filings with, and given all material notices to, all governmental authorities that are necessary for the continued operation of Borrower’s business as currently conducted.</w:t>
      </w:r>
    </w:p>
    <w:p>
      <w:pPr>
        <w:spacing w:after="0" w:line="176"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5.16 Operating, Depository and Investment Accounts</w:t>
      </w:r>
      <w:r>
        <w:rPr>
          <w:rFonts w:ascii="Arial" w:cs="Arial" w:eastAsia="Arial" w:hAnsi="Arial"/>
          <w:sz w:val="18"/>
          <w:szCs w:val="18"/>
          <w:color w:val="auto"/>
        </w:rPr>
        <w:t>. Except as permitted by Section 6.8, none of Borrower’s nor any Subsidiary’s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depository, operating, or investment account is maintained or invested with a Person other than Bank.</w:t>
      </w:r>
    </w:p>
    <w:p>
      <w:pPr>
        <w:spacing w:after="0" w:line="16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5.17 Shares</w:t>
      </w:r>
      <w:r>
        <w:rPr>
          <w:rFonts w:ascii="Arial" w:cs="Arial" w:eastAsia="Arial" w:hAnsi="Arial"/>
          <w:sz w:val="17"/>
          <w:szCs w:val="17"/>
          <w:color w:val="auto"/>
        </w:rPr>
        <w:t>. Borrower has full power and authority to create a first lien on the Shares and no disability or contractual obligation exists</w:t>
      </w:r>
      <w:r>
        <w:rPr>
          <w:rFonts w:ascii="Arial" w:cs="Arial" w:eastAsia="Arial" w:hAnsi="Arial"/>
          <w:sz w:val="17"/>
          <w:szCs w:val="17"/>
          <w:b w:val="1"/>
          <w:bCs w:val="1"/>
          <w:color w:val="auto"/>
        </w:rPr>
        <w:t xml:space="preserve"> </w:t>
      </w:r>
      <w:r>
        <w:rPr>
          <w:rFonts w:ascii="Arial" w:cs="Arial" w:eastAsia="Arial" w:hAnsi="Arial"/>
          <w:sz w:val="17"/>
          <w:szCs w:val="17"/>
          <w:color w:val="auto"/>
        </w:rPr>
        <w:t>that would prohibit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Borrower knows of no reasonable grounds for the institution of any such proceedings.</w:t>
      </w:r>
    </w:p>
    <w:p>
      <w:pPr>
        <w:spacing w:after="0" w:line="1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5.18 Full Disclosure</w:t>
      </w:r>
      <w:r>
        <w:rPr>
          <w:rFonts w:ascii="Arial" w:cs="Arial" w:eastAsia="Arial" w:hAnsi="Arial"/>
          <w:sz w:val="18"/>
          <w:szCs w:val="18"/>
          <w:color w:val="auto"/>
        </w:rPr>
        <w:t>. No representation, warranty or other statement made by Borrower in any certificate or written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to Bank contains any untrue statement of a material fact or omits to state a material fact necessary in order to make the statements contained in such certificates or statements not misleading.</w:t>
      </w:r>
    </w:p>
    <w:p>
      <w:pPr>
        <w:spacing w:after="0" w:line="176" w:lineRule="exact"/>
        <w:rPr>
          <w:sz w:val="20"/>
          <w:szCs w:val="20"/>
          <w:color w:val="auto"/>
        </w:rPr>
      </w:pPr>
    </w:p>
    <w:p>
      <w:pPr>
        <w:ind w:left="1280" w:hanging="624"/>
        <w:spacing w:after="0"/>
        <w:tabs>
          <w:tab w:leader="none" w:pos="12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6.1 Good Standing</w:t>
      </w:r>
      <w:r>
        <w:rPr>
          <w:rFonts w:ascii="Arial" w:cs="Arial" w:eastAsia="Arial" w:hAnsi="Arial"/>
          <w:sz w:val="18"/>
          <w:szCs w:val="18"/>
          <w:color w:val="auto"/>
        </w:rPr>
        <w:t>. Borrower shall maintain its and each of its Subsidiaries’ corporate existence and good standing in its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and maintain qualification in each jurisdiction in which it is required under applicable law, except where the failure to so qualify would result in a Material Adverse Effect. Borrower shall maintain, and shall cause each of its Subsidiaries to maintain, in force all licenses, approvals and agreements, the loss of which would reasonably be expected to have a Material Adverse Effect.</w:t>
      </w:r>
    </w:p>
    <w:p>
      <w:pPr>
        <w:spacing w:after="0" w:line="18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6.2 Government Compliance</w:t>
      </w:r>
      <w:r>
        <w:rPr>
          <w:rFonts w:ascii="Arial" w:cs="Arial" w:eastAsia="Arial" w:hAnsi="Arial"/>
          <w:sz w:val="17"/>
          <w:szCs w:val="17"/>
          <w:color w:val="auto"/>
        </w:rPr>
        <w:t>. Borrower shall meet, and shall cause each Subsidiary to meet, the minimum funding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ERISA with respect to any employee benefit plans subject to ERISA. Borrower shall comply, and shall cause each Subsidiary to comply, with all statutes, laws, ordinances and government rules and regulations to which it is subject, noncompliance with which could have a Material Adverse Effect.</w:t>
      </w:r>
    </w:p>
    <w:p>
      <w:pPr>
        <w:spacing w:after="0" w:line="15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Borrower shall deliver the following to Bank:</w:t>
      </w:r>
    </w:p>
    <w:p>
      <w:pPr>
        <w:spacing w:after="0" w:line="229" w:lineRule="exact"/>
        <w:rPr>
          <w:sz w:val="20"/>
          <w:szCs w:val="20"/>
          <w:color w:val="auto"/>
        </w:rPr>
      </w:pPr>
    </w:p>
    <w:p>
      <w:pPr>
        <w:ind w:firstLine="1953"/>
        <w:spacing w:after="0" w:line="277" w:lineRule="auto"/>
        <w:tabs>
          <w:tab w:leader="none" w:pos="2767"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within twenty-five (25) days after the last day of each month, a Borrowing Base Certificate signed by a Responsible Officer in substantially the form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 together with a report of accounts receivable and accounts payable aging;</w:t>
      </w:r>
    </w:p>
    <w:p>
      <w:pPr>
        <w:spacing w:after="0" w:line="170" w:lineRule="exact"/>
        <w:rPr>
          <w:rFonts w:ascii="Arial" w:cs="Arial" w:eastAsia="Arial" w:hAnsi="Arial"/>
          <w:sz w:val="18"/>
          <w:szCs w:val="18"/>
          <w:b w:val="1"/>
          <w:bCs w:val="1"/>
          <w:color w:val="auto"/>
        </w:rPr>
      </w:pPr>
    </w:p>
    <w:p>
      <w:pPr>
        <w:jc w:val="both"/>
        <w:ind w:firstLine="1953"/>
        <w:spacing w:after="0" w:line="259" w:lineRule="auto"/>
        <w:tabs>
          <w:tab w:leader="none" w:pos="283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as soon as available, but in any event within fifty (50) days after the end of Borrower’s fiscal quarter, a Borrower prepared consolidated balance sheet, income, and cash flow statement covering Borrower’s consolidated operations during such quarter, prepared in accordance with GAAP, consistently applied, in a form acceptable to Bank, together with a churn report in form satisfactory to Bank, and a Compliance Certificate signed by a Responsible Officer in substantially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both"/>
        <w:ind w:firstLine="1953"/>
        <w:spacing w:after="0" w:line="264" w:lineRule="auto"/>
        <w:tabs>
          <w:tab w:leader="none" w:pos="277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one hundred twenty (120) days after the end of Borrower’s fiscal year, audited consolidated financial statements of Borrower prepared in accordance with GAAP, consistently applied, together with an unqualified opinion on such financial statements of an independent certified public accounting firm reasonably acceptable to Bank;</w:t>
      </w:r>
    </w:p>
    <w:p>
      <w:pPr>
        <w:spacing w:after="0" w:line="181" w:lineRule="exact"/>
        <w:rPr>
          <w:rFonts w:ascii="Arial" w:cs="Arial" w:eastAsia="Arial" w:hAnsi="Arial"/>
          <w:sz w:val="18"/>
          <w:szCs w:val="18"/>
          <w:b w:val="1"/>
          <w:bCs w:val="1"/>
          <w:color w:val="auto"/>
        </w:rPr>
      </w:pPr>
    </w:p>
    <w:p>
      <w:pPr>
        <w:ind w:firstLine="1953"/>
        <w:spacing w:after="0" w:line="308" w:lineRule="auto"/>
        <w:tabs>
          <w:tab w:leader="none" w:pos="2628"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copies of all statements, reports and notices sent or made available generally by Borrower to its security holders or to any holders of Subordinated Debt and all reports on Forms 10-K and 10-Q filed with the Securities and Exchange Commission, within 5 days of filing;</w:t>
      </w:r>
    </w:p>
    <w:p>
      <w:pPr>
        <w:spacing w:after="0" w:line="146" w:lineRule="exact"/>
        <w:rPr>
          <w:rFonts w:ascii="Arial" w:cs="Arial" w:eastAsia="Arial" w:hAnsi="Arial"/>
          <w:sz w:val="17"/>
          <w:szCs w:val="17"/>
          <w:b w:val="1"/>
          <w:bCs w:val="1"/>
          <w:color w:val="auto"/>
        </w:rPr>
      </w:pPr>
    </w:p>
    <w:p>
      <w:pPr>
        <w:jc w:val="both"/>
        <w:ind w:firstLine="1953"/>
        <w:spacing w:after="0" w:line="264" w:lineRule="auto"/>
        <w:tabs>
          <w:tab w:leader="none" w:pos="2757"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promptly upon receipt of notice thereof, a report of any legal actions pending or threatened against Borrower or any Subsidiary that could result in damages or costs to Borrower or any Subsidiary of *** Dollars ($***) or more, or any commercial tort claim (as defined in the Code) acquired by Borrower;</w:t>
      </w:r>
    </w:p>
    <w:p>
      <w:pPr>
        <w:spacing w:after="0" w:line="181" w:lineRule="exact"/>
        <w:rPr>
          <w:rFonts w:ascii="Arial" w:cs="Arial" w:eastAsia="Arial" w:hAnsi="Arial"/>
          <w:sz w:val="18"/>
          <w:szCs w:val="18"/>
          <w:b w:val="1"/>
          <w:bCs w:val="1"/>
          <w:color w:val="auto"/>
        </w:rPr>
      </w:pPr>
    </w:p>
    <w:p>
      <w:pPr>
        <w:ind w:left="2580" w:hanging="627"/>
        <w:spacing w:after="0"/>
        <w:tabs>
          <w:tab w:leader="none" w:pos="258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 copy of bank statements for any accounts not with Bank, within 30 days after the last day of each month; and</w:t>
      </w:r>
    </w:p>
    <w:p>
      <w:pPr>
        <w:spacing w:after="0" w:line="225" w:lineRule="exact"/>
        <w:rPr>
          <w:rFonts w:ascii="Arial" w:cs="Arial" w:eastAsia="Arial" w:hAnsi="Arial"/>
          <w:sz w:val="18"/>
          <w:szCs w:val="18"/>
          <w:b w:val="1"/>
          <w:bCs w:val="1"/>
          <w:color w:val="auto"/>
        </w:rPr>
      </w:pPr>
    </w:p>
    <w:p>
      <w:pPr>
        <w:ind w:firstLine="1953"/>
        <w:spacing w:after="0" w:line="277" w:lineRule="auto"/>
        <w:tabs>
          <w:tab w:leader="none" w:pos="2929"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such budgets, sales projections, operating plans, other financial information including information related to the verification of Borrower’s Accounts as Bank may reasonably request from time to time.</w:t>
      </w:r>
    </w:p>
    <w:p>
      <w:pPr>
        <w:spacing w:after="0" w:line="166"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b w:val="1"/>
          <w:bCs w:val="1"/>
          <w:color w:val="auto"/>
        </w:rPr>
        <w:t xml:space="preserve">6.4 Audits. </w:t>
      </w:r>
      <w:r>
        <w:rPr>
          <w:rFonts w:ascii="Arial" w:cs="Arial" w:eastAsia="Arial" w:hAnsi="Arial"/>
          <w:sz w:val="16"/>
          <w:szCs w:val="16"/>
          <w:color w:val="auto"/>
        </w:rPr>
        <w:t>Bank shall have a right from time to time hereafter to audit Borrower’s Accounts and appraise Collateral at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provided that such audits will be conducted no more often than every six (6) months unless an Event of Default has occurred and is continuing.</w:t>
      </w:r>
    </w:p>
    <w:p>
      <w:pPr>
        <w:spacing w:after="0" w:line="11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6.5 Inventory; Returns</w:t>
      </w:r>
      <w:r>
        <w:rPr>
          <w:rFonts w:ascii="Arial" w:cs="Arial" w:eastAsia="Arial" w:hAnsi="Arial"/>
          <w:sz w:val="18"/>
          <w:szCs w:val="18"/>
          <w:color w:val="auto"/>
        </w:rPr>
        <w:t>. Borrower shall keep all Inventory in good and marketable condition, free from all material defects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for which adequate reserves have been made. Returns and allowances, if any, as between Borrower and its account debtors shall be on the same basis and in accordance with the usual customary practices of Borrower, as they exist at the time of the execution and delivery of this Agreement. Borrower shall promptly notify Bank of all returns and recoveries and of all disputes and claims, where the return, recovery, dispute or claim involves more than *** Dollars ($***).</w:t>
      </w:r>
    </w:p>
    <w:p>
      <w:pPr>
        <w:spacing w:after="0" w:line="18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6.6 Taxes</w:t>
      </w:r>
      <w:r>
        <w:rPr>
          <w:rFonts w:ascii="Arial" w:cs="Arial" w:eastAsia="Arial" w:hAnsi="Arial"/>
          <w:sz w:val="17"/>
          <w:szCs w:val="17"/>
          <w:color w:val="auto"/>
        </w:rPr>
        <w:t>. Borrower shall make, and shall cause each Subsidiary to make, due and timely payment or deposit of all material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and local taxes, assessments, or contributions required of it by law, and will execute and deliver to Bank, on demand, appropriate certificates attesting to the payment or deposit thereof; and Borrower will make, and will cause each Subsidiary to make, timely payment or deposit of all material tax payments and withholding taxes required of it by applicable laws, including, but not limited to, those laws concerning F.I.C.A., F.U.T.A., state disability, and local, state, and federal income taxes, and will, upon request, furnish Bank with proof satisfactory to Bank indicating that Borrower or a Subsidiary has made such payments or deposits; provided that Borrower or a Subsidiary need not make any payment if the amount or validity of such payment is contested in good faith by appropriate proceedings and is reserved against (to the extent required by GAAP) by Borrower.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ind w:left="1300"/>
        <w:spacing w:after="0"/>
        <w:tabs>
          <w:tab w:leader="none" w:pos="19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59" w:lineRule="auto"/>
        <w:tabs>
          <w:tab w:leader="none" w:pos="2632"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Borrower shall also maintain insurance relating to Borrower’s business, ownership and use of the Collateral in amounts and of a type that are customary to businesses similar to Borrower’s.</w:t>
      </w:r>
    </w:p>
    <w:p>
      <w:pPr>
        <w:spacing w:after="0" w:line="186" w:lineRule="exact"/>
        <w:rPr>
          <w:rFonts w:ascii="Arial" w:cs="Arial" w:eastAsia="Arial" w:hAnsi="Arial"/>
          <w:sz w:val="18"/>
          <w:szCs w:val="18"/>
          <w:b w:val="1"/>
          <w:bCs w:val="1"/>
          <w:color w:val="auto"/>
        </w:rPr>
      </w:pPr>
    </w:p>
    <w:p>
      <w:pPr>
        <w:jc w:val="both"/>
        <w:ind w:firstLine="1953"/>
        <w:spacing w:after="0" w:line="255" w:lineRule="auto"/>
        <w:tabs>
          <w:tab w:leader="none" w:pos="283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All such policies of insurance shall be in such form, with such companies, and in such amounts as are reasonably satisfactory to Bank. All such policies of property insurance shall contain a lender’s loss payable endorsement, in a form satisfactory to Bank, showing Bank as an additional loss payee thereof, and all liability insurance policies shall show the Bank as an additional insured and shall specify that the insurer must give at least twenty (20) days notice to Bank before canceling its policy for any reason. Upon Bank’s request, Borrower shall deliver to Bank certified copies of such policies of insurance and evidence of the payments of all premiums therefor. All proceeds payable under any such policy shall, at the option of Bank, be payable to Bank to be applied on account of the Obligations.</w:t>
      </w:r>
    </w:p>
    <w:p>
      <w:pPr>
        <w:spacing w:after="0" w:line="18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6.8 Operating, Depository and Investment Accounts</w:t>
      </w:r>
      <w:r>
        <w:rPr>
          <w:rFonts w:ascii="Arial" w:cs="Arial" w:eastAsia="Arial" w:hAnsi="Arial"/>
          <w:sz w:val="18"/>
          <w:szCs w:val="18"/>
          <w:color w:val="auto"/>
        </w:rPr>
        <w:t>. Borrower shall maintain and shall cause each of its Subsidiaries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its primary depository, operating, and investment accounts with JP Morgan Chase Bank in accordance with its current practice provided each such account is subject to a Control Agreement in favor of Bank in form acceptable to Bank. For each other account that Borrower maintains outside of Bank, Borrower shall cause the applicable bank or financial institution at or with which any such account is maintained to execute and deliver an account control agreement or other appropriate instrument in form and substance satisfactory to Bank. Within forty-five (45) days of the Closing Date, Borrower will open an operating and Bancontrol account with Bank.</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Financial Covenants.</w:t>
      </w:r>
    </w:p>
    <w:p>
      <w:pPr>
        <w:spacing w:after="0" w:line="225" w:lineRule="exact"/>
        <w:rPr>
          <w:sz w:val="20"/>
          <w:szCs w:val="20"/>
          <w:color w:val="auto"/>
        </w:rPr>
      </w:pPr>
    </w:p>
    <w:p>
      <w:pPr>
        <w:jc w:val="both"/>
        <w:ind w:firstLine="1953"/>
        <w:spacing w:after="0" w:line="293" w:lineRule="auto"/>
        <w:tabs>
          <w:tab w:leader="none" w:pos="2661"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Maximum Churn Rate. </w:t>
      </w:r>
      <w:r>
        <w:rPr>
          <w:rFonts w:ascii="Arial" w:cs="Arial" w:eastAsia="Arial" w:hAnsi="Arial"/>
          <w:sz w:val="16"/>
          <w:szCs w:val="16"/>
          <w:color w:val="auto"/>
        </w:rPr>
        <w:t>Borrower’s number of connections as at the end of each fiscal quarter shall not decrease (i) by</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five percent (5%) as compared to Borrower’s number of connections as at the end of the immediately preceding fiscal quarter, or (ii) below ***</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connections.</w:t>
      </w:r>
    </w:p>
    <w:p>
      <w:pPr>
        <w:spacing w:after="0" w:line="206" w:lineRule="exact"/>
        <w:rPr>
          <w:rFonts w:ascii="Arial" w:cs="Arial" w:eastAsia="Arial" w:hAnsi="Arial"/>
          <w:sz w:val="16"/>
          <w:szCs w:val="16"/>
          <w:b w:val="1"/>
          <w:bCs w:val="1"/>
          <w:color w:val="auto"/>
        </w:rPr>
      </w:pPr>
    </w:p>
    <w:p>
      <w:pPr>
        <w:ind w:left="2620" w:hanging="667"/>
        <w:spacing w:after="0"/>
        <w:tabs>
          <w:tab w:leader="none" w:pos="26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Minimum Adjusted EBITDA. </w:t>
      </w:r>
      <w:r>
        <w:rPr>
          <w:rFonts w:ascii="Arial" w:cs="Arial" w:eastAsia="Arial" w:hAnsi="Arial"/>
          <w:sz w:val="16"/>
          <w:szCs w:val="16"/>
          <w:color w:val="auto"/>
        </w:rPr>
        <w:t>Borrower shall maintain quarterly Adjusted EBITDA, as set forth below, tested quarterly: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Quarterly Period ending</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Minimum Adjusted EBITDA</w:t>
            </w: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rPr>
              <w:t>March 31, 2016</w:t>
            </w:r>
          </w:p>
        </w:tc>
        <w:tc>
          <w:tcPr>
            <w:tcW w:w="6740" w:type="dxa"/>
            <w:vAlign w:val="bottom"/>
            <w:gridSpan w:val="3"/>
          </w:tcPr>
          <w:p>
            <w:pPr>
              <w:jc w:val="right"/>
              <w:ind w:right="5150"/>
              <w:spacing w:after="0"/>
              <w:rPr>
                <w:sz w:val="20"/>
                <w:szCs w:val="20"/>
                <w:color w:val="auto"/>
              </w:rPr>
            </w:pPr>
            <w:r>
              <w:rPr>
                <w:rFonts w:ascii="Arial" w:cs="Arial" w:eastAsia="Arial" w:hAnsi="Arial"/>
                <w:sz w:val="18"/>
                <w:szCs w:val="18"/>
                <w:color w:val="auto"/>
              </w:rPr>
              <w:t>$***</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June 30, 2016</w:t>
            </w:r>
          </w:p>
        </w:tc>
        <w:tc>
          <w:tcPr>
            <w:tcW w:w="6740" w:type="dxa"/>
            <w:vAlign w:val="bottom"/>
            <w:gridSpan w:val="3"/>
          </w:tcPr>
          <w:p>
            <w:pPr>
              <w:jc w:val="right"/>
              <w:ind w:right="5150"/>
              <w:spacing w:after="0"/>
              <w:rPr>
                <w:sz w:val="20"/>
                <w:szCs w:val="20"/>
                <w:color w:val="auto"/>
              </w:rPr>
            </w:pPr>
            <w:r>
              <w:rPr>
                <w:rFonts w:ascii="Arial" w:cs="Arial" w:eastAsia="Arial" w:hAnsi="Arial"/>
                <w:sz w:val="18"/>
                <w:szCs w:val="18"/>
                <w:color w:val="auto"/>
              </w:rPr>
              <w:t>$***</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December 31, 2016</w:t>
            </w:r>
          </w:p>
        </w:tc>
        <w:tc>
          <w:tcPr>
            <w:tcW w:w="6740" w:type="dxa"/>
            <w:vAlign w:val="bottom"/>
            <w:gridSpan w:val="3"/>
          </w:tcPr>
          <w:p>
            <w:pPr>
              <w:jc w:val="right"/>
              <w:ind w:right="5150"/>
              <w:spacing w:after="0"/>
              <w:rPr>
                <w:sz w:val="20"/>
                <w:szCs w:val="20"/>
                <w:color w:val="auto"/>
              </w:rPr>
            </w:pPr>
            <w:r>
              <w:rPr>
                <w:rFonts w:ascii="Arial" w:cs="Arial" w:eastAsia="Arial" w:hAnsi="Arial"/>
                <w:sz w:val="18"/>
                <w:szCs w:val="18"/>
                <w:color w:val="auto"/>
              </w:rPr>
              <w:t>$***</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March 31, 2017</w:t>
            </w:r>
          </w:p>
        </w:tc>
        <w:tc>
          <w:tcPr>
            <w:tcW w:w="6740" w:type="dxa"/>
            <w:vAlign w:val="bottom"/>
            <w:gridSpan w:val="3"/>
          </w:tcPr>
          <w:p>
            <w:pPr>
              <w:jc w:val="right"/>
              <w:ind w:right="5150"/>
              <w:spacing w:after="0"/>
              <w:rPr>
                <w:sz w:val="20"/>
                <w:szCs w:val="20"/>
                <w:color w:val="auto"/>
              </w:rPr>
            </w:pPr>
            <w:r>
              <w:rPr>
                <w:rFonts w:ascii="Arial" w:cs="Arial" w:eastAsia="Arial" w:hAnsi="Arial"/>
                <w:sz w:val="18"/>
                <w:szCs w:val="18"/>
                <w:color w:val="auto"/>
              </w:rPr>
              <w:t>$***</w:t>
            </w:r>
          </w:p>
        </w:tc>
      </w:tr>
      <w:tr>
        <w:trPr>
          <w:trHeight w:val="648"/>
        </w:trPr>
        <w:tc>
          <w:tcPr>
            <w:tcW w:w="4680" w:type="dxa"/>
            <w:vAlign w:val="bottom"/>
            <w:tcBorders>
              <w:bottom w:val="single" w:sz="8" w:color="DCDCDC"/>
            </w:tcBorders>
          </w:tcPr>
          <w:p>
            <w:pPr>
              <w:spacing w:after="0"/>
              <w:rPr>
                <w:sz w:val="24"/>
                <w:szCs w:val="24"/>
                <w:color w:val="auto"/>
              </w:rPr>
            </w:pPr>
          </w:p>
        </w:tc>
        <w:tc>
          <w:tcPr>
            <w:tcW w:w="6740" w:type="dxa"/>
            <w:vAlign w:val="bottom"/>
            <w:tcBorders>
              <w:bottom w:val="single" w:sz="8" w:color="DCDCDC"/>
            </w:tcBorders>
            <w:gridSpan w:val="3"/>
          </w:tcPr>
          <w:p>
            <w:pPr>
              <w:jc w:val="right"/>
              <w:ind w:right="549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904" w:right="239" w:bottom="1440" w:gutter="0" w:footer="0" w:header="0"/>
        </w:sectPr>
      </w:pPr>
    </w:p>
    <w:bookmarkStart w:id="114" w:name="page115"/>
    <w:bookmarkEnd w:id="114"/>
    <w:p>
      <w:pPr>
        <w:ind w:left="1300"/>
        <w:spacing w:after="0"/>
        <w:tabs>
          <w:tab w:leader="none" w:pos="19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64" w:lineRule="auto"/>
        <w:tabs>
          <w:tab w:leader="none" w:pos="2753"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Use commercially reasonable efforts to protect, defend and maintain the validity and enforceability of its Intellectual Property that is material to its business; (ii) promptly advise Bank in writing of material infringements of its Intellectual Property; and (iii) not allow any Intellectual Property material to Borrower’s business to be abandoned, forfeited or dedicated to the public.</w:t>
      </w:r>
    </w:p>
    <w:p>
      <w:pPr>
        <w:spacing w:after="0" w:line="181" w:lineRule="exact"/>
        <w:rPr>
          <w:rFonts w:ascii="Arial" w:cs="Arial" w:eastAsia="Arial" w:hAnsi="Arial"/>
          <w:sz w:val="18"/>
          <w:szCs w:val="18"/>
          <w:b w:val="1"/>
          <w:bCs w:val="1"/>
          <w:color w:val="auto"/>
        </w:rPr>
      </w:pPr>
    </w:p>
    <w:p>
      <w:pPr>
        <w:jc w:val="both"/>
        <w:ind w:firstLine="1953"/>
        <w:spacing w:after="0" w:line="253" w:lineRule="auto"/>
        <w:tabs>
          <w:tab w:leader="none" w:pos="265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 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and (ii) prior to the filing of any such applications or registrations, shall execute such documents as Bank may reasonably request for Bank to maintain its perfection in such intellectual property rights to be registered by Borrower, and upon the request of Bank, shall file such documents simultaneously with the filing of any such applications or registrations. Upon filing any such applications or registrations with the United States Copyright Office, Borrower shall promptly provide Bank with (i) a copy of such applications or registrations, without the exhibits, if any, thereto, (ii) evidence of the filing of any documents requested by Bank to be filed for Bank to maintain the perfection and priority of its security interest in such intellectual property rights, and (iii) the date of such filing.</w:t>
      </w:r>
    </w:p>
    <w:p>
      <w:pPr>
        <w:spacing w:after="0" w:line="194" w:lineRule="exact"/>
        <w:rPr>
          <w:rFonts w:ascii="Arial" w:cs="Arial" w:eastAsia="Arial" w:hAnsi="Arial"/>
          <w:sz w:val="18"/>
          <w:szCs w:val="18"/>
          <w:b w:val="1"/>
          <w:bCs w:val="1"/>
          <w:color w:val="auto"/>
        </w:rPr>
      </w:pPr>
    </w:p>
    <w:p>
      <w:pPr>
        <w:jc w:val="both"/>
        <w:ind w:firstLine="1953"/>
        <w:spacing w:after="0" w:line="257" w:lineRule="auto"/>
        <w:tabs>
          <w:tab w:leader="none" w:pos="2689"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Bank may audit Borrower's Intellectual Property to confirm compliance with this Section, provided such audit may not occur more often than twice per year, unless an Event of Default has occurred and is continuing. Bank shall have the right, but not the obligation, to take, at Borrower's sole expense, any actions that Borrower is required under this Section to take but which Borrower fails to take, after 15 days' notice to Borrower. Borrower shall reimburse and indemnify Bank for all reasonable costs and reasonable expenses incurred in the reasonable exercise of its rights under this Section.</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6.11 Further Assurances</w:t>
      </w:r>
      <w:r>
        <w:rPr>
          <w:rFonts w:ascii="Arial" w:cs="Arial" w:eastAsia="Arial" w:hAnsi="Arial"/>
          <w:sz w:val="18"/>
          <w:szCs w:val="18"/>
          <w:color w:val="auto"/>
        </w:rPr>
        <w:t>. At any time and from time to time Borrower shall execute and deliver such further instruments and take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action as may reasonably be requested by Bank to effect the purposes of this Agreement.</w:t>
      </w:r>
    </w:p>
    <w:p>
      <w:pPr>
        <w:spacing w:after="0" w:line="16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6.12 Landlord Waivers</w:t>
      </w:r>
      <w:r>
        <w:rPr>
          <w:rFonts w:ascii="Arial" w:cs="Arial" w:eastAsia="Arial" w:hAnsi="Arial"/>
          <w:sz w:val="17"/>
          <w:szCs w:val="17"/>
          <w:color w:val="auto"/>
        </w:rPr>
        <w:t>. Borrower shall use commercially reasonable efforts to deliver to Bank landlord waivers in respect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at 100 Deerfield Lane, Suite 140, Malvern, Pennsylvania, 3103 Phoenixville Pike, Malvern, Pennsylvania, and 309 SW Sixth Avenue, Suite 700, Portland, Oregon. In the event that Borrower, after the Closing Date, intends to add any new offices or business locations, then Borrower shall use commercially reasonable efforts to deliver to Bank a landlord waiver prior to the addition of any such new office or business location.</w:t>
      </w:r>
    </w:p>
    <w:p>
      <w:pPr>
        <w:spacing w:after="0" w:line="165" w:lineRule="exact"/>
        <w:rPr>
          <w:sz w:val="20"/>
          <w:szCs w:val="20"/>
          <w:color w:val="auto"/>
        </w:rPr>
      </w:pPr>
    </w:p>
    <w:p>
      <w:pPr>
        <w:ind w:left="1280" w:hanging="624"/>
        <w:spacing w:after="0"/>
        <w:tabs>
          <w:tab w:leader="none" w:pos="12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will not do any of the following:</w:t>
      </w:r>
    </w:p>
    <w:p>
      <w:pPr>
        <w:spacing w:after="0" w:line="22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or otherwise dispose of (collectively, a “Transfer”), or permit any of its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all or any part of its business or property, other than: (i) Transfers of Inventory or Equipment in the ordinary course of business; (ii) Transfers of non-exclusive licenses and similar arrangements for the use of the assets or property of Borrower or its Subsidiaries in the ordinary course of business; or</w:t>
      </w:r>
    </w:p>
    <w:p>
      <w:pPr>
        <w:spacing w:after="0" w:line="2" w:lineRule="exact"/>
        <w:rPr>
          <w:sz w:val="20"/>
          <w:szCs w:val="20"/>
          <w:color w:val="auto"/>
        </w:rPr>
      </w:pPr>
    </w:p>
    <w:p>
      <w:pPr>
        <w:ind w:left="5600" w:right="2160" w:hanging="5592"/>
        <w:spacing w:after="0" w:line="762" w:lineRule="auto"/>
        <w:tabs>
          <w:tab w:leader="none" w:pos="3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Transfers of worn-out or obsolete Equipment or Equipment no longer used in the business which was not financed by Bank.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both"/>
        <w:ind w:firstLine="1297"/>
        <w:spacing w:after="0" w:line="256" w:lineRule="auto"/>
        <w:rPr>
          <w:sz w:val="20"/>
          <w:szCs w:val="20"/>
          <w:color w:val="auto"/>
        </w:rPr>
      </w:pPr>
      <w:r>
        <w:rPr>
          <w:rFonts w:ascii="Arial" w:cs="Arial" w:eastAsia="Arial" w:hAnsi="Arial"/>
          <w:sz w:val="18"/>
          <w:szCs w:val="18"/>
          <w:b w:val="1"/>
          <w:bCs w:val="1"/>
          <w:color w:val="auto"/>
        </w:rPr>
        <w:t>7.2 Change in Business; Change in Control or Executive Office</w:t>
      </w:r>
      <w:r>
        <w:rPr>
          <w:rFonts w:ascii="Arial" w:cs="Arial" w:eastAsia="Arial" w:hAnsi="Arial"/>
          <w:sz w:val="18"/>
          <w:szCs w:val="18"/>
          <w:color w:val="auto"/>
        </w:rPr>
        <w:t>. Engage in any business,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any business, other than the businesses currently engaged in by Borrower and any business substantially similar or related thereto (or incidental thereto); experience a change in a Responsible Officer without providing Bank with notice of such change within five (5) days, or cease to conduct business in the manner conducted by Borrower as of the Closing Date; or suffer or permit a Change in Control; or without thirty (30) days prior written notification to Bank, relocate its chief executive office or state of incorporation or change its legal name; or without Bank’s prior written consent, change the date on which its fiscal year ends.</w:t>
      </w:r>
    </w:p>
    <w:p>
      <w:pPr>
        <w:spacing w:after="0" w:line="188"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or into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organization, or acquire, or permit any of its Subsidiaries to acquire, all or substantially all of the capital stock or property of another Person.</w:t>
      </w:r>
    </w:p>
    <w:p>
      <w:pPr>
        <w:spacing w:after="0" w:line="138"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7.4 Indebtedness</w:t>
      </w:r>
      <w:r>
        <w:rPr>
          <w:rFonts w:ascii="Arial" w:cs="Arial" w:eastAsia="Arial" w:hAnsi="Arial"/>
          <w:sz w:val="18"/>
          <w:szCs w:val="18"/>
          <w:color w:val="auto"/>
        </w:rPr>
        <w:t>. Create, incur, guarantee, assume or be or remain liable with respect to any Indebtedness, or permit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so to do, other than Permitted Indebtedness.</w:t>
      </w:r>
    </w:p>
    <w:p>
      <w:pPr>
        <w:spacing w:after="0" w:line="162"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7.5 Encumbrances</w:t>
      </w:r>
      <w:r>
        <w:rPr>
          <w:rFonts w:ascii="Arial" w:cs="Arial" w:eastAsia="Arial" w:hAnsi="Arial"/>
          <w:sz w:val="16"/>
          <w:szCs w:val="16"/>
          <w:color w:val="auto"/>
        </w:rPr>
        <w:t>. Create, incur, assume or suffer to exist any Lien with respect to any of its property, or assign or otherwise convey</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to receive income, including the sale of any Accounts, or permit any of its Subsidiaries so to do, except for Permitted Liens, or enter into any agreement with any Person other than Bank not to grant a security interest in, or otherwise encumber, any of its property, or permit any Subsidiary to do so.</w:t>
      </w:r>
    </w:p>
    <w:p>
      <w:pPr>
        <w:spacing w:after="0" w:line="14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7.6 Distributions</w:t>
      </w:r>
      <w:r>
        <w:rPr>
          <w:rFonts w:ascii="Arial" w:cs="Arial" w:eastAsia="Arial" w:hAnsi="Arial"/>
          <w:sz w:val="17"/>
          <w:szCs w:val="17"/>
          <w:color w:val="auto"/>
        </w:rPr>
        <w:t>. Pay any dividends or make any other distribution or payment on account of or in redemption, retirement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of any capital stock, or permit any of its Subsidiaries to do so, except that Borrower may repurchase the stock of former employees pursuant to stock repurchase agreements as long as an Event of Default does not exist prior to such repurchase or would not exist after giving effect to such repurchase, and the aggregate amount of such repurchase does not exceed $*** in any fiscal year, and Borrower may convert its preferred stock and any unpaid and accrued dividends thereon into common stock pursuant to its Articles of Incorporation, and Borrower may purchase or cancel shares of common stock of Borrower owned by its employees in satisfaction of withholding tax obligations relating to such employees.</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7.7 Investments</w:t>
      </w:r>
      <w:r>
        <w:rPr>
          <w:rFonts w:ascii="Arial" w:cs="Arial" w:eastAsia="Arial" w:hAnsi="Arial"/>
          <w:sz w:val="18"/>
          <w:szCs w:val="18"/>
          <w:color w:val="auto"/>
        </w:rPr>
        <w:t>. Directly or indirectly acquire or own, or make any Investment in or to any Person, or permit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so to do, other than Permitted Investments; or other than Permitted Investments, maintain or invest any of its Investment property with a Person other than Bank or permit any of its Subsidiaries to do so unless such Person has entered into an account control agreement with Bank in form and substance satisfactory to Bank; or suffer or permit any Subsidiary to be a party to, or be bound by, an agreement that restricts such Subsidiary from paying dividends or otherwise distributing property to Borrower.</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except for transactions that are in the ordinary course of Borrower’s business, upon fair and reasonable terms that are no less favorable to Borrower than would be obtained in an arm’s length transaction with a non-affiliated Person, or except for any compensation arrangements with any Affiliate, including any compensation paid to the directors of Borrower.</w:t>
      </w:r>
    </w:p>
    <w:p>
      <w:pPr>
        <w:spacing w:after="0" w:line="18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Make any payment in respect of any Subordinated Debt, or permit any of its Subsidiaries to make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except in compliance with the terms of such Subordinated Debt, or amend any provision contained in any documentation relating to the Subordinated Debt without Bank’s prior written consent.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both"/>
        <w:ind w:firstLine="1297"/>
        <w:spacing w:after="0" w:line="258" w:lineRule="auto"/>
        <w:rPr>
          <w:sz w:val="20"/>
          <w:szCs w:val="20"/>
          <w:color w:val="auto"/>
        </w:rPr>
      </w:pPr>
      <w:r>
        <w:rPr>
          <w:rFonts w:ascii="Arial" w:cs="Arial" w:eastAsia="Arial" w:hAnsi="Arial"/>
          <w:sz w:val="18"/>
          <w:szCs w:val="18"/>
          <w:b w:val="1"/>
          <w:bCs w:val="1"/>
          <w:color w:val="auto"/>
        </w:rPr>
        <w:t>7.10 Inventory and Equipment</w:t>
      </w:r>
      <w:r>
        <w:rPr>
          <w:rFonts w:ascii="Arial" w:cs="Arial" w:eastAsia="Arial" w:hAnsi="Arial"/>
          <w:sz w:val="18"/>
          <w:szCs w:val="18"/>
          <w:color w:val="auto"/>
        </w:rPr>
        <w:t>. Store the Inventory or the Equipment with a bailee, warehouseman, or other third party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has been notified of Bank’s security interest and Bank (a) has received an acknowledgment from the third party that it is holding or will hold the Inventory or Equipment for Bank’s benefit or (b) is in pledge possession of the warehouse receipt, where negotiable, covering such Inventory or Equipment. Except upon ten (10) days prior written notice to Bank, store or maintain any Equipment or Inventory at a location other than the location set forth in Section 10 of this Agreement.</w:t>
      </w:r>
    </w:p>
    <w:p>
      <w:pPr>
        <w:spacing w:after="0" w:line="18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7.11 Compliance</w:t>
      </w:r>
      <w:r>
        <w:rPr>
          <w:rFonts w:ascii="Arial" w:cs="Arial" w:eastAsia="Arial" w:hAnsi="Arial"/>
          <w:sz w:val="18"/>
          <w:szCs w:val="18"/>
          <w:color w:val="auto"/>
        </w:rPr>
        <w:t>. Become an “investment company” or be controlled by an “investment company,” within the meaning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or become principally engaged in, or undertake as one of its important activities, the business of extending credit for the purpose of purchasing or carrying margin stock, or use the proceeds of any Credit Extension for such purpose. Fail to meet the minimum funding requirements of ERISA, permit a Reportable Event or Prohibited Transaction, as defined in ERISA, to occur, fail to comply with the Federal Fair Labor Standards Act or violate any law or regulation, which violation could have a Material Adverse Effect, or a material adverse effect on the Collateral or the priority of Bank’s Lien on the Collateral, or permit any of its Subsidiaries to do any of the foregoing.</w:t>
      </w:r>
    </w:p>
    <w:p>
      <w:pPr>
        <w:spacing w:after="0" w:line="188" w:lineRule="exact"/>
        <w:rPr>
          <w:sz w:val="20"/>
          <w:szCs w:val="20"/>
          <w:color w:val="auto"/>
        </w:rPr>
      </w:pPr>
    </w:p>
    <w:p>
      <w:pPr>
        <w:ind w:left="1280" w:hanging="624"/>
        <w:spacing w:after="0"/>
        <w:tabs>
          <w:tab w:leader="none" w:pos="1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or more of the following events shall constitute an Event of Default by Borrower under this Agreement: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Payment Default</w:t>
      </w:r>
      <w:r>
        <w:rPr>
          <w:rFonts w:ascii="Arial" w:cs="Arial" w:eastAsia="Arial" w:hAnsi="Arial"/>
          <w:sz w:val="16"/>
          <w:szCs w:val="16"/>
          <w:color w:val="auto"/>
        </w:rPr>
        <w:t>. If Borrower fails to pay, when due, any of the Obligations;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29" w:lineRule="exact"/>
        <w:rPr>
          <w:sz w:val="20"/>
          <w:szCs w:val="20"/>
          <w:color w:val="auto"/>
        </w:rPr>
      </w:pPr>
    </w:p>
    <w:p>
      <w:pPr>
        <w:ind w:left="2620" w:hanging="667"/>
        <w:spacing w:after="0"/>
        <w:tabs>
          <w:tab w:leader="none" w:pos="2620"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If Borrower fails to perform any obligation under Section 6 or violates any of the covenants contained in Section 7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or</w:t>
      </w:r>
    </w:p>
    <w:p>
      <w:pPr>
        <w:spacing w:after="0" w:line="211" w:lineRule="exact"/>
        <w:rPr>
          <w:sz w:val="20"/>
          <w:szCs w:val="20"/>
          <w:color w:val="auto"/>
        </w:rPr>
      </w:pPr>
    </w:p>
    <w:p>
      <w:pPr>
        <w:jc w:val="both"/>
        <w:ind w:firstLine="1953"/>
        <w:spacing w:after="0" w:line="291" w:lineRule="auto"/>
        <w:tabs>
          <w:tab w:leader="none" w:pos="2682"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If Borrower fails or neglects to perform or observe any other material term, provision, condition, covenant contained in this Agreement, in any of the Loan Documents (other than the Warrant), or in any other present or future agreement between Borrower and Bank (other than the Warrant) and as to any default under such other term, provision, condition or covenant that can be cured, has failed to cure such default within ten days after Borrower receives notice thereof or any officer of Borrower becomes aware thereof; provided, however, that if the default cannot by its nature be cured within the ten day period or cannot after diligent attempts by Borrower be cured within such ten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16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8.3 Material Adverse Effect</w:t>
      </w:r>
      <w:r>
        <w:rPr>
          <w:rFonts w:ascii="Arial" w:cs="Arial" w:eastAsia="Arial" w:hAnsi="Arial"/>
          <w:sz w:val="18"/>
          <w:szCs w:val="18"/>
          <w:color w:val="auto"/>
        </w:rPr>
        <w:t>. If there occurs any circumstance or circumstances that would reasonably be expected to result in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w:t>
      </w:r>
    </w:p>
    <w:p>
      <w:pPr>
        <w:spacing w:after="0" w:line="16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8.4 Attachment</w:t>
      </w:r>
      <w:r>
        <w:rPr>
          <w:rFonts w:ascii="Arial" w:cs="Arial" w:eastAsia="Arial" w:hAnsi="Arial"/>
          <w:sz w:val="18"/>
          <w:szCs w:val="18"/>
          <w:color w:val="auto"/>
        </w:rPr>
        <w:t>. If any material portion of Borrower’s assets is attached, seized, subjected to a writ or distress warrant, or is levied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comes into the possession of any trustee, receiver or person acting in a similar capacity and such attachment, seizure, writ or distress warrant or levy has not been removed, discharged or rescinded within twenty (20) days, or if Borrower is enjoined, restrained, or in any way prevented by court order from continuing to conduct all or any material part of its business affairs, or if a material judgment or other claim becomes a lien or encumbrance upon any portion of Borrower’s assets, or if a notice of lien, levy, or assessment is filed of record with respect to any of Borrower’s assets by the United States Government, or any department, agency, or instrumentality thereof, or by any state, county, municipal, or governmental agency, and the same is not paid within twenty (20) days after Borrower receives notice thereof, provided that none of the foregoing shall constitute an Event of Default where such action or event is stayed or an adequate bond has been posted pending a good faith contest by Borrower (provided that no Credit Extensions will be required to be made prior to the stay or posting of bond);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both"/>
        <w:ind w:firstLine="1297"/>
        <w:spacing w:after="0" w:line="266"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If Borrower becomes insolvent, or if an Insolvency Proceeding is commenced by Borrower, or if an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is commenced against Borrower and is not dismissed or stayed within thirty (30) days (provided that no Credit Extensions will be made prior to the dismissal of such Insolvency Proceeding);</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If there is a default or other failure to perform in any agreement to which Borrower is a party or by which it is</w:t>
      </w:r>
      <w:r>
        <w:rPr>
          <w:rFonts w:ascii="Arial" w:cs="Arial" w:eastAsia="Arial" w:hAnsi="Arial"/>
          <w:sz w:val="18"/>
          <w:szCs w:val="18"/>
          <w:b w:val="1"/>
          <w:bCs w:val="1"/>
          <w:color w:val="auto"/>
        </w:rPr>
        <w:t xml:space="preserve"> </w:t>
      </w:r>
      <w:r>
        <w:rPr>
          <w:rFonts w:ascii="Arial" w:cs="Arial" w:eastAsia="Arial" w:hAnsi="Arial"/>
          <w:sz w:val="18"/>
          <w:szCs w:val="18"/>
          <w:color w:val="auto"/>
        </w:rPr>
        <w:t>bound resulting in a right by a third party or parties, whether or not exercised, to accelerate the maturity of any Indebtedness in an amount in excess of *** Dollars ($***) or which would have a Material Adverse Effect;</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8.7 Subordinated Debt</w:t>
      </w:r>
      <w:r>
        <w:rPr>
          <w:rFonts w:ascii="Arial" w:cs="Arial" w:eastAsia="Arial" w:hAnsi="Arial"/>
          <w:sz w:val="18"/>
          <w:szCs w:val="18"/>
          <w:color w:val="auto"/>
        </w:rPr>
        <w:t>. If Borrower makes any payment on account of Subordinated Debt, except to the extent the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allowed under any subordination agreement entered into with Bank;</w:t>
      </w:r>
    </w:p>
    <w:p>
      <w:pPr>
        <w:spacing w:after="0" w:line="162"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Judgments</w:t>
      </w:r>
      <w:r>
        <w:rPr>
          <w:rFonts w:ascii="Arial" w:cs="Arial" w:eastAsia="Arial" w:hAnsi="Arial"/>
          <w:sz w:val="16"/>
          <w:szCs w:val="16"/>
          <w:color w:val="auto"/>
        </w:rPr>
        <w:t>. If a judgment or judgments for the payment of money in an amount, individually or in the aggregate, of at least ***</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Dollars ($***) shall be rendered against Borrower and shall remain unsatisfied and unstayed for a period of twenty (20) days (provided that no Credit Extensions will be made prior to the satisfaction or stay of such judgment); or</w:t>
      </w:r>
    </w:p>
    <w:p>
      <w:pPr>
        <w:spacing w:after="0" w:line="18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8.9 Misrepresentations</w:t>
      </w:r>
      <w:r>
        <w:rPr>
          <w:rFonts w:ascii="Arial" w:cs="Arial" w:eastAsia="Arial" w:hAnsi="Arial"/>
          <w:sz w:val="18"/>
          <w:szCs w:val="18"/>
          <w:color w:val="auto"/>
        </w:rPr>
        <w:t>. If any material misrepresentation or material misstatement exists now or hereafter in any warranty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set forth herein or in any certificate delivered to Bank by any Responsible Officer pursuant to this Agreement or to induce Bank to enter into this Agreement or any other Loan Document; or</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If any guaranty of all or a portion of the Obligations (a “Guaranty”) ceases for any reason to be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guarantor fails to perform any obligation under any Guaranty or a security agreement securing any Guaranty (collectively, the “Guaranty Documents”), or any event of default occurs under any Guaranty Document or any guarantor revokes or purports to revoke a Guaranty, or any material misrepresentation or material misstatement exists now or hereafter in any warranty or representation set forth in any Guaranty Document or in any certificate delivered to Bank in connection with any Guaranty Document, or if any of the circumstances described in Sections 8.3 through 8.8 occur with respect to any guarantor or any guarantor dies or becomes subject to any criminal prosecution.</w:t>
      </w:r>
    </w:p>
    <w:p>
      <w:pPr>
        <w:spacing w:after="0" w:line="188" w:lineRule="exact"/>
        <w:rPr>
          <w:sz w:val="20"/>
          <w:szCs w:val="20"/>
          <w:color w:val="auto"/>
        </w:rPr>
      </w:pPr>
    </w:p>
    <w:p>
      <w:pPr>
        <w:ind w:left="1280" w:hanging="624"/>
        <w:spacing w:after="0"/>
        <w:tabs>
          <w:tab w:leader="none" w:pos="12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ANK</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at its election,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its election and without demand, do any one or more of the following, all of which are authorized by Borrower:</w:t>
      </w:r>
    </w:p>
    <w:p>
      <w:pPr>
        <w:spacing w:after="0" w:line="166" w:lineRule="exact"/>
        <w:rPr>
          <w:sz w:val="20"/>
          <w:szCs w:val="20"/>
          <w:color w:val="auto"/>
        </w:rPr>
      </w:pPr>
    </w:p>
    <w:p>
      <w:pPr>
        <w:jc w:val="both"/>
        <w:ind w:firstLine="1953"/>
        <w:spacing w:after="0" w:line="264" w:lineRule="auto"/>
        <w:tabs>
          <w:tab w:leader="none" w:pos="2807"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8.5, all Obligations shall become immediately due and payable without any action by Bank);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ind w:left="2620" w:hanging="667"/>
        <w:spacing w:after="0"/>
        <w:tabs>
          <w:tab w:leader="none" w:pos="262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Cease advancing money or extending credit to or for the benefit of Borrower under this Agreement;</w:t>
      </w:r>
    </w:p>
    <w:p>
      <w:pPr>
        <w:spacing w:after="0" w:line="225" w:lineRule="exact"/>
        <w:rPr>
          <w:rFonts w:ascii="Arial" w:cs="Arial" w:eastAsia="Arial" w:hAnsi="Arial"/>
          <w:sz w:val="18"/>
          <w:szCs w:val="18"/>
          <w:b w:val="1"/>
          <w:bCs w:val="1"/>
          <w:color w:val="auto"/>
        </w:rPr>
      </w:pPr>
    </w:p>
    <w:p>
      <w:pPr>
        <w:jc w:val="both"/>
        <w:ind w:firstLine="1953"/>
        <w:spacing w:after="0" w:line="255" w:lineRule="auto"/>
        <w:tabs>
          <w:tab w:leader="none" w:pos="271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89" w:lineRule="exact"/>
        <w:rPr>
          <w:rFonts w:ascii="Arial" w:cs="Arial" w:eastAsia="Arial" w:hAnsi="Arial"/>
          <w:sz w:val="18"/>
          <w:szCs w:val="18"/>
          <w:b w:val="1"/>
          <w:bCs w:val="1"/>
          <w:color w:val="auto"/>
        </w:rPr>
      </w:pPr>
    </w:p>
    <w:p>
      <w:pPr>
        <w:ind w:firstLine="1953"/>
        <w:spacing w:after="0" w:line="277" w:lineRule="auto"/>
        <w:tabs>
          <w:tab w:leader="none" w:pos="265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Set off and apply to the Obligations any and all (i) balances and deposits of Borrower held by Bank, or (ii) indebtedness at any time owing to or for the credit or the account of Borrower held by Bank;</w:t>
      </w:r>
    </w:p>
    <w:p>
      <w:pPr>
        <w:spacing w:after="0" w:line="170" w:lineRule="exact"/>
        <w:rPr>
          <w:rFonts w:ascii="Arial" w:cs="Arial" w:eastAsia="Arial" w:hAnsi="Arial"/>
          <w:sz w:val="18"/>
          <w:szCs w:val="18"/>
          <w:b w:val="1"/>
          <w:bCs w:val="1"/>
          <w:color w:val="auto"/>
        </w:rPr>
      </w:pPr>
    </w:p>
    <w:p>
      <w:pPr>
        <w:jc w:val="both"/>
        <w:ind w:firstLine="1953"/>
        <w:spacing w:after="0" w:line="297" w:lineRule="auto"/>
        <w:tabs>
          <w:tab w:leader="none" w:pos="2635"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158" w:lineRule="exact"/>
        <w:rPr>
          <w:rFonts w:ascii="Arial" w:cs="Arial" w:eastAsia="Arial" w:hAnsi="Arial"/>
          <w:sz w:val="16"/>
          <w:szCs w:val="16"/>
          <w:b w:val="1"/>
          <w:bCs w:val="1"/>
          <w:color w:val="auto"/>
        </w:rPr>
      </w:pPr>
    </w:p>
    <w:p>
      <w:pPr>
        <w:jc w:val="both"/>
        <w:ind w:firstLine="1953"/>
        <w:spacing w:after="0" w:line="264" w:lineRule="auto"/>
        <w:tabs>
          <w:tab w:leader="none" w:pos="268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Dispose of the Collateral by way of one or more contracts or transactions, for cash or on terms, in such manner and at such places (including Borrower’s premises) as Bank determines is commercially reasonable, and apply any proceeds to the Obligations in whatever manner or order Bank deems appropriate;</w:t>
      </w:r>
    </w:p>
    <w:p>
      <w:pPr>
        <w:spacing w:after="0" w:line="181" w:lineRule="exact"/>
        <w:rPr>
          <w:rFonts w:ascii="Arial" w:cs="Arial" w:eastAsia="Arial" w:hAnsi="Arial"/>
          <w:sz w:val="18"/>
          <w:szCs w:val="18"/>
          <w:b w:val="1"/>
          <w:bCs w:val="1"/>
          <w:color w:val="auto"/>
        </w:rPr>
      </w:pPr>
    </w:p>
    <w:p>
      <w:pPr>
        <w:ind w:left="2620" w:hanging="667"/>
        <w:spacing w:after="0"/>
        <w:tabs>
          <w:tab w:leader="none" w:pos="262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Bank may credit bid and purchase at any public sale; and</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Any deficiency that exists after disposition of the Collateral as provided above will be paid immediately by Borrower.</w:t>
      </w:r>
    </w:p>
    <w:p>
      <w:pPr>
        <w:spacing w:after="0" w:line="23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Effective only upon the occurrence and during the continuance of an Event of Default, Borrower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irrevocably appoints Bank (and any of Bank’s designated officers, or employees) as Borrower’s true and lawful attorney to:(a) send requests for verification of Accounts or notify account debtors of Bank’s security interest in the Accounts; (b) notify all account debtors with respect to the Accounts to pay Bank directly; (c) sign Borrower’s name on any invoice or bill of lading relating to any Account, drafts against account debtors, schedules and assignments of Accounts, verifications of Accounts, and notices to account debtors; (d) make, settle, and adjust all claims under and decisions with respect to Borrower’s policies of insurance; (e) demand, collect, receive, sue, and give releases to any account debtor for the monies due or which may become due upon or with respect to the Accounts and to compromise, prosecute, or defend any action, claim, case or proceeding relating to the Accounts; (f) settle and adjust disputes and claims respecting the accounts directly with account debtors, for amounts and upon terms which Bank determines to be reasonable; (g) sell, assign, transfer, pledge, compromise, discharge or otherwise dispose of any Collateral; (h) receive and open all mail addressed to Borrower for the purpose of collecting the Accounts; (i) endorse Borrower’s name on any checks or other forms of payment or security that may come into Bank’s possession; (j) execute on behalf of Borrower any and all instruments, documents, financing statements and the like to perfect Bank's interests in the Accounts and file, in its sole discretion, one or more financing or continuation statements and amendments thereto, relative to any of the Collateral; and (k) do all acts and things necessary or expedient, in furtherance of any such purposes; provided however Bank may exercise such power of attorney with respect to any actions described in clause (j) above, regardless of whether an Event of Default has occurred. The appointment of Bank as Borrower’s attorney in fact, and each and every one of Bank’s rights and powers, being coupled with an interest, is irrevocable until all of the Obligations (other than inchoate indemnity obligations and any other obligations which, by their terms, are to survive the termination of this Agreement) have been fully repaid and performed and Bank’s obligation to provide Credit Extensions hereunder is terminated.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jc w:val="both"/>
        <w:ind w:firstLine="1297"/>
        <w:spacing w:after="0" w:line="261" w:lineRule="auto"/>
        <w:rPr>
          <w:sz w:val="20"/>
          <w:szCs w:val="20"/>
          <w:color w:val="auto"/>
        </w:rPr>
      </w:pPr>
      <w:r>
        <w:rPr>
          <w:rFonts w:ascii="Arial" w:cs="Arial" w:eastAsia="Arial" w:hAnsi="Arial"/>
          <w:sz w:val="18"/>
          <w:szCs w:val="18"/>
          <w:b w:val="1"/>
          <w:bCs w:val="1"/>
          <w:color w:val="auto"/>
        </w:rPr>
        <w:t>9.3 Accounts Collection</w:t>
      </w:r>
      <w:r>
        <w:rPr>
          <w:rFonts w:ascii="Arial" w:cs="Arial" w:eastAsia="Arial" w:hAnsi="Arial"/>
          <w:sz w:val="18"/>
          <w:szCs w:val="18"/>
          <w:color w:val="auto"/>
        </w:rPr>
        <w:t>. In addition to the foregoing, at any time after the occurrence of an Event of Default, Bank may notify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owing funds to Borrower of Bank’s 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18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9.4 Bank Expenses</w:t>
      </w:r>
      <w:r>
        <w:rPr>
          <w:rFonts w:ascii="Arial" w:cs="Arial" w:eastAsia="Arial" w:hAnsi="Arial"/>
          <w:sz w:val="16"/>
          <w:szCs w:val="16"/>
          <w:color w:val="auto"/>
        </w:rPr>
        <w:t>. If Borrower fails to pay any amounts or furnish any required proof of payment due to third persons or entities, as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the terms of this Agreement, then Bank may do any or all of the following after reasonable notice to Borrower: (a) make payment of the same or any part thereof; (b) set up such reserves under a loan facility in Section 2.1 as Bank deems necessary to protect Bank from the exposure created by such failure; or (c) obtain and maintain insurance policies of the type discussed in Section 6.7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Bank shall not in any way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be liable 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Borrower.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both"/>
        <w:ind w:firstLine="1297"/>
        <w:spacing w:after="0" w:line="287" w:lineRule="auto"/>
        <w:rPr>
          <w:sz w:val="20"/>
          <w:szCs w:val="20"/>
          <w:color w:val="auto"/>
        </w:rPr>
      </w:pPr>
      <w:r>
        <w:rPr>
          <w:rFonts w:ascii="Arial" w:cs="Arial" w:eastAsia="Arial" w:hAnsi="Arial"/>
          <w:sz w:val="16"/>
          <w:szCs w:val="16"/>
          <w:b w:val="1"/>
          <w:bCs w:val="1"/>
          <w:color w:val="auto"/>
        </w:rPr>
        <w:t>9.6 Shares</w:t>
      </w:r>
      <w:r>
        <w:rPr>
          <w:rFonts w:ascii="Arial" w:cs="Arial" w:eastAsia="Arial" w:hAnsi="Arial"/>
          <w:sz w:val="16"/>
          <w:szCs w:val="16"/>
          <w:color w:val="auto"/>
        </w:rPr>
        <w:t>. Borrower recognizes that Bank may be unable to effect a public sale of any or all the Shares, by reason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prohibitions contained in federal securities laws and applicable state and provincial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Borrower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Bank shall be under no obligation to delay a sale of any of the Shares for the period of time necessary to permit the issuer thereof to register such securities for public sale under federal securities laws or under applicable state and provincial securities laws, even if such issuer would agree to do so. Upon the occurrence of an Event of Default which continues, Bank shall have the right to exercise all such rights as a secured party under the Code as it, in its sole judgment, shall deem necessary or appropriate, including without limitation the right to liquidate the Shares and apply the proceeds thereof to reduce the Obligations. Effective only upon the occurrence and during the continuance of an Event of Default, Borrower hereby irrevocably appoints Bank (and any of Bank’s designated officers, or employees) as such Borrower’s true and lawful attorney to enforce such Borrower’s rights against any Subsidiary, including the right to compel any Subsidiary to make payments or distributions owing to such Borrower.</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9.7 Remedies Cumulative</w:t>
      </w:r>
      <w:r>
        <w:rPr>
          <w:rFonts w:ascii="Arial" w:cs="Arial" w:eastAsia="Arial" w:hAnsi="Arial"/>
          <w:sz w:val="17"/>
          <w:szCs w:val="17"/>
          <w:color w:val="auto"/>
        </w:rPr>
        <w:t>. Bank’s rights and remedies under this Agreement, the Loan Documents, and all other agreements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w:t>
      </w:r>
    </w:p>
    <w:p>
      <w:pPr>
        <w:spacing w:after="0" w:line="1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9.8 Demand; Protest</w:t>
      </w:r>
      <w:r>
        <w:rPr>
          <w:rFonts w:ascii="Arial" w:cs="Arial" w:eastAsia="Arial" w:hAnsi="Arial"/>
          <w:sz w:val="18"/>
          <w:szCs w:val="18"/>
          <w:color w:val="auto"/>
        </w:rPr>
        <w:t>. Borrower waives demand, protest, notice of protest,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 compromise, settlement, extension, or renewal of accounts, documents, instruments, chattel paper, and guarantees at any time held by Bank on which Borrower may in any way be liable.</w:t>
      </w:r>
    </w:p>
    <w:p>
      <w:pPr>
        <w:spacing w:after="0" w:line="176" w:lineRule="exact"/>
        <w:rPr>
          <w:sz w:val="20"/>
          <w:szCs w:val="20"/>
          <w:color w:val="auto"/>
        </w:rPr>
      </w:pPr>
    </w:p>
    <w:p>
      <w:pPr>
        <w:ind w:left="1280" w:hanging="624"/>
        <w:spacing w:after="0"/>
        <w:tabs>
          <w:tab w:leader="none" w:pos="1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and except for the Warrant) shall be personally delivered or sent by a recognized overnight delivery service, certified mail, postage prepaid, return receipt requested, or by email or telefacsimile to Borrower or to Bank, as the case may be, at its addresses set forth below:</w:t>
      </w:r>
    </w:p>
    <w:p>
      <w:pPr>
        <w:sectPr>
          <w:pgSz w:w="11900" w:h="16838" w:orient="portrait"/>
          <w:cols w:equalWidth="0" w:num="1">
            <w:col w:w="11420"/>
          </w:cols>
          <w:pgMar w:left="240" w:top="904" w:right="23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USA TECHNOLOGIES,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Deerfield Lane, Suite 140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ectPr>
          <w:pgSz w:w="11900" w:h="16838" w:orient="portrait"/>
          <w:cols w:equalWidth="0" w:num="2">
            <w:col w:w="2060" w:space="720"/>
            <w:col w:w="8640"/>
          </w:cols>
          <w:pgMar w:left="240" w:top="904" w:right="239" w:bottom="1440" w:gutter="0" w:footer="0" w:header="0"/>
          <w:type w:val="continuous"/>
        </w:sectPr>
      </w:pPr>
    </w:p>
    <w:p>
      <w:pPr>
        <w:spacing w:after="0" w:line="11"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Email: lmaxwell@usatech.com</w:t>
      </w:r>
    </w:p>
    <w:p>
      <w:pPr>
        <w:sectPr>
          <w:pgSz w:w="11900" w:h="16838" w:orient="portrait"/>
          <w:cols w:equalWidth="0" w:num="1">
            <w:col w:w="11420"/>
          </w:cols>
          <w:pgMar w:left="240" w:top="904" w:right="23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HERITAGE BANK OF COMMERCE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150 South Almaden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Mike Hansen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(408) 947-6910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Mike.Hansen@herbank.com</w:t>
      </w:r>
    </w:p>
    <w:p>
      <w:pPr>
        <w:spacing w:after="0" w:line="200" w:lineRule="exact"/>
        <w:rPr>
          <w:sz w:val="20"/>
          <w:szCs w:val="20"/>
          <w:color w:val="auto"/>
        </w:rPr>
      </w:pPr>
    </w:p>
    <w:p>
      <w:pPr>
        <w:sectPr>
          <w:pgSz w:w="11900" w:h="16838" w:orient="portrait"/>
          <w:cols w:equalWidth="0" w:num="2">
            <w:col w:w="2060" w:space="720"/>
            <w:col w:w="8640"/>
          </w:cols>
          <w:pgMar w:left="240" w:top="904" w:right="23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1" w:name="page122"/>
    <w:bookmarkEnd w:id="121"/>
    <w:p>
      <w:pPr>
        <w:ind w:left="66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7" w:lineRule="exact"/>
        <w:rPr>
          <w:sz w:val="20"/>
          <w:szCs w:val="20"/>
          <w:color w:val="auto"/>
        </w:rPr>
      </w:pPr>
    </w:p>
    <w:p>
      <w:pPr>
        <w:ind w:left="1280" w:hanging="624"/>
        <w:spacing w:after="0"/>
        <w:tabs>
          <w:tab w:leader="none" w:pos="1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Agreement shall be governed by, and construed in accordance with, the internal laws of the State of California, without regard to principles of conflicts of law. Each of Borrower and Bank hereby submits to the jurisdiction of the state and Federal courts located in the County of Santa Clara, State of California. BORROWER AND BANK EACH HEREBY WAIVE THEIR RESPECTIVE RIGHTS TO A JURY TRIAL OF ANY CLAIM OR CAUSE OF ACTION BASED UPON OR ARISING OUT OF ANY OF THE LOAN DOCUMENTS (OTHER THAN THE WARRANT)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jury waiver set forth in this Section is not enforceable, then any dispute, controversy or claim arising out of or relating to this Agreement, the Loan Documents (other than the Warrant) or any of the transactions contemplated therein shall be settled by judicial reference pursuant to Code of Civil Procedure Section 638 et seq. before a referee sitting without a jury, such referee to be mutually acceptable to the parties or, if no agreement is reached, by a referee appointed by the Presiding Judge of the California Superior Court for Santa Clara County. This Section shall not restrict a party from exercising remedies under the Code or from exercising pre-judgment remedies under applicable law.</w:t>
      </w:r>
    </w:p>
    <w:p>
      <w:pPr>
        <w:spacing w:after="0" w:line="184" w:lineRule="exact"/>
        <w:rPr>
          <w:sz w:val="20"/>
          <w:szCs w:val="20"/>
          <w:color w:val="auto"/>
        </w:rPr>
      </w:pPr>
    </w:p>
    <w:p>
      <w:pPr>
        <w:ind w:left="1280" w:hanging="624"/>
        <w:spacing w:after="0"/>
        <w:tabs>
          <w:tab w:leader="none" w:pos="1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12.1 Successors and Assigns</w:t>
      </w:r>
      <w:r>
        <w:rPr>
          <w:rFonts w:ascii="Arial" w:cs="Arial" w:eastAsia="Arial" w:hAnsi="Arial"/>
          <w:sz w:val="17"/>
          <w:szCs w:val="17"/>
          <w:color w:val="auto"/>
        </w:rPr>
        <w:t>. This Agreement shall bind and inure to the benefit of the respective successors and permitted assigns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transfer, negotiate, or grant participation in all or any part of, or any interest in, Bank’s obligations, rights and benefits hereunder.</w:t>
      </w:r>
    </w:p>
    <w:p>
      <w:pPr>
        <w:spacing w:after="0" w:line="16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shall defend, indemnify and hold harmless Bank and its officers, employees, and agents against: (a)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demands, claims, and liabilities claimed or asserted by any other party in connection with the transactions contemplated by this Agreement (other than the Warrant); and (b) all losses or Bank Expenses in any way suffered, incurred, or paid by Bank as a result of or in any way arising out of, following, or consequential to transactions between Bank and Borrower whether under this Agreement, or otherwise (including without limitation reasonable attorneys’ fees and expenses) other than the Warrant, except for losses caused by Bank’s gross negligence or willful misconduct.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ind w:left="1300"/>
        <w:spacing w:after="0"/>
        <w:tabs>
          <w:tab w:leader="none" w:pos="19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set forth in this Agreement.</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shall be severable from every other provision of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determining the legal enforceability of any specific provision.</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12.5 Amendments in Writing, Integration</w:t>
      </w:r>
      <w:r>
        <w:rPr>
          <w:rFonts w:ascii="Arial" w:cs="Arial" w:eastAsia="Arial" w:hAnsi="Arial"/>
          <w:sz w:val="18"/>
          <w:szCs w:val="18"/>
          <w:color w:val="auto"/>
        </w:rPr>
        <w:t>. Neither this Agreement nor the Loan Documents can be amended or terminated orally.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understandings, representations, warranties, and negotiations between the parties hereto with respect to the subject matter of this Agreement and the Loan Documents, if any, are merged into this Agreement and the Loan Documents.</w:t>
      </w:r>
    </w:p>
    <w:p>
      <w:pPr>
        <w:spacing w:after="0" w:line="17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12.6 Counterparts</w:t>
      </w:r>
      <w:r>
        <w:rPr>
          <w:rFonts w:ascii="Arial" w:cs="Arial" w:eastAsia="Arial" w:hAnsi="Arial"/>
          <w:sz w:val="17"/>
          <w:szCs w:val="17"/>
          <w:color w:val="auto"/>
        </w:rPr>
        <w:t>. This Agreement may be executed in any number of counterparts and by different parties on separate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which, when executed and delivered, shall be deemed to be an original, and all of which, when taken together, shall constitute but one and the same Agreement. In the event that any signature to this Agreement or any other Loan Document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Notwithstanding the foregoing, Borrower shall deliver all original signed documents requested by Bank no later than ten (10) Business Days following the Closing Date.</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All covenants, representations and warranties made in this Agreement shall continue in full force and effect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Obligations (other than inchoate indemnity obligations and any other obligations which, by their terms, are to survive the termination of this Agreement) remain outstanding or Bank has any obligation to make Credit Extensions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18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12.8 Confidentiality</w:t>
      </w:r>
      <w:r>
        <w:rPr>
          <w:rFonts w:ascii="Arial" w:cs="Arial" w:eastAsia="Arial" w:hAnsi="Arial"/>
          <w:sz w:val="16"/>
          <w:szCs w:val="16"/>
          <w:color w:val="auto"/>
        </w:rPr>
        <w:t>. In handling any confidential information Bank and all employees and agents of Bank,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accountants, shall exercise the same degree of care that it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 (ii) to prospective transferees or purchasers of any interest in the loans, provided that they are similarly bound by confidentiality obligations, (iii) as required by law, regulations, rule or order, subpoena, judicial order or similar order, (iv) as may be required in connection with the examination, audit or similar investigation of Bank and</w:t>
      </w:r>
    </w:p>
    <w:p>
      <w:pPr>
        <w:spacing w:after="0" w:line="4" w:lineRule="exact"/>
        <w:rPr>
          <w:sz w:val="20"/>
          <w:szCs w:val="20"/>
          <w:color w:val="auto"/>
        </w:rPr>
      </w:pPr>
    </w:p>
    <w:p>
      <w:pPr>
        <w:jc w:val="both"/>
        <w:ind w:firstLine="8"/>
        <w:spacing w:after="0" w:line="254" w:lineRule="auto"/>
        <w:tabs>
          <w:tab w:leader="none" w:pos="2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Bank may determine in connection with the enforcement of any remedies hereunder.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p>
      <w:pPr>
        <w:jc w:val="both"/>
        <w:ind w:firstLine="1297"/>
        <w:spacing w:after="0" w:line="261" w:lineRule="auto"/>
        <w:rPr>
          <w:sz w:val="20"/>
          <w:szCs w:val="20"/>
          <w:color w:val="auto"/>
        </w:rPr>
      </w:pPr>
      <w:r>
        <w:rPr>
          <w:rFonts w:ascii="Arial" w:cs="Arial" w:eastAsia="Arial" w:hAnsi="Arial"/>
          <w:sz w:val="18"/>
          <w:szCs w:val="18"/>
          <w:b w:val="1"/>
          <w:bCs w:val="1"/>
          <w:color w:val="auto"/>
        </w:rPr>
        <w:t>12.9 Patriot Act Notice</w:t>
      </w:r>
      <w:r>
        <w:rPr>
          <w:rFonts w:ascii="Arial" w:cs="Arial" w:eastAsia="Arial" w:hAnsi="Arial"/>
          <w:sz w:val="18"/>
          <w:szCs w:val="18"/>
          <w:color w:val="auto"/>
        </w:rPr>
        <w:t>. Bank hereby notifies Borrower that, pursuant to the requirements of the USA Patriot Act, Title III of Pub. L.</w:t>
      </w:r>
      <w:r>
        <w:rPr>
          <w:rFonts w:ascii="Arial" w:cs="Arial" w:eastAsia="Arial" w:hAnsi="Arial"/>
          <w:sz w:val="18"/>
          <w:szCs w:val="18"/>
          <w:b w:val="1"/>
          <w:bCs w:val="1"/>
          <w:color w:val="auto"/>
        </w:rPr>
        <w:t xml:space="preserve"> </w:t>
      </w:r>
      <w:r>
        <w:rPr>
          <w:rFonts w:ascii="Arial" w:cs="Arial" w:eastAsia="Arial" w:hAnsi="Arial"/>
          <w:sz w:val="18"/>
          <w:szCs w:val="18"/>
          <w:color w:val="auto"/>
        </w:rPr>
        <w:t>107-56 (signed into law on October 26, 2001) (the “ Patriot Act "), it is required to obtain, verify and record information that identifies the Borrower, which information includes names and addresses and other information that will allow Bank, as applicable, to identify the Borrower in accordance with the Patriot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USA TECHNOLOGIES,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62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680" w:type="dxa"/>
            <w:vAlign w:val="bottom"/>
          </w:tcPr>
          <w:p>
            <w:pPr>
              <w:spacing w:after="0"/>
              <w:rPr>
                <w:sz w:val="20"/>
                <w:szCs w:val="20"/>
                <w:color w:val="auto"/>
              </w:rPr>
            </w:pPr>
          </w:p>
        </w:tc>
      </w:tr>
      <w:tr>
        <w:trPr>
          <w:trHeight w:val="426"/>
        </w:trPr>
        <w:tc>
          <w:tcPr>
            <w:tcW w:w="7100" w:type="dxa"/>
            <w:vAlign w:val="bottom"/>
          </w:tcPr>
          <w:p>
            <w:pPr>
              <w:ind w:left="628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Stephen P. Herbert</w:t>
            </w:r>
          </w:p>
        </w:tc>
        <w:tc>
          <w:tcPr>
            <w:tcW w:w="680" w:type="dxa"/>
            <w:vAlign w:val="bottom"/>
          </w:tcPr>
          <w:p>
            <w:pPr>
              <w:spacing w:after="0"/>
              <w:rPr>
                <w:sz w:val="24"/>
                <w:szCs w:val="24"/>
                <w:color w:val="auto"/>
              </w:rPr>
            </w:pPr>
          </w:p>
        </w:tc>
      </w:tr>
      <w:tr>
        <w:trPr>
          <w:trHeight w:val="432"/>
        </w:trPr>
        <w:tc>
          <w:tcPr>
            <w:tcW w:w="7100" w:type="dxa"/>
            <w:vAlign w:val="bottom"/>
          </w:tcPr>
          <w:p>
            <w:pPr>
              <w:ind w:left="62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680" w:type="dxa"/>
            <w:vAlign w:val="bottom"/>
          </w:tcPr>
          <w:p>
            <w:pPr>
              <w:spacing w:after="0"/>
              <w:rPr>
                <w:sz w:val="24"/>
                <w:szCs w:val="24"/>
                <w:color w:val="auto"/>
              </w:rPr>
            </w:pPr>
          </w:p>
        </w:tc>
      </w:tr>
      <w:tr>
        <w:trPr>
          <w:trHeight w:val="432"/>
        </w:trPr>
        <w:tc>
          <w:tcPr>
            <w:tcW w:w="10740" w:type="dxa"/>
            <w:vAlign w:val="bottom"/>
            <w:gridSpan w:val="2"/>
          </w:tcPr>
          <w:p>
            <w:pPr>
              <w:ind w:left="6280"/>
              <w:spacing w:after="0"/>
              <w:rPr>
                <w:sz w:val="20"/>
                <w:szCs w:val="20"/>
                <w:color w:val="auto"/>
              </w:rPr>
            </w:pPr>
            <w:r>
              <w:rPr>
                <w:rFonts w:ascii="Arial" w:cs="Arial" w:eastAsia="Arial" w:hAnsi="Arial"/>
                <w:sz w:val="18"/>
                <w:szCs w:val="18"/>
                <w:b w:val="1"/>
                <w:bCs w:val="1"/>
                <w:color w:val="auto"/>
              </w:rPr>
              <w:t>HERITAGE BANK OF COMMERCE</w:t>
            </w:r>
          </w:p>
        </w:tc>
        <w:tc>
          <w:tcPr>
            <w:tcW w:w="680" w:type="dxa"/>
            <w:vAlign w:val="bottom"/>
          </w:tcPr>
          <w:p>
            <w:pPr>
              <w:spacing w:after="0"/>
              <w:rPr>
                <w:sz w:val="24"/>
                <w:szCs w:val="24"/>
                <w:color w:val="auto"/>
              </w:rPr>
            </w:pPr>
          </w:p>
        </w:tc>
      </w:tr>
      <w:tr>
        <w:trPr>
          <w:trHeight w:val="432"/>
        </w:trPr>
        <w:tc>
          <w:tcPr>
            <w:tcW w:w="7100" w:type="dxa"/>
            <w:vAlign w:val="bottom"/>
          </w:tcPr>
          <w:p>
            <w:pPr>
              <w:ind w:left="62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Karla Schrader</w:t>
            </w:r>
          </w:p>
        </w:tc>
        <w:tc>
          <w:tcPr>
            <w:tcW w:w="680" w:type="dxa"/>
            <w:vAlign w:val="bottom"/>
          </w:tcPr>
          <w:p>
            <w:pPr>
              <w:spacing w:after="0"/>
              <w:rPr>
                <w:sz w:val="24"/>
                <w:szCs w:val="24"/>
                <w:color w:val="auto"/>
              </w:rPr>
            </w:pPr>
          </w:p>
        </w:tc>
      </w:tr>
      <w:tr>
        <w:trPr>
          <w:trHeight w:val="426"/>
        </w:trPr>
        <w:tc>
          <w:tcPr>
            <w:tcW w:w="7100" w:type="dxa"/>
            <w:vAlign w:val="bottom"/>
          </w:tcPr>
          <w:p>
            <w:pPr>
              <w:ind w:left="628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Karla Schrader</w:t>
            </w:r>
          </w:p>
        </w:tc>
        <w:tc>
          <w:tcPr>
            <w:tcW w:w="680" w:type="dxa"/>
            <w:vAlign w:val="bottom"/>
          </w:tcPr>
          <w:p>
            <w:pPr>
              <w:spacing w:after="0"/>
              <w:rPr>
                <w:sz w:val="24"/>
                <w:szCs w:val="24"/>
                <w:color w:val="auto"/>
              </w:rPr>
            </w:pPr>
          </w:p>
        </w:tc>
      </w:tr>
      <w:tr>
        <w:trPr>
          <w:trHeight w:val="432"/>
        </w:trPr>
        <w:tc>
          <w:tcPr>
            <w:tcW w:w="7100" w:type="dxa"/>
            <w:vAlign w:val="bottom"/>
          </w:tcPr>
          <w:p>
            <w:pPr>
              <w:ind w:left="62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VP</w:t>
            </w:r>
          </w:p>
        </w:tc>
        <w:tc>
          <w:tcPr>
            <w:tcW w:w="680" w:type="dxa"/>
            <w:vAlign w:val="bottom"/>
          </w:tcPr>
          <w:p>
            <w:pPr>
              <w:spacing w:after="0"/>
              <w:rPr>
                <w:sz w:val="24"/>
                <w:szCs w:val="24"/>
                <w:color w:val="auto"/>
              </w:rPr>
            </w:pPr>
          </w:p>
        </w:tc>
      </w:tr>
      <w:tr>
        <w:trPr>
          <w:trHeight w:val="675"/>
        </w:trPr>
        <w:tc>
          <w:tcPr>
            <w:tcW w:w="7100" w:type="dxa"/>
            <w:vAlign w:val="bottom"/>
            <w:tcBorders>
              <w:bottom w:val="single" w:sz="8" w:color="DCDCDC"/>
            </w:tcBorders>
          </w:tcPr>
          <w:p>
            <w:pPr>
              <w:spacing w:after="0"/>
              <w:rPr>
                <w:sz w:val="24"/>
                <w:szCs w:val="24"/>
                <w:color w:val="auto"/>
              </w:rPr>
            </w:pPr>
          </w:p>
        </w:tc>
        <w:tc>
          <w:tcPr>
            <w:tcW w:w="364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USA TECHNOLOGIES, INC.</w:t>
      </w:r>
    </w:p>
    <w:p>
      <w:pPr>
        <w:spacing w:after="0" w:line="200" w:lineRule="exact"/>
        <w:rPr>
          <w:sz w:val="20"/>
          <w:szCs w:val="20"/>
          <w:color w:val="auto"/>
        </w:rPr>
      </w:pPr>
    </w:p>
    <w:p>
      <w:pPr>
        <w:sectPr>
          <w:pgSz w:w="11900" w:h="16838" w:orient="portrait"/>
          <w:cols w:equalWidth="0" w:num="2">
            <w:col w:w="2160" w:space="720"/>
            <w:col w:w="8540"/>
          </w:cols>
          <w:pgMar w:left="240" w:top="904"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HERITAGE BANK OF COMMERCE</w:t>
      </w:r>
    </w:p>
    <w:p>
      <w:pPr>
        <w:spacing w:after="0" w:line="200" w:lineRule="exact"/>
        <w:rPr>
          <w:sz w:val="20"/>
          <w:szCs w:val="20"/>
          <w:color w:val="auto"/>
        </w:rPr>
      </w:pPr>
    </w:p>
    <w:p>
      <w:pPr>
        <w:sectPr>
          <w:pgSz w:w="11900" w:h="16838" w:orient="portrait"/>
          <w:cols w:equalWidth="0" w:num="2">
            <w:col w:w="2160" w:space="720"/>
            <w:col w:w="8540"/>
          </w:cols>
          <w:pgMar w:left="240" w:top="904"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LOAN AND SECURITY AGREEMENT</w:t>
      </w:r>
    </w:p>
    <w:p>
      <w:pPr>
        <w:sectPr>
          <w:pgSz w:w="11900" w:h="16838" w:orient="portrait"/>
          <w:cols w:equalWidth="0" w:num="1">
            <w:col w:w="11420"/>
          </w:cols>
          <w:pgMar w:left="240" w:top="904" w:right="239" w:bottom="1440" w:gutter="0" w:footer="0" w:header="0"/>
          <w:type w:val="continuous"/>
        </w:sectPr>
      </w:pP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656"/>
        <w:spacing w:after="0" w:line="255" w:lineRule="auto"/>
        <w:tabs>
          <w:tab w:leader="none" w:pos="13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accounts (including health-care-insurance receivables), chattel paper (including tangible and electronic chattel paper), commercial tort claims, deposit accounts, securities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3" w:lineRule="exact"/>
        <w:rPr>
          <w:rFonts w:ascii="Arial" w:cs="Arial" w:eastAsia="Arial" w:hAnsi="Arial"/>
          <w:sz w:val="18"/>
          <w:szCs w:val="18"/>
          <w:color w:val="auto"/>
        </w:rPr>
      </w:pPr>
    </w:p>
    <w:p>
      <w:pPr>
        <w:ind w:firstLine="656"/>
        <w:spacing w:after="0" w:line="277" w:lineRule="auto"/>
        <w:tabs>
          <w:tab w:leader="none" w:pos="14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terms above have the meanings given to them in the California Uniform Commercial Code, as amended or supplemented from time to time.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the term “Collateral” shall not include any Equipment not financed by Bank, proceeds of such Equipment, or any rights of Borrower as a licensee to the extent the granting of a security interest therein (i) would be contrary to applicable law or (ii) is prohibited by or would constitute a default under any agreement or document governing such property (but only to the extent such prohibition is enforceable under applicable law); provided that upon the termination or lapsing of any such prohibition, such property shall automatically be part of the Collateral; and provided further that the provisions of this paragraph shall in no case exclude from the definition of “Collateral” any Accounts, proceeds of the disposition of any property, or general intangibles consisting of rights to payment, all of which shall at all times constitute “Collateral”; and provided further that any Equipment financed by Bank will at all times constitute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ADVANCE/PAYDOWN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894715</wp:posOffset>
            </wp:positionH>
            <wp:positionV relativeFrom="page">
              <wp:posOffset>586105</wp:posOffset>
            </wp:positionV>
            <wp:extent cx="5746115" cy="7426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742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BASE CERTIFICATE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Borrower:</w:t>
            </w:r>
          </w:p>
        </w:tc>
        <w:tc>
          <w:tcPr>
            <w:tcW w:w="134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USA TECHNOLOGIES, INC.</w:t>
            </w:r>
          </w:p>
        </w:tc>
        <w:tc>
          <w:tcPr>
            <w:tcW w:w="544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color w:val="auto"/>
                <w:w w:val="96"/>
              </w:rPr>
              <w:t>Lender:HERITAGE BANK OF COMMERCE</w:t>
            </w:r>
          </w:p>
        </w:tc>
      </w:tr>
      <w:tr>
        <w:trPr>
          <w:trHeight w:val="230"/>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Commitment Amount:</w:t>
            </w:r>
          </w:p>
        </w:tc>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$ 12,000,000</w:t>
            </w:r>
          </w:p>
        </w:tc>
        <w:tc>
          <w:tcPr>
            <w:tcW w:w="54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Loan #:</w:t>
            </w:r>
          </w:p>
        </w:tc>
      </w:tr>
      <w:tr>
        <w:trPr>
          <w:trHeight w:val="426"/>
        </w:trPr>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40" w:type="dxa"/>
            <w:vAlign w:val="bottom"/>
            <w:gridSpan w:val="5"/>
          </w:tcPr>
          <w:p>
            <w:pPr>
              <w:ind w:left="160"/>
              <w:spacing w:after="0"/>
              <w:rPr>
                <w:sz w:val="20"/>
                <w:szCs w:val="20"/>
                <w:color w:val="auto"/>
              </w:rPr>
            </w:pPr>
            <w:r>
              <w:rPr>
                <w:rFonts w:ascii="Arial" w:cs="Arial" w:eastAsia="Arial" w:hAnsi="Arial"/>
                <w:sz w:val="18"/>
                <w:szCs w:val="18"/>
                <w:color w:val="auto"/>
              </w:rPr>
              <w:t>Period:</w:t>
            </w:r>
          </w:p>
        </w:tc>
      </w:tr>
      <w:tr>
        <w:trPr>
          <w:trHeight w:val="411"/>
        </w:trPr>
        <w:tc>
          <w:tcPr>
            <w:tcW w:w="5980" w:type="dxa"/>
            <w:vAlign w:val="bottom"/>
            <w:gridSpan w:val="3"/>
          </w:tcPr>
          <w:p>
            <w:pPr>
              <w:spacing w:after="0"/>
              <w:rPr>
                <w:sz w:val="20"/>
                <w:szCs w:val="20"/>
                <w:color w:val="auto"/>
              </w:rPr>
            </w:pPr>
            <w:r>
              <w:rPr>
                <w:rFonts w:ascii="Arial" w:cs="Arial" w:eastAsia="Arial" w:hAnsi="Arial"/>
                <w:sz w:val="18"/>
                <w:szCs w:val="18"/>
                <w:color w:val="auto"/>
              </w:rPr>
              <w:t>LICENSE AND TRANSACTION REVENUE</w:t>
            </w:r>
          </w:p>
        </w:tc>
        <w:tc>
          <w:tcPr>
            <w:tcW w:w="10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3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w w:val="92"/>
              </w:rPr>
              <w:t>License and Transaction Revenue for preceding three months</w:t>
            </w:r>
          </w:p>
        </w:tc>
        <w:tc>
          <w:tcPr>
            <w:tcW w:w="330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340" w:type="dxa"/>
            <w:vAlign w:val="bottom"/>
          </w:tcPr>
          <w:p>
            <w:pPr>
              <w:ind w:left="200"/>
              <w:spacing w:after="0"/>
              <w:rPr>
                <w:sz w:val="20"/>
                <w:szCs w:val="20"/>
                <w:color w:val="auto"/>
              </w:rPr>
            </w:pPr>
            <w:r>
              <w:rPr>
                <w:rFonts w:ascii="Arial" w:cs="Arial" w:eastAsia="Arial" w:hAnsi="Arial"/>
                <w:sz w:val="18"/>
                <w:szCs w:val="18"/>
                <w:color w:val="auto"/>
                <w:w w:val="99"/>
              </w:rPr>
              <w:t>Advance Rate</w:t>
            </w:r>
          </w:p>
        </w:tc>
        <w:tc>
          <w:tcPr>
            <w:tcW w:w="34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140" w:type="dxa"/>
            <w:vAlign w:val="bottom"/>
            <w:gridSpan w:val="2"/>
          </w:tcPr>
          <w:p>
            <w:pPr>
              <w:jc w:val="right"/>
              <w:ind w:right="1290"/>
              <w:spacing w:after="0"/>
              <w:rPr>
                <w:sz w:val="20"/>
                <w:szCs w:val="20"/>
                <w:color w:val="auto"/>
              </w:rPr>
            </w:pPr>
            <w:r>
              <w:rPr>
                <w:rFonts w:ascii="Arial" w:cs="Arial" w:eastAsia="Arial" w:hAnsi="Arial"/>
                <w:sz w:val="18"/>
                <w:szCs w:val="18"/>
                <w:color w:val="auto"/>
              </w:rPr>
              <w:t>85%</w:t>
            </w:r>
          </w:p>
        </w:tc>
      </w:tr>
      <w:tr>
        <w:trPr>
          <w:trHeight w:val="411"/>
        </w:trPr>
        <w:tc>
          <w:tcPr>
            <w:tcW w:w="2520" w:type="dxa"/>
            <w:vAlign w:val="bottom"/>
            <w:gridSpan w:val="2"/>
          </w:tcPr>
          <w:p>
            <w:pPr>
              <w:spacing w:after="0"/>
              <w:rPr>
                <w:sz w:val="20"/>
                <w:szCs w:val="20"/>
                <w:color w:val="auto"/>
              </w:rPr>
            </w:pPr>
            <w:r>
              <w:rPr>
                <w:rFonts w:ascii="Arial" w:cs="Arial" w:eastAsia="Arial" w:hAnsi="Arial"/>
                <w:sz w:val="18"/>
                <w:szCs w:val="18"/>
                <w:color w:val="auto"/>
              </w:rPr>
              <w:t>BORROWING BASE</w:t>
            </w:r>
          </w:p>
        </w:tc>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3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Borrowing Base (#1 multiplied by #2)</w:t>
            </w:r>
          </w:p>
        </w:tc>
        <w:tc>
          <w:tcPr>
            <w:tcW w:w="5440" w:type="dxa"/>
            <w:vAlign w:val="bottom"/>
            <w:gridSpan w:val="5"/>
          </w:tcPr>
          <w:p>
            <w:pPr>
              <w:jc w:val="right"/>
              <w:spacing w:after="0"/>
              <w:rPr>
                <w:sz w:val="20"/>
                <w:szCs w:val="20"/>
                <w:color w:val="auto"/>
              </w:rPr>
            </w:pPr>
            <w:r>
              <w:rPr>
                <w:rFonts w:ascii="Arial" w:cs="Arial" w:eastAsia="Arial" w:hAnsi="Arial"/>
                <w:sz w:val="18"/>
                <w:szCs w:val="18"/>
                <w:color w:val="auto"/>
              </w:rPr>
              <w:t>$0</w:t>
            </w:r>
          </w:p>
        </w:tc>
      </w:tr>
      <w:tr>
        <w:trPr>
          <w:trHeight w:val="411"/>
        </w:trPr>
        <w:tc>
          <w:tcPr>
            <w:tcW w:w="1180" w:type="dxa"/>
            <w:vAlign w:val="bottom"/>
          </w:tcPr>
          <w:p>
            <w:pPr>
              <w:spacing w:after="0"/>
              <w:rPr>
                <w:sz w:val="20"/>
                <w:szCs w:val="20"/>
                <w:color w:val="auto"/>
              </w:rPr>
            </w:pPr>
            <w:r>
              <w:rPr>
                <w:rFonts w:ascii="Arial" w:cs="Arial" w:eastAsia="Arial" w:hAnsi="Arial"/>
                <w:sz w:val="18"/>
                <w:szCs w:val="18"/>
                <w:color w:val="auto"/>
              </w:rPr>
              <w:t>BALANCES</w:t>
            </w: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3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Maximum Loan Amount</w:t>
            </w:r>
          </w:p>
        </w:tc>
        <w:tc>
          <w:tcPr>
            <w:tcW w:w="3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48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Borrowing Capacity (lesser of #3 and #4)</w:t>
            </w:r>
          </w:p>
        </w:tc>
        <w:tc>
          <w:tcPr>
            <w:tcW w:w="1580" w:type="dxa"/>
            <w:vAlign w:val="bottom"/>
            <w:gridSpan w:val="2"/>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Less: Present Balance owing on Line of Credit</w:t>
            </w:r>
          </w:p>
        </w:tc>
        <w:tc>
          <w:tcPr>
            <w:tcW w:w="15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0"/>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4800" w:type="dxa"/>
            <w:vAlign w:val="bottom"/>
            <w:gridSpan w:val="2"/>
          </w:tcPr>
          <w:p>
            <w:pPr>
              <w:ind w:left="200"/>
              <w:spacing w:after="0"/>
              <w:rPr>
                <w:sz w:val="20"/>
                <w:szCs w:val="20"/>
                <w:color w:val="auto"/>
              </w:rPr>
            </w:pPr>
            <w:r>
              <w:rPr>
                <w:rFonts w:ascii="Arial" w:cs="Arial" w:eastAsia="Arial" w:hAnsi="Arial"/>
                <w:sz w:val="18"/>
                <w:szCs w:val="18"/>
                <w:b w:val="1"/>
                <w:bCs w:val="1"/>
                <w:color w:val="auto"/>
              </w:rPr>
              <w:t>Remaining Availability (#5 minus #6)</w:t>
            </w:r>
          </w:p>
        </w:tc>
        <w:tc>
          <w:tcPr>
            <w:tcW w:w="15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line #7 is a negative number, this amount must be remitted to the Bank immediately to bring loan balance into compliance. By signing this form you authorize Bank to deduct any advance amounts directly from the company's checking account at HERITAGE BANK OF COMMERCE in the event there is an overadvance.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HERITAGE BANK OF COMMERCE.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Borrower hereby requests funding in the amount of ____________________ in accordance with this Borrowing Base Certificate. All representations and</w:t>
      </w:r>
    </w:p>
    <w:p>
      <w:pPr>
        <w:spacing w:after="0" w:line="46"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warranties of Borrower stated in the Loan and Security Agreement are true, correct, and complete in all material respects as of the date of this Borrowing Base Certificate; provided that those representations and warranties expressly referring to another date shall be true, correct, and complete in all material respects as of such date.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By (Authorized Signer):</w:t>
            </w:r>
          </w:p>
        </w:tc>
        <w:tc>
          <w:tcPr>
            <w:tcW w:w="3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vMerge w:val="restart"/>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Reviewed by Bank:</w:t>
            </w:r>
          </w:p>
        </w:tc>
        <w:tc>
          <w:tcPr>
            <w:tcW w:w="24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661"/>
        </w:trPr>
        <w:tc>
          <w:tcPr>
            <w:tcW w:w="20" w:type="dxa"/>
            <w:vAlign w:val="bottom"/>
            <w:tcBorders>
              <w:bottom w:val="single" w:sz="8" w:color="DCDCDC"/>
            </w:tcBorders>
          </w:tcPr>
          <w:p>
            <w:pPr>
              <w:spacing w:after="0"/>
              <w:rPr>
                <w:sz w:val="24"/>
                <w:szCs w:val="24"/>
                <w:color w:val="auto"/>
              </w:rPr>
            </w:pPr>
          </w:p>
        </w:tc>
        <w:tc>
          <w:tcPr>
            <w:tcW w:w="36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36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6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9" w:name="page130"/>
    <w:bookmarkEnd w:id="129"/>
    <w:p>
      <w:pPr>
        <w:ind w:left="20"/>
        <w:spacing w:after="0"/>
        <w:rPr>
          <w:sz w:val="20"/>
          <w:szCs w:val="20"/>
          <w:color w:val="auto"/>
        </w:rPr>
      </w:pPr>
      <w:r>
        <w:rPr>
          <w:rFonts w:ascii="Arial" w:cs="Arial" w:eastAsia="Arial" w:hAnsi="Arial"/>
          <w:sz w:val="18"/>
          <w:szCs w:val="18"/>
          <w:b w:val="1"/>
          <w:bCs w:val="1"/>
          <w:color w:val="FFFFFF"/>
        </w:rPr>
        <w:t>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053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053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Borrowing</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w w:val="94"/>
              </w:rPr>
              <w:t>BBC status:</w:t>
            </w:r>
          </w:p>
        </w:tc>
        <w:tc>
          <w:tcPr>
            <w:tcW w:w="80" w:type="dxa"/>
            <w:vAlign w:val="bottom"/>
          </w:tcPr>
          <w:p>
            <w:pPr>
              <w:spacing w:after="0"/>
              <w:rPr>
                <w:sz w:val="17"/>
                <w:szCs w:val="17"/>
                <w:color w:val="auto"/>
              </w:rPr>
            </w:pPr>
          </w:p>
        </w:tc>
        <w:tc>
          <w:tcPr>
            <w:tcW w:w="3300" w:type="dxa"/>
            <w:vAlign w:val="bottom"/>
            <w:gridSpan w:val="3"/>
          </w:tcPr>
          <w:p>
            <w:pPr>
              <w:ind w:left="1100"/>
              <w:spacing w:after="0"/>
              <w:rPr>
                <w:sz w:val="20"/>
                <w:szCs w:val="20"/>
                <w:color w:val="auto"/>
              </w:rPr>
            </w:pPr>
            <w:r>
              <w:rPr>
                <w:rFonts w:ascii="Arial" w:cs="Arial" w:eastAsia="Arial" w:hAnsi="Arial"/>
                <w:sz w:val="18"/>
                <w:szCs w:val="18"/>
                <w:color w:val="auto"/>
              </w:rPr>
              <w:t>BBC expired - Do not Fund</w:t>
            </w: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Base Update:</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Date of BBC:</w:t>
            </w:r>
          </w:p>
        </w:tc>
        <w:tc>
          <w:tcPr>
            <w:tcW w:w="64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0" w:type="dxa"/>
            <w:vAlign w:val="bottom"/>
            <w:gridSpan w:val="4"/>
          </w:tcPr>
          <w:p>
            <w:pPr>
              <w:ind w:left="140"/>
              <w:spacing w:after="0"/>
              <w:rPr>
                <w:sz w:val="20"/>
                <w:szCs w:val="20"/>
                <w:color w:val="auto"/>
              </w:rPr>
            </w:pPr>
            <w:r>
              <w:rPr>
                <w:rFonts w:ascii="Arial" w:cs="Arial" w:eastAsia="Arial" w:hAnsi="Arial"/>
                <w:sz w:val="18"/>
                <w:szCs w:val="18"/>
                <w:color w:val="auto"/>
              </w:rPr>
              <w:t>Total Borrowing Capacity:</w:t>
            </w:r>
          </w:p>
        </w:tc>
        <w:tc>
          <w:tcPr>
            <w:tcW w:w="1060" w:type="dxa"/>
            <w:vAlign w:val="bottom"/>
          </w:tcPr>
          <w:p>
            <w:pPr>
              <w:spacing w:after="0"/>
              <w:rPr>
                <w:sz w:val="19"/>
                <w:szCs w:val="19"/>
                <w:color w:val="auto"/>
              </w:rPr>
            </w:pPr>
          </w:p>
        </w:tc>
        <w:tc>
          <w:tcPr>
            <w:tcW w:w="2920" w:type="dxa"/>
            <w:vAlign w:val="bottom"/>
            <w:gridSpan w:val="2"/>
          </w:tcPr>
          <w:p>
            <w:pPr>
              <w:ind w:left="1140"/>
              <w:spacing w:after="0"/>
              <w:rPr>
                <w:sz w:val="20"/>
                <w:szCs w:val="20"/>
                <w:color w:val="auto"/>
              </w:rPr>
            </w:pPr>
            <w:r>
              <w:rPr>
                <w:rFonts w:ascii="Arial" w:cs="Arial" w:eastAsia="Arial" w:hAnsi="Arial"/>
                <w:sz w:val="18"/>
                <w:szCs w:val="18"/>
                <w:color w:val="auto"/>
              </w:rPr>
              <w:t>Reviewed by:</w:t>
            </w:r>
          </w:p>
        </w:tc>
        <w:tc>
          <w:tcPr>
            <w:tcW w:w="0" w:type="dxa"/>
            <w:vAlign w:val="bottom"/>
          </w:tcPr>
          <w:p>
            <w:pPr>
              <w:spacing w:after="0"/>
              <w:rPr>
                <w:sz w:val="1"/>
                <w:szCs w:val="1"/>
                <w:color w:val="auto"/>
              </w:rPr>
            </w:pPr>
          </w:p>
        </w:tc>
      </w:tr>
      <w:tr>
        <w:trPr>
          <w:trHeight w:val="216"/>
        </w:trPr>
        <w:tc>
          <w:tcPr>
            <w:tcW w:w="1680" w:type="dxa"/>
            <w:vAlign w:val="bottom"/>
            <w:gridSpan w:val="4"/>
          </w:tcPr>
          <w:p>
            <w:pPr>
              <w:ind w:left="20"/>
              <w:spacing w:after="0"/>
              <w:rPr>
                <w:sz w:val="20"/>
                <w:szCs w:val="20"/>
                <w:color w:val="auto"/>
              </w:rPr>
            </w:pPr>
            <w:r>
              <w:rPr>
                <w:rFonts w:ascii="Arial" w:cs="Arial" w:eastAsia="Arial" w:hAnsi="Arial"/>
                <w:sz w:val="18"/>
                <w:szCs w:val="18"/>
                <w:color w:val="auto"/>
                <w:w w:val="99"/>
              </w:rPr>
              <w:t>BBC expiration date:</w:t>
            </w: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gridSpan w:val="4"/>
          </w:tcPr>
          <w:p>
            <w:pPr>
              <w:ind w:left="140"/>
              <w:spacing w:after="0"/>
              <w:rPr>
                <w:sz w:val="20"/>
                <w:szCs w:val="20"/>
                <w:color w:val="auto"/>
              </w:rPr>
            </w:pPr>
            <w:r>
              <w:rPr>
                <w:rFonts w:ascii="Arial" w:cs="Arial" w:eastAsia="Arial" w:hAnsi="Arial"/>
                <w:sz w:val="18"/>
                <w:szCs w:val="18"/>
                <w:color w:val="auto"/>
              </w:rPr>
              <w:t>Outstanding Balance:</w:t>
            </w:r>
          </w:p>
        </w:tc>
        <w:tc>
          <w:tcPr>
            <w:tcW w:w="1060" w:type="dxa"/>
            <w:vAlign w:val="bottom"/>
          </w:tcPr>
          <w:p>
            <w:pPr>
              <w:spacing w:after="0"/>
              <w:rPr>
                <w:sz w:val="18"/>
                <w:szCs w:val="18"/>
                <w:color w:val="auto"/>
              </w:rPr>
            </w:pPr>
          </w:p>
        </w:tc>
        <w:tc>
          <w:tcPr>
            <w:tcW w:w="2920" w:type="dxa"/>
            <w:vAlign w:val="bottom"/>
            <w:gridSpan w:val="2"/>
          </w:tcPr>
          <w:p>
            <w:pPr>
              <w:ind w:left="1140"/>
              <w:spacing w:after="0"/>
              <w:rPr>
                <w:sz w:val="20"/>
                <w:szCs w:val="20"/>
                <w:color w:val="auto"/>
              </w:rPr>
            </w:pPr>
            <w:r>
              <w:rPr>
                <w:rFonts w:ascii="Arial" w:cs="Arial" w:eastAsia="Arial" w:hAnsi="Arial"/>
                <w:sz w:val="18"/>
                <w:szCs w:val="18"/>
                <w:color w:val="auto"/>
              </w:rPr>
              <w:t>Approved by:</w:t>
            </w: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Current date:</w:t>
            </w:r>
          </w:p>
        </w:tc>
        <w:tc>
          <w:tcPr>
            <w:tcW w:w="1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Remaining Availability:</w:t>
            </w:r>
          </w:p>
        </w:tc>
        <w:tc>
          <w:tcPr>
            <w:tcW w:w="10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Posted by:</w:t>
            </w:r>
          </w:p>
        </w:tc>
        <w:tc>
          <w:tcPr>
            <w:tcW w:w="0" w:type="dxa"/>
            <w:vAlign w:val="bottom"/>
          </w:tcPr>
          <w:p>
            <w:pPr>
              <w:spacing w:after="0"/>
              <w:rPr>
                <w:sz w:val="1"/>
                <w:szCs w:val="1"/>
                <w:color w:val="auto"/>
              </w:rPr>
            </w:pPr>
          </w:p>
        </w:tc>
      </w:tr>
      <w:tr>
        <w:trPr>
          <w:trHeight w:val="385"/>
        </w:trPr>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Loan Advance:</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Loan Payment:</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Type of</w:t>
            </w: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Overadvance / Per client's request</w:t>
            </w:r>
          </w:p>
        </w:tc>
        <w:tc>
          <w:tcPr>
            <w:tcW w:w="0" w:type="dxa"/>
            <w:vAlign w:val="bottom"/>
          </w:tcPr>
          <w:p>
            <w:pPr>
              <w:spacing w:after="0"/>
              <w:rPr>
                <w:sz w:val="1"/>
                <w:szCs w:val="1"/>
                <w:color w:val="auto"/>
              </w:rPr>
            </w:pPr>
          </w:p>
        </w:tc>
      </w:tr>
      <w:tr>
        <w:trPr>
          <w:trHeight w:val="216"/>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Reporting in Compliance?</w:t>
            </w: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Yes / No</w:t>
            </w:r>
          </w:p>
        </w:tc>
        <w:tc>
          <w:tcPr>
            <w:tcW w:w="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Payment:</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Covenant in Compliance?</w:t>
            </w: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Yes / No</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6"/>
          </w:tcPr>
          <w:p>
            <w:pPr>
              <w:ind w:left="20"/>
              <w:spacing w:after="0"/>
              <w:rPr>
                <w:sz w:val="20"/>
                <w:szCs w:val="20"/>
                <w:color w:val="auto"/>
              </w:rPr>
            </w:pPr>
            <w:r>
              <w:rPr>
                <w:rFonts w:ascii="Arial" w:cs="Arial" w:eastAsia="Arial" w:hAnsi="Arial"/>
                <w:sz w:val="18"/>
                <w:szCs w:val="18"/>
                <w:i w:val="1"/>
                <w:iCs w:val="1"/>
                <w:color w:val="auto"/>
              </w:rPr>
              <w:t>If out of Compliance, what is the violation?</w:t>
            </w:r>
          </w:p>
        </w:tc>
        <w:tc>
          <w:tcPr>
            <w:tcW w:w="10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Outstanding Loan Balance:</w:t>
            </w: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$0</w:t>
            </w:r>
          </w:p>
        </w:tc>
        <w:tc>
          <w:tcPr>
            <w:tcW w:w="8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Outstanding Loan Balance:</w:t>
            </w:r>
          </w:p>
        </w:tc>
        <w:tc>
          <w:tcPr>
            <w:tcW w:w="1060" w:type="dxa"/>
            <w:vAlign w:val="bottom"/>
          </w:tcPr>
          <w:p>
            <w:pPr>
              <w:spacing w:after="0"/>
              <w:rPr>
                <w:sz w:val="24"/>
                <w:szCs w:val="24"/>
                <w:color w:val="auto"/>
              </w:rPr>
            </w:pPr>
          </w:p>
        </w:tc>
        <w:tc>
          <w:tcPr>
            <w:tcW w:w="292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Amount of Advance: (Must be</w:t>
            </w:r>
          </w:p>
        </w:tc>
        <w:tc>
          <w:tcPr>
            <w:tcW w:w="10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equal or less than BBC Availability)</w:t>
            </w: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$0</w:t>
            </w:r>
          </w:p>
        </w:tc>
        <w:tc>
          <w:tcPr>
            <w:tcW w:w="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Amount of Payment:</w:t>
            </w:r>
          </w:p>
        </w:tc>
        <w:tc>
          <w:tcPr>
            <w:tcW w:w="1060" w:type="dxa"/>
            <w:vAlign w:val="bottom"/>
          </w:tcPr>
          <w:p>
            <w:pPr>
              <w:spacing w:after="0"/>
              <w:rPr>
                <w:sz w:val="18"/>
                <w:szCs w:val="18"/>
                <w:color w:val="auto"/>
              </w:rPr>
            </w:pPr>
          </w:p>
        </w:tc>
        <w:tc>
          <w:tcPr>
            <w:tcW w:w="292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Loan Account #:</w:t>
            </w: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New</w:t>
            </w:r>
          </w:p>
        </w:tc>
        <w:tc>
          <w:tcPr>
            <w:tcW w:w="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Loan Account #:</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jc w:val="center"/>
              <w:ind w:left="170"/>
              <w:spacing w:after="0"/>
              <w:rPr>
                <w:sz w:val="20"/>
                <w:szCs w:val="20"/>
                <w:color w:val="auto"/>
              </w:rPr>
            </w:pPr>
            <w:r>
              <w:rPr>
                <w:rFonts w:ascii="Arial" w:cs="Arial" w:eastAsia="Arial" w:hAnsi="Arial"/>
                <w:sz w:val="18"/>
                <w:szCs w:val="18"/>
                <w:color w:val="auto"/>
                <w:w w:val="94"/>
              </w:rPr>
              <w:t>New</w:t>
            </w:r>
          </w:p>
        </w:tc>
        <w:tc>
          <w:tcPr>
            <w:tcW w:w="0" w:type="dxa"/>
            <w:vAlign w:val="bottom"/>
          </w:tcPr>
          <w:p>
            <w:pPr>
              <w:spacing w:after="0"/>
              <w:rPr>
                <w:sz w:val="1"/>
                <w:szCs w:val="1"/>
                <w:color w:val="auto"/>
              </w:rPr>
            </w:pPr>
          </w:p>
        </w:tc>
      </w:tr>
      <w:tr>
        <w:trPr>
          <w:trHeight w:val="216"/>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Deposit to</w:t>
            </w: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Account to be</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DDA:</w:t>
            </w: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Acct #:</w:t>
            </w:r>
          </w:p>
        </w:tc>
        <w:tc>
          <w:tcPr>
            <w:tcW w:w="10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$0</w:t>
            </w:r>
          </w:p>
        </w:tc>
        <w:tc>
          <w:tcPr>
            <w:tcW w:w="8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charged:</w:t>
            </w:r>
          </w:p>
        </w:tc>
        <w:tc>
          <w:tcPr>
            <w:tcW w:w="1060" w:type="dxa"/>
            <w:vAlign w:val="bottom"/>
          </w:tcPr>
          <w:p>
            <w:pPr>
              <w:ind w:left="260"/>
              <w:spacing w:after="0"/>
              <w:rPr>
                <w:sz w:val="20"/>
                <w:szCs w:val="20"/>
                <w:color w:val="auto"/>
              </w:rPr>
            </w:pPr>
            <w:r>
              <w:rPr>
                <w:rFonts w:ascii="Arial" w:cs="Arial" w:eastAsia="Arial" w:hAnsi="Arial"/>
                <w:sz w:val="18"/>
                <w:szCs w:val="18"/>
                <w:color w:val="auto"/>
              </w:rPr>
              <w:t>Acct #:</w:t>
            </w:r>
          </w:p>
        </w:tc>
        <w:tc>
          <w:tcPr>
            <w:tcW w:w="292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182"/>
        </w:trPr>
        <w:tc>
          <w:tcPr>
            <w:tcW w:w="278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New Outstanding Loan Balance:</w:t>
            </w:r>
          </w:p>
        </w:tc>
        <w:tc>
          <w:tcPr>
            <w:tcW w:w="1260" w:type="dxa"/>
            <w:vAlign w:val="bottom"/>
            <w:tcBorders>
              <w:top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2"/>
          </w:tcPr>
          <w:p>
            <w:pPr>
              <w:spacing w:after="0" w:line="182" w:lineRule="exact"/>
              <w:rPr>
                <w:sz w:val="20"/>
                <w:szCs w:val="20"/>
                <w:color w:val="auto"/>
              </w:rPr>
            </w:pPr>
            <w:r>
              <w:rPr>
                <w:rFonts w:ascii="Arial" w:cs="Arial" w:eastAsia="Arial" w:hAnsi="Arial"/>
                <w:sz w:val="18"/>
                <w:szCs w:val="18"/>
                <w:color w:val="auto"/>
              </w:rPr>
              <w:t>New Outstanding Loan</w:t>
            </w:r>
          </w:p>
        </w:tc>
        <w:tc>
          <w:tcPr>
            <w:tcW w:w="10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9"/>
              </w:rPr>
              <w:t>$0</w:t>
            </w:r>
          </w:p>
        </w:tc>
        <w:tc>
          <w:tcPr>
            <w:tcW w:w="8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Balance:</w:t>
            </w:r>
          </w:p>
        </w:tc>
        <w:tc>
          <w:tcPr>
            <w:tcW w:w="1060" w:type="dxa"/>
            <w:vAlign w:val="bottom"/>
          </w:tcPr>
          <w:p>
            <w:pPr>
              <w:spacing w:after="0"/>
              <w:rPr>
                <w:sz w:val="20"/>
                <w:szCs w:val="20"/>
                <w:color w:val="auto"/>
              </w:rPr>
            </w:pPr>
          </w:p>
        </w:tc>
        <w:tc>
          <w:tcPr>
            <w:tcW w:w="2920" w:type="dxa"/>
            <w:vAlign w:val="bottom"/>
            <w:gridSpan w:val="2"/>
            <w:vMerge w:val="restart"/>
          </w:tcPr>
          <w:p>
            <w:pPr>
              <w:jc w:val="center"/>
              <w:ind w:left="1530"/>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8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gridSpan w:val="2"/>
          </w:tcPr>
          <w:p>
            <w:pPr>
              <w:jc w:val="right"/>
              <w:ind w:right="550"/>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20"/>
          </w:cols>
          <w:pgMar w:left="240" w:top="904"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HERITAGE BANK OF COMMERCE</w:t>
      </w:r>
    </w:p>
    <w:p>
      <w:pPr>
        <w:spacing w:after="0" w:line="200" w:lineRule="exact"/>
        <w:rPr>
          <w:sz w:val="20"/>
          <w:szCs w:val="20"/>
          <w:color w:val="auto"/>
        </w:rPr>
      </w:pPr>
    </w:p>
    <w:p>
      <w:pPr>
        <w:sectPr>
          <w:pgSz w:w="11900" w:h="16838" w:orient="portrait"/>
          <w:cols w:equalWidth="0" w:num="2">
            <w:col w:w="1000" w:space="720"/>
            <w:col w:w="9700"/>
          </w:cols>
          <w:pgMar w:left="240" w:top="90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USA TECHNOLOGIES, INC.</w:t>
      </w:r>
    </w:p>
    <w:p>
      <w:pPr>
        <w:spacing w:after="0" w:line="200" w:lineRule="exact"/>
        <w:rPr>
          <w:sz w:val="20"/>
          <w:szCs w:val="20"/>
          <w:color w:val="auto"/>
        </w:rPr>
      </w:pPr>
    </w:p>
    <w:p>
      <w:pPr>
        <w:sectPr>
          <w:pgSz w:w="11900" w:h="16838" w:orient="portrait"/>
          <w:cols w:equalWidth="0" w:num="2">
            <w:col w:w="1000" w:space="720"/>
            <w:col w:w="9700"/>
          </w:cols>
          <w:pgMar w:left="240" w:top="904"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authorized officer of USA TECHNOLOGIES, INC. hereby certifies that in accordance with the terms and conditions of the Loan</w:t>
      </w:r>
    </w:p>
    <w:p>
      <w:pPr>
        <w:sectPr>
          <w:pgSz w:w="11900" w:h="16838" w:orient="portrait"/>
          <w:cols w:equalWidth="0" w:num="1">
            <w:col w:w="11420"/>
          </w:cols>
          <w:pgMar w:left="240" w:top="904"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Security Agreement between Borrower and Bank (the “Agreement”), (i) Borrower is in complete compliance for the period ending _______________</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all required covenants except as noted below and (ii) all representations and warranties of Borrower stated in the Agreement are true and correct in all material respects as of the date hereof; provided that those representations and warranties expressly referring to another date shall be true, correct, and complete in all material respects as of such date.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80" w:type="dxa"/>
            <w:vAlign w:val="bottom"/>
            <w:gridSpan w:val="8"/>
          </w:tcPr>
          <w:p>
            <w:pPr>
              <w:ind w:left="4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Reporting Covenant</w:t>
            </w:r>
          </w:p>
        </w:tc>
        <w:tc>
          <w:tcPr>
            <w:tcW w:w="1980" w:type="dxa"/>
            <w:vAlign w:val="bottom"/>
            <w:gridSpan w:val="4"/>
          </w:tcPr>
          <w:p>
            <w:pPr>
              <w:spacing w:after="0"/>
              <w:rPr>
                <w:sz w:val="20"/>
                <w:szCs w:val="20"/>
                <w:color w:val="auto"/>
              </w:rPr>
            </w:pPr>
            <w:r>
              <w:rPr>
                <w:rFonts w:ascii="Arial" w:cs="Arial" w:eastAsia="Arial" w:hAnsi="Arial"/>
                <w:sz w:val="18"/>
                <w:szCs w:val="18"/>
                <w:b w:val="1"/>
                <w:bCs w:val="1"/>
                <w:color w:val="auto"/>
              </w:rPr>
              <w:t>Required</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Complies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Borrowing Base Certificate</w:t>
            </w:r>
          </w:p>
        </w:tc>
        <w:tc>
          <w:tcPr>
            <w:tcW w:w="4460" w:type="dxa"/>
            <w:vAlign w:val="bottom"/>
            <w:gridSpan w:val="7"/>
          </w:tcPr>
          <w:p>
            <w:pPr>
              <w:spacing w:after="0"/>
              <w:rPr>
                <w:sz w:val="20"/>
                <w:szCs w:val="20"/>
                <w:color w:val="auto"/>
              </w:rPr>
            </w:pPr>
            <w:r>
              <w:rPr>
                <w:rFonts w:ascii="Arial" w:cs="Arial" w:eastAsia="Arial" w:hAnsi="Arial"/>
                <w:sz w:val="18"/>
                <w:szCs w:val="18"/>
                <w:color w:val="auto"/>
              </w:rPr>
              <w:t>Monthly within 25 days of month end</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w w:val="94"/>
              </w:rPr>
              <w:t>Quarterly financial statements with churn report and Compliance</w:t>
            </w:r>
          </w:p>
        </w:tc>
        <w:tc>
          <w:tcPr>
            <w:tcW w:w="4460" w:type="dxa"/>
            <w:vAlign w:val="bottom"/>
            <w:gridSpan w:val="7"/>
          </w:tcPr>
          <w:p>
            <w:pPr>
              <w:spacing w:after="0"/>
              <w:rPr>
                <w:sz w:val="20"/>
                <w:szCs w:val="20"/>
                <w:color w:val="auto"/>
              </w:rPr>
            </w:pPr>
            <w:r>
              <w:rPr>
                <w:rFonts w:ascii="Arial" w:cs="Arial" w:eastAsia="Arial" w:hAnsi="Arial"/>
                <w:sz w:val="18"/>
                <w:szCs w:val="18"/>
                <w:color w:val="auto"/>
              </w:rPr>
              <w:t>Quarterly within 50 days of quarter end</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Certificate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Annual financial statements (CPA Audited)</w:t>
            </w:r>
          </w:p>
        </w:tc>
        <w:tc>
          <w:tcPr>
            <w:tcW w:w="1980" w:type="dxa"/>
            <w:vAlign w:val="bottom"/>
            <w:gridSpan w:val="4"/>
          </w:tcPr>
          <w:p>
            <w:pPr>
              <w:spacing w:after="0"/>
              <w:rPr>
                <w:sz w:val="20"/>
                <w:szCs w:val="20"/>
                <w:color w:val="auto"/>
              </w:rPr>
            </w:pPr>
            <w:r>
              <w:rPr>
                <w:rFonts w:ascii="Arial" w:cs="Arial" w:eastAsia="Arial" w:hAnsi="Arial"/>
                <w:sz w:val="18"/>
                <w:szCs w:val="18"/>
                <w:color w:val="auto"/>
              </w:rPr>
              <w:t>FYE within 120 days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10K and 10Q</w:t>
            </w:r>
          </w:p>
        </w:tc>
        <w:tc>
          <w:tcPr>
            <w:tcW w:w="1980" w:type="dxa"/>
            <w:vAlign w:val="bottom"/>
            <w:gridSpan w:val="4"/>
          </w:tcPr>
          <w:p>
            <w:pPr>
              <w:spacing w:after="0"/>
              <w:rPr>
                <w:sz w:val="20"/>
                <w:szCs w:val="20"/>
                <w:color w:val="auto"/>
              </w:rPr>
            </w:pPr>
            <w:r>
              <w:rPr>
                <w:rFonts w:ascii="Arial" w:cs="Arial" w:eastAsia="Arial" w:hAnsi="Arial"/>
                <w:sz w:val="18"/>
                <w:szCs w:val="18"/>
                <w:color w:val="auto"/>
              </w:rPr>
              <w:t>Within 5 days of filing</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A/R Audit</w:t>
            </w:r>
          </w:p>
        </w:tc>
        <w:tc>
          <w:tcPr>
            <w:tcW w:w="1980" w:type="dxa"/>
            <w:vAlign w:val="bottom"/>
            <w:gridSpan w:val="4"/>
          </w:tcPr>
          <w:p>
            <w:pPr>
              <w:spacing w:after="0"/>
              <w:rPr>
                <w:sz w:val="20"/>
                <w:szCs w:val="20"/>
                <w:color w:val="auto"/>
              </w:rPr>
            </w:pPr>
            <w:r>
              <w:rPr>
                <w:rFonts w:ascii="Arial" w:cs="Arial" w:eastAsia="Arial" w:hAnsi="Arial"/>
                <w:sz w:val="18"/>
                <w:szCs w:val="18"/>
                <w:color w:val="auto"/>
              </w:rPr>
              <w:t>Semi-annually</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IP Notices</w:t>
            </w:r>
          </w:p>
        </w:tc>
        <w:tc>
          <w:tcPr>
            <w:tcW w:w="4460" w:type="dxa"/>
            <w:vAlign w:val="bottom"/>
            <w:gridSpan w:val="7"/>
          </w:tcPr>
          <w:p>
            <w:pPr>
              <w:spacing w:after="0"/>
              <w:rPr>
                <w:sz w:val="20"/>
                <w:szCs w:val="20"/>
                <w:color w:val="auto"/>
              </w:rPr>
            </w:pPr>
            <w:r>
              <w:rPr>
                <w:rFonts w:ascii="Arial" w:cs="Arial" w:eastAsia="Arial" w:hAnsi="Arial"/>
                <w:sz w:val="18"/>
                <w:szCs w:val="18"/>
                <w:color w:val="auto"/>
              </w:rPr>
              <w:t>As required under Section 6.10</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w:t>
            </w:r>
          </w:p>
        </w:tc>
        <w:tc>
          <w:tcPr>
            <w:tcW w:w="1980" w:type="dxa"/>
            <w:vAlign w:val="bottom"/>
            <w:gridSpan w:val="4"/>
          </w:tcPr>
          <w:p>
            <w:pPr>
              <w:spacing w:after="0"/>
              <w:rPr>
                <w:sz w:val="20"/>
                <w:szCs w:val="20"/>
                <w:color w:val="auto"/>
              </w:rPr>
            </w:pPr>
            <w:r>
              <w:rPr>
                <w:rFonts w:ascii="Arial" w:cs="Arial" w:eastAsia="Arial" w:hAnsi="Arial"/>
                <w:sz w:val="18"/>
                <w:szCs w:val="18"/>
                <w:b w:val="1"/>
                <w:bCs w:val="1"/>
                <w:color w:val="auto"/>
              </w:rPr>
              <w:t>Required</w:t>
            </w:r>
          </w:p>
        </w:tc>
        <w:tc>
          <w:tcPr>
            <w:tcW w:w="26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Actual</w:t>
            </w:r>
          </w:p>
        </w:tc>
        <w:tc>
          <w:tcPr>
            <w:tcW w:w="5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Complies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gridSpan w:val="3"/>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Maximum Churn</w:t>
            </w:r>
          </w:p>
        </w:tc>
        <w:tc>
          <w:tcPr>
            <w:tcW w:w="1980" w:type="dxa"/>
            <w:vAlign w:val="bottom"/>
            <w:gridSpan w:val="4"/>
          </w:tcPr>
          <w:p>
            <w:pPr>
              <w:spacing w:after="0"/>
              <w:rPr>
                <w:sz w:val="20"/>
                <w:szCs w:val="20"/>
                <w:color w:val="auto"/>
              </w:rPr>
            </w:pPr>
            <w:r>
              <w:rPr>
                <w:rFonts w:ascii="Arial" w:cs="Arial" w:eastAsia="Arial" w:hAnsi="Arial"/>
                <w:sz w:val="18"/>
                <w:szCs w:val="18"/>
                <w:color w:val="auto"/>
              </w:rPr>
              <w:t>5% / *** min.</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80" w:type="dxa"/>
            <w:vAlign w:val="bottom"/>
            <w:gridSpan w:val="4"/>
          </w:tcPr>
          <w:p>
            <w:pPr>
              <w:spacing w:after="0" w:line="195" w:lineRule="exact"/>
              <w:rPr>
                <w:sz w:val="20"/>
                <w:szCs w:val="20"/>
                <w:color w:val="auto"/>
              </w:rPr>
            </w:pPr>
            <w:r>
              <w:rPr>
                <w:rFonts w:ascii="Arial" w:cs="Arial" w:eastAsia="Arial" w:hAnsi="Arial"/>
                <w:sz w:val="18"/>
                <w:szCs w:val="18"/>
                <w:color w:val="auto"/>
              </w:rPr>
              <w:t>connections</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Minimum Adjusted EBITDA</w:t>
            </w:r>
          </w:p>
        </w:tc>
        <w:tc>
          <w:tcPr>
            <w:tcW w:w="1980" w:type="dxa"/>
            <w:vAlign w:val="bottom"/>
            <w:gridSpan w:val="4"/>
          </w:tcPr>
          <w:p>
            <w:pPr>
              <w:spacing w:after="0"/>
              <w:rPr>
                <w:sz w:val="20"/>
                <w:szCs w:val="20"/>
                <w:color w:val="auto"/>
              </w:rPr>
            </w:pPr>
            <w:r>
              <w:rPr>
                <w:rFonts w:ascii="Arial" w:cs="Arial" w:eastAsia="Arial" w:hAnsi="Arial"/>
                <w:sz w:val="18"/>
                <w:szCs w:val="18"/>
                <w:color w:val="auto"/>
              </w:rPr>
              <w:t>See Section 6.9(b)</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0"/>
        </w:trPr>
        <w:tc>
          <w:tcPr>
            <w:tcW w:w="55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 USE ONLY</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160" w:type="dxa"/>
            <w:vAlign w:val="bottom"/>
            <w:gridSpan w:val="5"/>
          </w:tcPr>
          <w:p>
            <w:pPr>
              <w:ind w:left="40"/>
              <w:spacing w:after="0"/>
              <w:rPr>
                <w:sz w:val="20"/>
                <w:szCs w:val="20"/>
                <w:color w:val="auto"/>
              </w:rPr>
            </w:pPr>
            <w:r>
              <w:rPr>
                <w:rFonts w:ascii="Arial" w:cs="Arial" w:eastAsia="Arial" w:hAnsi="Arial"/>
                <w:sz w:val="18"/>
                <w:szCs w:val="18"/>
                <w:color w:val="auto"/>
                <w:w w:val="92"/>
              </w:rPr>
              <w:t>Received by:__________________________________</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gridSpan w:val="5"/>
          </w:tcPr>
          <w:p>
            <w:pPr>
              <w:spacing w:after="0"/>
              <w:rPr>
                <w:sz w:val="20"/>
                <w:szCs w:val="20"/>
                <w:color w:val="auto"/>
              </w:rPr>
            </w:pPr>
            <w:r>
              <w:rPr>
                <w:rFonts w:ascii="Arial" w:cs="Arial" w:eastAsia="Arial" w:hAnsi="Arial"/>
                <w:sz w:val="18"/>
                <w:szCs w:val="18"/>
                <w:color w:val="auto"/>
              </w:rPr>
              <w:t>Sincerely,</w:t>
            </w:r>
          </w:p>
        </w:tc>
        <w:tc>
          <w:tcPr>
            <w:tcW w:w="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AUTHORIZED SIGNER</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160" w:type="dxa"/>
            <w:vAlign w:val="bottom"/>
            <w:gridSpan w:val="5"/>
          </w:tcPr>
          <w:p>
            <w:pPr>
              <w:ind w:left="40"/>
              <w:spacing w:after="0"/>
              <w:rPr>
                <w:sz w:val="20"/>
                <w:szCs w:val="20"/>
                <w:color w:val="auto"/>
              </w:rPr>
            </w:pPr>
            <w:r>
              <w:rPr>
                <w:rFonts w:ascii="Arial" w:cs="Arial" w:eastAsia="Arial" w:hAnsi="Arial"/>
                <w:sz w:val="18"/>
                <w:szCs w:val="18"/>
                <w:color w:val="auto"/>
                <w:w w:val="92"/>
              </w:rPr>
              <w:t>Date:________________________________________</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160" w:type="dxa"/>
            <w:vAlign w:val="bottom"/>
            <w:gridSpan w:val="5"/>
          </w:tcPr>
          <w:p>
            <w:pPr>
              <w:ind w:left="40"/>
              <w:spacing w:after="0"/>
              <w:rPr>
                <w:sz w:val="20"/>
                <w:szCs w:val="20"/>
                <w:color w:val="auto"/>
              </w:rPr>
            </w:pPr>
            <w:r>
              <w:rPr>
                <w:rFonts w:ascii="Arial" w:cs="Arial" w:eastAsia="Arial" w:hAnsi="Arial"/>
                <w:sz w:val="18"/>
                <w:szCs w:val="18"/>
                <w:color w:val="auto"/>
                <w:w w:val="93"/>
              </w:rPr>
              <w:t>Verified:_____________________________________</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80" w:type="dxa"/>
            <w:vAlign w:val="bottom"/>
            <w:gridSpan w:val="3"/>
          </w:tcPr>
          <w:p>
            <w:pPr>
              <w:ind w:left="200"/>
              <w:spacing w:after="0"/>
              <w:rPr>
                <w:sz w:val="20"/>
                <w:szCs w:val="20"/>
                <w:color w:val="auto"/>
              </w:rPr>
            </w:pPr>
            <w:r>
              <w:rPr>
                <w:rFonts w:ascii="Arial" w:cs="Arial" w:eastAsia="Arial" w:hAnsi="Arial"/>
                <w:sz w:val="18"/>
                <w:szCs w:val="18"/>
                <w:color w:val="auto"/>
              </w:rPr>
              <w:t>AUTHORIZED SIGNER</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160" w:type="dxa"/>
            <w:vAlign w:val="bottom"/>
            <w:gridSpan w:val="5"/>
          </w:tcPr>
          <w:p>
            <w:pPr>
              <w:ind w:left="40"/>
              <w:spacing w:after="0"/>
              <w:rPr>
                <w:sz w:val="20"/>
                <w:szCs w:val="20"/>
                <w:color w:val="auto"/>
              </w:rPr>
            </w:pPr>
            <w:r>
              <w:rPr>
                <w:rFonts w:ascii="Arial" w:cs="Arial" w:eastAsia="Arial" w:hAnsi="Arial"/>
                <w:sz w:val="18"/>
                <w:szCs w:val="18"/>
                <w:color w:val="auto"/>
                <w:w w:val="92"/>
              </w:rPr>
              <w:t>Date:________________________________________</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Compliance Status</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w w:val="77"/>
              </w:rPr>
              <w:t>Yes</w:t>
            </w:r>
          </w:p>
        </w:tc>
        <w:tc>
          <w:tcPr>
            <w:tcW w:w="8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DATE</w:t>
            </w:r>
          </w:p>
        </w:tc>
        <w:tc>
          <w:tcPr>
            <w:tcW w:w="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5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3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31" w:name="page132"/>
    <w:bookmarkEnd w:id="131"/>
    <w:p>
      <w:pPr>
        <w:jc w:val="right"/>
        <w:ind w:right="3259"/>
        <w:spacing w:after="0"/>
        <w:rPr>
          <w:sz w:val="20"/>
          <w:szCs w:val="20"/>
          <w:color w:val="auto"/>
        </w:rPr>
      </w:pPr>
      <w:r>
        <w:rPr>
          <w:rFonts w:ascii="Arial" w:cs="Arial" w:eastAsia="Arial" w:hAnsi="Arial"/>
          <w:sz w:val="18"/>
          <w:szCs w:val="18"/>
          <w:b w:val="1"/>
          <w:bCs w:val="1"/>
          <w:color w:val="auto"/>
        </w:rPr>
        <w:t>SCHEDULE OF EXCEPTIONS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Indebtedness</w:t>
      </w:r>
      <w:r>
        <w:rPr>
          <w:rFonts w:ascii="Arial" w:cs="Arial" w:eastAsia="Arial" w:hAnsi="Arial"/>
          <w:sz w:val="18"/>
          <w:szCs w:val="18"/>
          <w:color w:val="auto"/>
        </w:rPr>
        <w:t xml:space="preserve">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Inbound Licenses</w:t>
      </w:r>
      <w:r>
        <w:rPr>
          <w:rFonts w:ascii="Arial" w:cs="Arial" w:eastAsia="Arial" w:hAnsi="Arial"/>
          <w:sz w:val="18"/>
          <w:szCs w:val="18"/>
          <w:color w:val="auto"/>
        </w:rPr>
        <w:t xml:space="preserve"> (Section 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Names</w:t>
      </w:r>
      <w:r>
        <w:rPr>
          <w:rFonts w:ascii="Arial" w:cs="Arial" w:eastAsia="Arial" w:hAnsi="Arial"/>
          <w:sz w:val="18"/>
          <w:szCs w:val="18"/>
          <w:color w:val="auto"/>
        </w:rPr>
        <w:t xml:space="preserve"> (Section 5.7)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(Section 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(Section 5.14)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Depository and Investment Accounts</w:t>
      </w:r>
      <w:r>
        <w:rPr>
          <w:rFonts w:ascii="Arial" w:cs="Arial" w:eastAsia="Arial" w:hAnsi="Arial"/>
          <w:sz w:val="18"/>
          <w:szCs w:val="18"/>
          <w:color w:val="auto"/>
        </w:rPr>
        <w:t xml:space="preserve"> (Section 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1"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Heritage Bank of Commerce – 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of Exceptions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Schedules are being delivered by USA Technologies, Inc., a Pennsylvania corporation (“Borrower” or the “Company”), to Heritage Bank of Commerce pursuant to that certain Loan and Security Agreement (the “Agreement”) dated March 29, 2016 by and between Borrower and Bank. All capitalized terms used but not herein defined shall have the respective meanings given to them in the Agreement.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purposes of convenience, the Schedules have been separately titled and correspond to the sections of the Agreement, where applicable. Any disclosure in one Schedule may apply to and qualify disclosures made in one or more other Schedules to the extent that it is reasonably apparent that such disclosures apply to or qualify other Schedules, notwithstanding the omission of an appropriate cross reference to such other Schedule.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Matters reflected herein may not necessarily be limited to matters strictly required by the Agreement to be reflected in these Schedules. To the extent that any such additional matters are included, they are included solely for informational purposes, and shall not be deemed in any way to expand any of the information required to be disclosed in these Schedules or under the Agreement or to imply that other information with respect to similar matters must be disclosed.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inclusion of any item in these Schedules shall not constitute an admission by the Borrower that such item is material or that a violation, right of termination, consent requirement, default, liability or contractual obligation of any kind exists with respect to such item. These Schedules are qualified in their entirety by reference to the specific provisions of the Agreement and the representations and warranties to which the disclosures herein pertain and are not intended to constitute, and shall not be construed as constituting, any separate representation or warranty of the Borrower, except as and to the extent expressly provided in these Schedules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Schedule 1.1-A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Indebtedness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Type</w:t>
            </w: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Detail</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4"/>
        </w:trPr>
        <w:tc>
          <w:tcPr>
            <w:tcW w:w="820" w:type="dxa"/>
            <w:vAlign w:val="bottom"/>
            <w:vMerge w:val="restart"/>
          </w:tcPr>
          <w:p>
            <w:pPr>
              <w:spacing w:after="0"/>
              <w:rPr>
                <w:sz w:val="20"/>
                <w:szCs w:val="20"/>
                <w:color w:val="auto"/>
              </w:rPr>
            </w:pPr>
            <w:r>
              <w:rPr>
                <w:rFonts w:ascii="Arial" w:cs="Arial" w:eastAsia="Arial" w:hAnsi="Arial"/>
                <w:sz w:val="18"/>
                <w:szCs w:val="18"/>
                <w:color w:val="auto"/>
              </w:rPr>
              <w:t>1.</w:t>
            </w:r>
          </w:p>
        </w:tc>
        <w:tc>
          <w:tcPr>
            <w:tcW w:w="1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2/29/2016</w:t>
            </w:r>
          </w:p>
        </w:tc>
        <w:tc>
          <w:tcPr>
            <w:tcW w:w="0" w:type="dxa"/>
            <w:vAlign w:val="bottom"/>
          </w:tcPr>
          <w:p>
            <w:pPr>
              <w:spacing w:after="0"/>
              <w:rPr>
                <w:sz w:val="1"/>
                <w:szCs w:val="1"/>
                <w:color w:val="auto"/>
              </w:rPr>
            </w:pPr>
          </w:p>
        </w:tc>
      </w:tr>
      <w:tr>
        <w:trPr>
          <w:trHeight w:val="195"/>
        </w:trPr>
        <w:tc>
          <w:tcPr>
            <w:tcW w:w="820" w:type="dxa"/>
            <w:vAlign w:val="bottom"/>
            <w:vMerge w:val="continue"/>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Debt Obligation</w:t>
            </w:r>
          </w:p>
        </w:tc>
        <w:tc>
          <w:tcPr>
            <w:tcW w:w="2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w w:val="91"/>
              </w:rPr>
              <w:t>Contingent debt obligation established as part of the QuickStart Sale Agreement entered into</w:t>
            </w:r>
          </w:p>
        </w:tc>
        <w:tc>
          <w:tcPr>
            <w:tcW w:w="220" w:type="dxa"/>
            <w:vAlign w:val="bottom"/>
          </w:tcPr>
          <w:p>
            <w:pPr>
              <w:spacing w:after="0"/>
              <w:rPr>
                <w:sz w:val="16"/>
                <w:szCs w:val="16"/>
                <w:color w:val="auto"/>
              </w:rPr>
            </w:pPr>
          </w:p>
        </w:tc>
        <w:tc>
          <w:tcPr>
            <w:tcW w:w="17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by USAT and Univest Capital, Inc.</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w:t>
            </w:r>
          </w:p>
        </w:tc>
        <w:tc>
          <w:tcPr>
            <w:tcW w:w="1940" w:type="dxa"/>
            <w:vAlign w:val="bottom"/>
            <w:gridSpan w:val="2"/>
          </w:tcPr>
          <w:p>
            <w:pPr>
              <w:spacing w:after="0"/>
              <w:rPr>
                <w:sz w:val="20"/>
                <w:szCs w:val="20"/>
                <w:color w:val="auto"/>
              </w:rPr>
            </w:pPr>
            <w:r>
              <w:rPr>
                <w:rFonts w:ascii="Arial" w:cs="Arial" w:eastAsia="Arial" w:hAnsi="Arial"/>
                <w:sz w:val="18"/>
                <w:szCs w:val="18"/>
                <w:color w:val="auto"/>
              </w:rPr>
              <w:t>Debt Obligation</w:t>
            </w:r>
          </w:p>
        </w:tc>
        <w:tc>
          <w:tcPr>
            <w:tcW w:w="6960" w:type="dxa"/>
            <w:vAlign w:val="bottom"/>
            <w:gridSpan w:val="2"/>
          </w:tcPr>
          <w:p>
            <w:pPr>
              <w:spacing w:after="0"/>
              <w:rPr>
                <w:sz w:val="20"/>
                <w:szCs w:val="20"/>
                <w:color w:val="auto"/>
              </w:rPr>
            </w:pPr>
            <w:r>
              <w:rPr>
                <w:rFonts w:ascii="Arial" w:cs="Arial" w:eastAsia="Arial" w:hAnsi="Arial"/>
                <w:sz w:val="18"/>
                <w:szCs w:val="18"/>
                <w:color w:val="auto"/>
                <w:w w:val="93"/>
              </w:rPr>
              <w:t>Contingent debt obligation established as part of the QuickStart Sale Agreement entered into</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by USAT and Time Payment Corporation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1940" w:type="dxa"/>
            <w:vAlign w:val="bottom"/>
            <w:gridSpan w:val="2"/>
          </w:tcPr>
          <w:p>
            <w:pPr>
              <w:spacing w:after="0"/>
              <w:rPr>
                <w:sz w:val="20"/>
                <w:szCs w:val="20"/>
                <w:color w:val="auto"/>
              </w:rPr>
            </w:pPr>
            <w:r>
              <w:rPr>
                <w:rFonts w:ascii="Arial" w:cs="Arial" w:eastAsia="Arial" w:hAnsi="Arial"/>
                <w:sz w:val="18"/>
                <w:szCs w:val="18"/>
                <w:color w:val="auto"/>
              </w:rPr>
              <w:t>Loan</w:t>
            </w:r>
          </w:p>
        </w:tc>
        <w:tc>
          <w:tcPr>
            <w:tcW w:w="6960" w:type="dxa"/>
            <w:vAlign w:val="bottom"/>
            <w:gridSpan w:val="2"/>
          </w:tcPr>
          <w:p>
            <w:pPr>
              <w:spacing w:after="0"/>
              <w:rPr>
                <w:sz w:val="20"/>
                <w:szCs w:val="20"/>
                <w:color w:val="auto"/>
              </w:rPr>
            </w:pPr>
            <w:r>
              <w:rPr>
                <w:rFonts w:ascii="Arial" w:cs="Arial" w:eastAsia="Arial" w:hAnsi="Arial"/>
                <w:sz w:val="18"/>
                <w:szCs w:val="18"/>
                <w:color w:val="auto"/>
              </w:rPr>
              <w:t>Directors’ &amp; Officers’ insurance</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Firewall appliances with software</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5.</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B&amp;W and color copier</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6.</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New office furniture</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7.</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4 New Dell servers</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8.</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New copier</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9.</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Network equipment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DDI - Oracle Equipment-Schedule B</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DDI - Oracle Equipment - Schedule 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12.</w:t>
            </w:r>
          </w:p>
        </w:tc>
        <w:tc>
          <w:tcPr>
            <w:tcW w:w="19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6960" w:type="dxa"/>
            <w:vAlign w:val="bottom"/>
            <w:gridSpan w:val="2"/>
          </w:tcPr>
          <w:p>
            <w:pPr>
              <w:spacing w:after="0"/>
              <w:rPr>
                <w:sz w:val="20"/>
                <w:szCs w:val="20"/>
                <w:color w:val="auto"/>
              </w:rPr>
            </w:pPr>
            <w:r>
              <w:rPr>
                <w:rFonts w:ascii="Arial" w:cs="Arial" w:eastAsia="Arial" w:hAnsi="Arial"/>
                <w:sz w:val="18"/>
                <w:szCs w:val="18"/>
                <w:color w:val="auto"/>
              </w:rPr>
              <w:t>DDI - Oracle Equipment - Schedule C</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1940" w:type="dxa"/>
            <w:vAlign w:val="bottom"/>
            <w:gridSpan w:val="2"/>
          </w:tcPr>
          <w:p>
            <w:pPr>
              <w:spacing w:after="0"/>
              <w:rPr>
                <w:sz w:val="20"/>
                <w:szCs w:val="20"/>
                <w:color w:val="auto"/>
              </w:rPr>
            </w:pPr>
            <w:r>
              <w:rPr>
                <w:rFonts w:ascii="Arial" w:cs="Arial" w:eastAsia="Arial" w:hAnsi="Arial"/>
                <w:sz w:val="18"/>
                <w:szCs w:val="18"/>
                <w:color w:val="auto"/>
              </w:rPr>
              <w:t>Sale/Leaseback</w:t>
            </w:r>
          </w:p>
        </w:tc>
        <w:tc>
          <w:tcPr>
            <w:tcW w:w="6960" w:type="dxa"/>
            <w:vAlign w:val="bottom"/>
            <w:gridSpan w:val="2"/>
          </w:tcPr>
          <w:p>
            <w:pPr>
              <w:spacing w:after="0"/>
              <w:rPr>
                <w:sz w:val="20"/>
                <w:szCs w:val="20"/>
                <w:color w:val="auto"/>
              </w:rPr>
            </w:pPr>
            <w:r>
              <w:rPr>
                <w:rFonts w:ascii="Arial" w:cs="Arial" w:eastAsia="Arial" w:hAnsi="Arial"/>
                <w:sz w:val="18"/>
                <w:szCs w:val="18"/>
                <w:color w:val="auto"/>
              </w:rPr>
              <w:t>Operating lease - monthly payments totaling $220,096.29 through June 2017</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82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7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Schedule 1.1 –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Investments</w:t>
      </w:r>
    </w:p>
    <w:p>
      <w:pPr>
        <w:spacing w:after="0" w:line="21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Stitch Networks Corporation, a Delaware corporation, a wholly owned subsidiary of the Borrower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USAT Capital Corp, LLC, a Pennsylvania limited liability company, a wholly owned subsidiary of the Borrower</w:t>
      </w:r>
    </w:p>
    <w:p>
      <w:pPr>
        <w:spacing w:after="0" w:line="225"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Pursuant to a Master Agreement for Sale and Assignment of Equipment Leases by and between USA Technologies, Inc. and Univest Capital, Inc. (“Univest”) dated May 19, 2015 (the “Master Agreement”), Univest has been holding an amount equal to ***% of the aggregate present value of Non-Recourse Leases (as defined in the Master Agreement), up to a maximum of $***, as a cash loss reserve in a Cash Holdback Account (as defined in the Master Agreement), in the name of USA Technologies, Inc. and governed by a Blocked Account Agreement. The Senior Managers of Univest are the sole authorized signers on the Cash Holdback Account, and the cash in the Cash Holdback Account will be used by Univest to repurchase, at any time prior to May 19, 2017, any Non-Recourse Leases under which the lessee has defaulted under the terms and conditions of the underlying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ind w:left="5080"/>
        <w:spacing w:after="0"/>
        <w:rPr>
          <w:sz w:val="20"/>
          <w:szCs w:val="20"/>
          <w:color w:val="auto"/>
        </w:rPr>
      </w:pPr>
      <w:r>
        <w:rPr>
          <w:rFonts w:ascii="Arial" w:cs="Arial" w:eastAsia="Arial" w:hAnsi="Arial"/>
          <w:sz w:val="18"/>
          <w:szCs w:val="18"/>
          <w:b w:val="1"/>
          <w:bCs w:val="1"/>
          <w:color w:val="auto"/>
        </w:rPr>
        <w:t>Schedule 1.1 – C</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Permitted Liens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32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Parties</w:t>
            </w:r>
          </w:p>
        </w:tc>
        <w:tc>
          <w:tcPr>
            <w:tcW w:w="240" w:type="dxa"/>
            <w:vAlign w:val="bottom"/>
          </w:tcPr>
          <w:p>
            <w:pPr>
              <w:spacing w:after="0"/>
              <w:rPr>
                <w:sz w:val="20"/>
                <w:szCs w:val="20"/>
                <w:color w:val="auto"/>
              </w:rPr>
            </w:pPr>
          </w:p>
        </w:tc>
        <w:tc>
          <w:tcPr>
            <w:tcW w:w="34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Financing Statement No.</w:t>
            </w:r>
          </w:p>
        </w:tc>
        <w:tc>
          <w:tcPr>
            <w:tcW w:w="220" w:type="dxa"/>
            <w:vAlign w:val="bottom"/>
          </w:tcPr>
          <w:p>
            <w:pPr>
              <w:spacing w:after="0"/>
              <w:rPr>
                <w:sz w:val="20"/>
                <w:szCs w:val="20"/>
                <w:color w:val="auto"/>
              </w:rPr>
            </w:pPr>
          </w:p>
        </w:tc>
        <w:tc>
          <w:tcPr>
            <w:tcW w:w="34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Date, Expiration, Collateral</w:t>
            </w: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1.</w:t>
            </w:r>
          </w:p>
        </w:tc>
        <w:tc>
          <w:tcPr>
            <w:tcW w:w="3320" w:type="dxa"/>
            <w:vAlign w:val="bottom"/>
          </w:tcPr>
          <w:p>
            <w:pPr>
              <w:spacing w:after="0"/>
              <w:rPr>
                <w:sz w:val="20"/>
                <w:szCs w:val="20"/>
                <w:color w:val="auto"/>
              </w:rPr>
            </w:pPr>
            <w:r>
              <w:rPr>
                <w:rFonts w:ascii="Arial" w:cs="Arial" w:eastAsia="Arial" w:hAnsi="Arial"/>
                <w:sz w:val="18"/>
                <w:szCs w:val="18"/>
                <w:color w:val="auto"/>
              </w:rPr>
              <w:t>Western Equipment Finance, Inc.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2015073106092</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7/29/15</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7/29/20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w:t>
            </w:r>
          </w:p>
        </w:tc>
        <w:tc>
          <w:tcPr>
            <w:tcW w:w="3320" w:type="dxa"/>
            <w:vAlign w:val="bottom"/>
          </w:tcPr>
          <w:p>
            <w:pPr>
              <w:spacing w:after="0"/>
              <w:rPr>
                <w:sz w:val="20"/>
                <w:szCs w:val="20"/>
                <w:color w:val="auto"/>
              </w:rPr>
            </w:pPr>
            <w:r>
              <w:rPr>
                <w:rFonts w:ascii="Arial" w:cs="Arial" w:eastAsia="Arial" w:hAnsi="Arial"/>
                <w:sz w:val="18"/>
                <w:szCs w:val="18"/>
                <w:color w:val="auto"/>
                <w:w w:val="92"/>
              </w:rPr>
              <w:t>UniFi Equipment Finance Inc. (Orig: Presidio</w:t>
            </w:r>
          </w:p>
        </w:tc>
        <w:tc>
          <w:tcPr>
            <w:tcW w:w="3860" w:type="dxa"/>
            <w:vAlign w:val="bottom"/>
            <w:gridSpan w:val="4"/>
          </w:tcPr>
          <w:p>
            <w:pPr>
              <w:ind w:left="240"/>
              <w:spacing w:after="0"/>
              <w:rPr>
                <w:sz w:val="20"/>
                <w:szCs w:val="20"/>
                <w:color w:val="auto"/>
              </w:rPr>
            </w:pPr>
            <w:r>
              <w:rPr>
                <w:rFonts w:ascii="Arial" w:cs="Arial" w:eastAsia="Arial" w:hAnsi="Arial"/>
                <w:sz w:val="18"/>
                <w:szCs w:val="18"/>
                <w:color w:val="auto"/>
              </w:rPr>
              <w:t>2014110503036 (Assigned)</w:t>
            </w:r>
          </w:p>
        </w:tc>
        <w:tc>
          <w:tcPr>
            <w:tcW w:w="3420" w:type="dxa"/>
            <w:vAlign w:val="bottom"/>
          </w:tcPr>
          <w:p>
            <w:pPr>
              <w:spacing w:after="0"/>
              <w:rPr>
                <w:sz w:val="20"/>
                <w:szCs w:val="20"/>
                <w:color w:val="auto"/>
              </w:rPr>
            </w:pPr>
            <w:r>
              <w:rPr>
                <w:rFonts w:ascii="Arial" w:cs="Arial" w:eastAsia="Arial" w:hAnsi="Arial"/>
                <w:sz w:val="18"/>
                <w:szCs w:val="18"/>
                <w:color w:val="auto"/>
              </w:rPr>
              <w:t>Assigned: 10/31/14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Technology Capital, LLC)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2014102906888</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10/29/14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10/29/19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3320" w:type="dxa"/>
            <w:vAlign w:val="bottom"/>
          </w:tcPr>
          <w:p>
            <w:pPr>
              <w:spacing w:after="0"/>
              <w:rPr>
                <w:sz w:val="20"/>
                <w:szCs w:val="20"/>
                <w:color w:val="auto"/>
              </w:rPr>
            </w:pPr>
            <w:r>
              <w:rPr>
                <w:rFonts w:ascii="Arial" w:cs="Arial" w:eastAsia="Arial" w:hAnsi="Arial"/>
                <w:sz w:val="18"/>
                <w:szCs w:val="18"/>
                <w:color w:val="auto"/>
              </w:rPr>
              <w:t>Presidential Bank, FSB</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2014090406390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9/4/14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Varilease Finance, Inc.)</w:t>
            </w:r>
          </w:p>
        </w:tc>
        <w:tc>
          <w:tcPr>
            <w:tcW w:w="3860" w:type="dxa"/>
            <w:vAlign w:val="bottom"/>
            <w:gridSpan w:val="4"/>
          </w:tcPr>
          <w:p>
            <w:pPr>
              <w:ind w:left="240"/>
              <w:spacing w:after="0"/>
              <w:rPr>
                <w:sz w:val="20"/>
                <w:szCs w:val="20"/>
                <w:color w:val="auto"/>
              </w:rPr>
            </w:pPr>
            <w:r>
              <w:rPr>
                <w:rFonts w:ascii="Arial" w:cs="Arial" w:eastAsia="Arial" w:hAnsi="Arial"/>
                <w:sz w:val="18"/>
                <w:szCs w:val="18"/>
                <w:color w:val="auto"/>
              </w:rPr>
              <w:t>2014082803811 (Orig amended)</w:t>
            </w:r>
          </w:p>
        </w:tc>
        <w:tc>
          <w:tcPr>
            <w:tcW w:w="3420" w:type="dxa"/>
            <w:vAlign w:val="bottom"/>
          </w:tcPr>
          <w:p>
            <w:pPr>
              <w:spacing w:after="0"/>
              <w:rPr>
                <w:sz w:val="20"/>
                <w:szCs w:val="20"/>
                <w:color w:val="auto"/>
              </w:rPr>
            </w:pPr>
            <w:r>
              <w:rPr>
                <w:rFonts w:ascii="Arial" w:cs="Arial" w:eastAsia="Arial" w:hAnsi="Arial"/>
                <w:sz w:val="18"/>
                <w:szCs w:val="18"/>
                <w:color w:val="auto"/>
              </w:rPr>
              <w:t>Original amended: 8/26/14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2014081308199</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8/13/14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8/13/19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w:t>
            </w:r>
          </w:p>
        </w:tc>
        <w:tc>
          <w:tcPr>
            <w:tcW w:w="3320" w:type="dxa"/>
            <w:vAlign w:val="bottom"/>
          </w:tcPr>
          <w:p>
            <w:pPr>
              <w:spacing w:after="0"/>
              <w:rPr>
                <w:sz w:val="20"/>
                <w:szCs w:val="20"/>
                <w:color w:val="auto"/>
              </w:rPr>
            </w:pPr>
            <w:r>
              <w:rPr>
                <w:rFonts w:ascii="Arial" w:cs="Arial" w:eastAsia="Arial" w:hAnsi="Arial"/>
                <w:sz w:val="18"/>
                <w:szCs w:val="18"/>
                <w:color w:val="auto"/>
              </w:rPr>
              <w:t>Prime Alliance Bank, Inc.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2014072406742</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7/24/14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VFI-SPV VIII, Corp.)</w:t>
            </w:r>
          </w:p>
        </w:tc>
        <w:tc>
          <w:tcPr>
            <w:tcW w:w="3860" w:type="dxa"/>
            <w:vAlign w:val="bottom"/>
            <w:gridSpan w:val="4"/>
          </w:tcPr>
          <w:p>
            <w:pPr>
              <w:ind w:left="240"/>
              <w:spacing w:after="0"/>
              <w:rPr>
                <w:sz w:val="20"/>
                <w:szCs w:val="20"/>
                <w:color w:val="auto"/>
              </w:rPr>
            </w:pPr>
            <w:r>
              <w:rPr>
                <w:rFonts w:ascii="Arial" w:cs="Arial" w:eastAsia="Arial" w:hAnsi="Arial"/>
                <w:sz w:val="18"/>
                <w:szCs w:val="18"/>
                <w:color w:val="auto"/>
              </w:rPr>
              <w:t>2014061105943 (Orig)</w:t>
            </w:r>
          </w:p>
        </w:tc>
        <w:tc>
          <w:tcPr>
            <w:tcW w:w="3420" w:type="dxa"/>
            <w:vAlign w:val="bottom"/>
          </w:tcPr>
          <w:p>
            <w:pPr>
              <w:spacing w:after="0"/>
              <w:rPr>
                <w:sz w:val="20"/>
                <w:szCs w:val="20"/>
                <w:color w:val="auto"/>
              </w:rPr>
            </w:pPr>
            <w:r>
              <w:rPr>
                <w:rFonts w:ascii="Arial" w:cs="Arial" w:eastAsia="Arial" w:hAnsi="Arial"/>
                <w:sz w:val="18"/>
                <w:szCs w:val="18"/>
                <w:color w:val="auto"/>
              </w:rPr>
              <w:t>Original: 6/11/14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6/11/19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5.</w:t>
            </w:r>
          </w:p>
        </w:tc>
        <w:tc>
          <w:tcPr>
            <w:tcW w:w="3320" w:type="dxa"/>
            <w:vAlign w:val="bottom"/>
          </w:tcPr>
          <w:p>
            <w:pPr>
              <w:spacing w:after="0"/>
              <w:rPr>
                <w:sz w:val="20"/>
                <w:szCs w:val="20"/>
                <w:color w:val="auto"/>
              </w:rPr>
            </w:pPr>
            <w:r>
              <w:rPr>
                <w:rFonts w:ascii="Arial" w:cs="Arial" w:eastAsia="Arial" w:hAnsi="Arial"/>
                <w:sz w:val="18"/>
                <w:szCs w:val="18"/>
                <w:color w:val="auto"/>
              </w:rPr>
              <w:t>Bank of Birmingham</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2014081901856</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(Amended)</w:t>
            </w:r>
          </w:p>
        </w:tc>
        <w:tc>
          <w:tcPr>
            <w:tcW w:w="3420" w:type="dxa"/>
            <w:vAlign w:val="bottom"/>
          </w:tcPr>
          <w:p>
            <w:pPr>
              <w:spacing w:after="0"/>
              <w:rPr>
                <w:sz w:val="20"/>
                <w:szCs w:val="20"/>
                <w:color w:val="auto"/>
              </w:rPr>
            </w:pPr>
            <w:r>
              <w:rPr>
                <w:rFonts w:ascii="Arial" w:cs="Arial" w:eastAsia="Arial" w:hAnsi="Arial"/>
                <w:sz w:val="18"/>
                <w:szCs w:val="18"/>
                <w:color w:val="auto"/>
              </w:rPr>
              <w:t>Amended: 8/15/14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VFI-SPV VIII, Corp.)</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2014072307754</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7/23/14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2014060609015</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6/6/14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6/6/19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6.</w:t>
            </w:r>
          </w:p>
        </w:tc>
        <w:tc>
          <w:tcPr>
            <w:tcW w:w="3320" w:type="dxa"/>
            <w:vAlign w:val="bottom"/>
          </w:tcPr>
          <w:p>
            <w:pPr>
              <w:spacing w:after="0"/>
              <w:rPr>
                <w:sz w:val="20"/>
                <w:szCs w:val="20"/>
                <w:color w:val="auto"/>
              </w:rPr>
            </w:pPr>
            <w:r>
              <w:rPr>
                <w:rFonts w:ascii="Arial" w:cs="Arial" w:eastAsia="Arial" w:hAnsi="Arial"/>
                <w:sz w:val="18"/>
                <w:szCs w:val="18"/>
                <w:color w:val="auto"/>
              </w:rPr>
              <w:t>Sterling National Bank</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2014081901882</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(Amended)</w:t>
            </w:r>
          </w:p>
        </w:tc>
        <w:tc>
          <w:tcPr>
            <w:tcW w:w="3420" w:type="dxa"/>
            <w:vAlign w:val="bottom"/>
          </w:tcPr>
          <w:p>
            <w:pPr>
              <w:spacing w:after="0"/>
              <w:rPr>
                <w:sz w:val="20"/>
                <w:szCs w:val="20"/>
                <w:color w:val="auto"/>
              </w:rPr>
            </w:pPr>
            <w:r>
              <w:rPr>
                <w:rFonts w:ascii="Arial" w:cs="Arial" w:eastAsia="Arial" w:hAnsi="Arial"/>
                <w:sz w:val="18"/>
                <w:szCs w:val="18"/>
                <w:color w:val="auto"/>
              </w:rPr>
              <w:t>Amended: 8/15/14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(Assignee 1: Republic Bank, Inc.)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2014081404422</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(2): 8/14/14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VFI-SPV VIII, Corp.)</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2014072405764</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(1): 7/24/14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2014060608936</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6/6/14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6/6/19</w:t>
            </w:r>
          </w:p>
        </w:tc>
      </w:tr>
      <w:tr>
        <w:trPr>
          <w:trHeight w:val="634"/>
        </w:trPr>
        <w:tc>
          <w:tcPr>
            <w:tcW w:w="820" w:type="dxa"/>
            <w:vAlign w:val="bottom"/>
          </w:tcPr>
          <w:p>
            <w:pPr>
              <w:spacing w:after="0"/>
              <w:rPr>
                <w:sz w:val="20"/>
                <w:szCs w:val="20"/>
                <w:color w:val="auto"/>
              </w:rPr>
            </w:pPr>
            <w:r>
              <w:rPr>
                <w:rFonts w:ascii="Arial" w:cs="Arial" w:eastAsia="Arial" w:hAnsi="Arial"/>
                <w:sz w:val="18"/>
                <w:szCs w:val="18"/>
                <w:color w:val="auto"/>
              </w:rPr>
              <w:t>7.</w:t>
            </w:r>
          </w:p>
        </w:tc>
        <w:tc>
          <w:tcPr>
            <w:tcW w:w="3320" w:type="dxa"/>
            <w:vAlign w:val="bottom"/>
          </w:tcPr>
          <w:p>
            <w:pPr>
              <w:spacing w:after="0"/>
              <w:rPr>
                <w:sz w:val="20"/>
                <w:szCs w:val="20"/>
                <w:color w:val="auto"/>
              </w:rPr>
            </w:pPr>
            <w:r>
              <w:rPr>
                <w:rFonts w:ascii="Arial" w:cs="Arial" w:eastAsia="Arial" w:hAnsi="Arial"/>
                <w:sz w:val="18"/>
                <w:szCs w:val="18"/>
                <w:color w:val="auto"/>
              </w:rPr>
              <w:t>VFI KR SPE I LLC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2014062407879</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6/24/14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VFI-SPV VIII, Corp.)</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2014060608873</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6/6/14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6/6/19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8.</w:t>
            </w:r>
          </w:p>
        </w:tc>
        <w:tc>
          <w:tcPr>
            <w:tcW w:w="3320" w:type="dxa"/>
            <w:vAlign w:val="bottom"/>
          </w:tcPr>
          <w:p>
            <w:pPr>
              <w:spacing w:after="0"/>
              <w:rPr>
                <w:sz w:val="20"/>
                <w:szCs w:val="20"/>
                <w:color w:val="auto"/>
              </w:rPr>
            </w:pPr>
            <w:r>
              <w:rPr>
                <w:rFonts w:ascii="Arial" w:cs="Arial" w:eastAsia="Arial" w:hAnsi="Arial"/>
                <w:sz w:val="18"/>
                <w:szCs w:val="18"/>
                <w:color w:val="auto"/>
              </w:rPr>
              <w:t>VFI KR SPE I LLC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2014062407855</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6/24/14</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VFI-SPV VIII, Corp.)</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2014060607643</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6/6/14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6/6/19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9.</w:t>
            </w:r>
          </w:p>
        </w:tc>
        <w:tc>
          <w:tcPr>
            <w:tcW w:w="3320" w:type="dxa"/>
            <w:vAlign w:val="bottom"/>
          </w:tcPr>
          <w:p>
            <w:pPr>
              <w:spacing w:after="0"/>
              <w:rPr>
                <w:sz w:val="20"/>
                <w:szCs w:val="20"/>
                <w:color w:val="auto"/>
              </w:rPr>
            </w:pPr>
            <w:r>
              <w:rPr>
                <w:rFonts w:ascii="Arial" w:cs="Arial" w:eastAsia="Arial" w:hAnsi="Arial"/>
                <w:sz w:val="18"/>
                <w:szCs w:val="18"/>
                <w:color w:val="auto"/>
              </w:rPr>
              <w:t>Macquarie Equipment Finance, Inc.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2014021205810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2/12/14</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2/12/19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w:t>
            </w:r>
          </w:p>
        </w:tc>
        <w:tc>
          <w:tcPr>
            <w:tcW w:w="3320" w:type="dxa"/>
            <w:vAlign w:val="bottom"/>
          </w:tcPr>
          <w:p>
            <w:pPr>
              <w:spacing w:after="0"/>
              <w:rPr>
                <w:sz w:val="20"/>
                <w:szCs w:val="20"/>
                <w:color w:val="auto"/>
              </w:rPr>
            </w:pPr>
            <w:r>
              <w:rPr>
                <w:rFonts w:ascii="Arial" w:cs="Arial" w:eastAsia="Arial" w:hAnsi="Arial"/>
                <w:sz w:val="18"/>
                <w:szCs w:val="18"/>
                <w:color w:val="auto"/>
              </w:rPr>
              <w:t>Banc of America Leasing &amp; Capital, LLC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2013032607039</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3/26/13</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Oracle Credit Corporation)</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2013012305580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(Orig)</w:t>
            </w:r>
          </w:p>
        </w:tc>
        <w:tc>
          <w:tcPr>
            <w:tcW w:w="3420" w:type="dxa"/>
            <w:vAlign w:val="bottom"/>
          </w:tcPr>
          <w:p>
            <w:pPr>
              <w:spacing w:after="0"/>
              <w:rPr>
                <w:sz w:val="20"/>
                <w:szCs w:val="20"/>
                <w:color w:val="auto"/>
              </w:rPr>
            </w:pPr>
            <w:r>
              <w:rPr>
                <w:rFonts w:ascii="Arial" w:cs="Arial" w:eastAsia="Arial" w:hAnsi="Arial"/>
                <w:sz w:val="18"/>
                <w:szCs w:val="18"/>
                <w:color w:val="auto"/>
              </w:rPr>
              <w:t>Original: 1/23/13</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1/23/18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3320" w:type="dxa"/>
            <w:vAlign w:val="bottom"/>
          </w:tcPr>
          <w:p>
            <w:pPr>
              <w:spacing w:after="0"/>
              <w:rPr>
                <w:sz w:val="20"/>
                <w:szCs w:val="20"/>
                <w:color w:val="auto"/>
              </w:rPr>
            </w:pPr>
            <w:r>
              <w:rPr>
                <w:rFonts w:ascii="Arial" w:cs="Arial" w:eastAsia="Arial" w:hAnsi="Arial"/>
                <w:sz w:val="18"/>
                <w:szCs w:val="18"/>
                <w:color w:val="auto"/>
              </w:rPr>
              <w:t>Banc of America Leasing &amp; Capital, LLC</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w w:val="89"/>
              </w:rPr>
              <w:t>2012021503616</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(Assigned)</w:t>
            </w:r>
          </w:p>
        </w:tc>
        <w:tc>
          <w:tcPr>
            <w:tcW w:w="3420" w:type="dxa"/>
            <w:vAlign w:val="bottom"/>
          </w:tcPr>
          <w:p>
            <w:pPr>
              <w:spacing w:after="0"/>
              <w:rPr>
                <w:sz w:val="20"/>
                <w:szCs w:val="20"/>
                <w:color w:val="auto"/>
              </w:rPr>
            </w:pPr>
            <w:r>
              <w:rPr>
                <w:rFonts w:ascii="Arial" w:cs="Arial" w:eastAsia="Arial" w:hAnsi="Arial"/>
                <w:sz w:val="18"/>
                <w:szCs w:val="18"/>
                <w:color w:val="auto"/>
              </w:rPr>
              <w:t>Assigned: 2/15/12</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 Oracle Credit Corporation)</w:t>
            </w:r>
          </w:p>
        </w:tc>
        <w:tc>
          <w:tcPr>
            <w:tcW w:w="3860" w:type="dxa"/>
            <w:vAlign w:val="bottom"/>
            <w:gridSpan w:val="4"/>
          </w:tcPr>
          <w:p>
            <w:pPr>
              <w:ind w:left="240"/>
              <w:spacing w:after="0"/>
              <w:rPr>
                <w:sz w:val="20"/>
                <w:szCs w:val="20"/>
                <w:color w:val="auto"/>
              </w:rPr>
            </w:pPr>
            <w:r>
              <w:rPr>
                <w:rFonts w:ascii="Arial" w:cs="Arial" w:eastAsia="Arial" w:hAnsi="Arial"/>
                <w:sz w:val="18"/>
                <w:szCs w:val="18"/>
                <w:color w:val="auto"/>
              </w:rPr>
              <w:t>2011110306258 (Orig)</w:t>
            </w:r>
          </w:p>
        </w:tc>
        <w:tc>
          <w:tcPr>
            <w:tcW w:w="3420" w:type="dxa"/>
            <w:vAlign w:val="bottom"/>
          </w:tcPr>
          <w:p>
            <w:pPr>
              <w:spacing w:after="0"/>
              <w:rPr>
                <w:sz w:val="20"/>
                <w:szCs w:val="20"/>
                <w:color w:val="auto"/>
              </w:rPr>
            </w:pPr>
            <w:r>
              <w:rPr>
                <w:rFonts w:ascii="Arial" w:cs="Arial" w:eastAsia="Arial" w:hAnsi="Arial"/>
                <w:sz w:val="18"/>
                <w:szCs w:val="18"/>
                <w:color w:val="auto"/>
              </w:rPr>
              <w:t>Original: 11/3/11</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11/3/16</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12.</w:t>
            </w:r>
          </w:p>
        </w:tc>
        <w:tc>
          <w:tcPr>
            <w:tcW w:w="3320" w:type="dxa"/>
            <w:vAlign w:val="bottom"/>
          </w:tcPr>
          <w:p>
            <w:pPr>
              <w:spacing w:after="0"/>
              <w:rPr>
                <w:sz w:val="20"/>
                <w:szCs w:val="20"/>
                <w:color w:val="auto"/>
              </w:rPr>
            </w:pPr>
            <w:r>
              <w:rPr>
                <w:rFonts w:ascii="Arial" w:cs="Arial" w:eastAsia="Arial" w:hAnsi="Arial"/>
                <w:sz w:val="18"/>
                <w:szCs w:val="18"/>
                <w:color w:val="auto"/>
              </w:rPr>
              <w:t>Dell Financial Services L.L.C.</w:t>
            </w:r>
          </w:p>
        </w:tc>
        <w:tc>
          <w:tcPr>
            <w:tcW w:w="3860" w:type="dxa"/>
            <w:vAlign w:val="bottom"/>
            <w:gridSpan w:val="4"/>
          </w:tcPr>
          <w:p>
            <w:pPr>
              <w:ind w:left="240"/>
              <w:spacing w:after="0"/>
              <w:rPr>
                <w:sz w:val="20"/>
                <w:szCs w:val="20"/>
                <w:color w:val="auto"/>
              </w:rPr>
            </w:pPr>
            <w:r>
              <w:rPr>
                <w:rFonts w:ascii="Arial" w:cs="Arial" w:eastAsia="Arial" w:hAnsi="Arial"/>
                <w:sz w:val="18"/>
                <w:szCs w:val="18"/>
                <w:color w:val="auto"/>
              </w:rPr>
              <w:t>2011063004616 (Orig)</w:t>
            </w:r>
          </w:p>
        </w:tc>
        <w:tc>
          <w:tcPr>
            <w:tcW w:w="3420" w:type="dxa"/>
            <w:vAlign w:val="bottom"/>
          </w:tcPr>
          <w:p>
            <w:pPr>
              <w:spacing w:after="0"/>
              <w:rPr>
                <w:sz w:val="20"/>
                <w:szCs w:val="20"/>
                <w:color w:val="auto"/>
              </w:rPr>
            </w:pPr>
            <w:r>
              <w:rPr>
                <w:rFonts w:ascii="Arial" w:cs="Arial" w:eastAsia="Arial" w:hAnsi="Arial"/>
                <w:sz w:val="18"/>
                <w:szCs w:val="18"/>
                <w:color w:val="auto"/>
              </w:rPr>
              <w:t>Original: 6/30/11</w:t>
            </w:r>
          </w:p>
        </w:tc>
      </w:tr>
      <w:tr>
        <w:trPr>
          <w:trHeight w:val="230"/>
        </w:trPr>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Expires: 6/30/16</w:t>
            </w:r>
          </w:p>
        </w:tc>
      </w:tr>
      <w:tr>
        <w:trPr>
          <w:trHeight w:val="675"/>
        </w:trPr>
        <w:tc>
          <w:tcPr>
            <w:tcW w:w="820" w:type="dxa"/>
            <w:vAlign w:val="bottom"/>
            <w:tcBorders>
              <w:bottom w:val="single" w:sz="8" w:color="DCDCDC"/>
            </w:tcBorders>
          </w:tcPr>
          <w:p>
            <w:pPr>
              <w:spacing w:after="0"/>
              <w:rPr>
                <w:sz w:val="24"/>
                <w:szCs w:val="24"/>
                <w:color w:val="auto"/>
              </w:rPr>
            </w:pPr>
          </w:p>
        </w:tc>
        <w:tc>
          <w:tcPr>
            <w:tcW w:w="33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6" w:name="page137"/>
    <w:bookmarkEnd w:id="136"/>
    <w:p>
      <w:pPr>
        <w:jc w:val="center"/>
        <w:ind w:right="-1220"/>
        <w:spacing w:after="0"/>
        <w:rPr>
          <w:sz w:val="20"/>
          <w:szCs w:val="20"/>
          <w:color w:val="auto"/>
        </w:rPr>
      </w:pPr>
      <w:r>
        <w:rPr>
          <w:rFonts w:ascii="Arial" w:cs="Arial" w:eastAsia="Arial" w:hAnsi="Arial"/>
          <w:sz w:val="18"/>
          <w:szCs w:val="18"/>
          <w:b w:val="1"/>
          <w:bCs w:val="1"/>
          <w:color w:val="auto"/>
        </w:rPr>
        <w:t>Schedule 5.6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u w:val="single" w:color="auto"/>
          <w:color w:val="auto"/>
        </w:rPr>
        <w:t>Inbound Licenses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37" w:name="page138"/>
    <w:bookmarkEnd w:id="137"/>
    <w:p>
      <w:pPr>
        <w:ind w:left="5240"/>
        <w:spacing w:after="0"/>
        <w:rPr>
          <w:sz w:val="20"/>
          <w:szCs w:val="20"/>
          <w:color w:val="auto"/>
        </w:rPr>
      </w:pPr>
      <w:r>
        <w:rPr>
          <w:rFonts w:ascii="Arial" w:cs="Arial" w:eastAsia="Arial" w:hAnsi="Arial"/>
          <w:sz w:val="15"/>
          <w:szCs w:val="15"/>
          <w:b w:val="1"/>
          <w:bCs w:val="1"/>
          <w:color w:val="auto"/>
        </w:rPr>
        <w:t>Schedule 5.7</w:t>
      </w:r>
    </w:p>
    <w:p>
      <w:pPr>
        <w:spacing w:after="0" w:line="62" w:lineRule="exact"/>
        <w:rPr>
          <w:sz w:val="20"/>
          <w:szCs w:val="20"/>
          <w:color w:val="auto"/>
        </w:rPr>
      </w:pPr>
    </w:p>
    <w:p>
      <w:pPr>
        <w:jc w:val="right"/>
        <w:ind w:right="4019"/>
        <w:spacing w:after="0"/>
        <w:rPr>
          <w:sz w:val="20"/>
          <w:szCs w:val="20"/>
          <w:color w:val="auto"/>
        </w:rPr>
      </w:pPr>
      <w:r>
        <w:rPr>
          <w:rFonts w:ascii="Arial" w:cs="Arial" w:eastAsia="Arial" w:hAnsi="Arial"/>
          <w:sz w:val="18"/>
          <w:szCs w:val="18"/>
          <w:b w:val="1"/>
          <w:bCs w:val="1"/>
          <w:u w:val="single" w:color="auto"/>
          <w:color w:val="auto"/>
        </w:rPr>
        <w:t>Prior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USA Entertainment Center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38" w:name="page139"/>
    <w:bookmarkEnd w:id="138"/>
    <w:p>
      <w:pPr>
        <w:jc w:val="center"/>
        <w:ind w:right="-11"/>
        <w:spacing w:after="0"/>
        <w:rPr>
          <w:sz w:val="20"/>
          <w:szCs w:val="20"/>
          <w:color w:val="auto"/>
        </w:rPr>
      </w:pPr>
      <w:r>
        <w:rPr>
          <w:rFonts w:ascii="Arial" w:cs="Arial" w:eastAsia="Arial" w:hAnsi="Arial"/>
          <w:sz w:val="18"/>
          <w:szCs w:val="18"/>
          <w:b w:val="1"/>
          <w:bCs w:val="1"/>
          <w:color w:val="auto"/>
        </w:rPr>
        <w:t>Schedule 5.8</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Litigation</w:t>
      </w:r>
    </w:p>
    <w:p>
      <w:pPr>
        <w:spacing w:after="0" w:line="211" w:lineRule="exact"/>
        <w:rPr>
          <w:sz w:val="20"/>
          <w:szCs w:val="20"/>
          <w:color w:val="auto"/>
        </w:rPr>
      </w:pPr>
    </w:p>
    <w:p>
      <w:pPr>
        <w:ind w:left="332" w:hanging="332"/>
        <w:spacing w:after="0"/>
        <w:tabs>
          <w:tab w:leader="none" w:pos="3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Action by and against Universal Clearing Solutions, LLC</w:t>
      </w:r>
    </w:p>
    <w:p>
      <w:pPr>
        <w:spacing w:after="0" w:line="225" w:lineRule="exact"/>
        <w:rPr>
          <w:rFonts w:ascii="Arial" w:cs="Arial" w:eastAsia="Arial" w:hAnsi="Arial"/>
          <w:sz w:val="18"/>
          <w:szCs w:val="18"/>
          <w:color w:val="auto"/>
        </w:rPr>
      </w:pPr>
    </w:p>
    <w:p>
      <w:pPr>
        <w:jc w:val="both"/>
        <w:ind w:left="332"/>
        <w:spacing w:after="0" w:line="291" w:lineRule="auto"/>
        <w:rPr>
          <w:rFonts w:ascii="Arial" w:cs="Arial" w:eastAsia="Arial" w:hAnsi="Arial"/>
          <w:sz w:val="18"/>
          <w:szCs w:val="18"/>
          <w:color w:val="auto"/>
        </w:rPr>
      </w:pPr>
      <w:r>
        <w:rPr>
          <w:rFonts w:ascii="Arial" w:cs="Arial" w:eastAsia="Arial" w:hAnsi="Arial"/>
          <w:sz w:val="16"/>
          <w:szCs w:val="16"/>
          <w:color w:val="auto"/>
        </w:rPr>
        <w:t>On January 26, 2015, Universal Clearing Solutions, LLC (“Universal Clearing”), a former non-vending customer of the Company, filed a complaint against the Company in the United States District Court for the District of Arizona. On April 10, 2015, Universal Clearing filed an amended complaint, and on June 19, 2015, Universal Clearing filed a second amended complaint, which alleged causes of action against the Company for breach of contract, breach of fiduciary duty, and defamation. On July 24, 2015, the Company filed an answer to the defamation count of the complaint denying the allegations, and filed a motion to dismiss the remaining counts. On January 29, 2016, the Court granted the Company's motion, and dismissed the breach of contract and breach of fiduciary duty claims against the Company. The Company does not believe that the remaining defamation count of the complaint has merit or represents a material legal proceeding, and intends to vigorously defend against the claim.</w:t>
      </w:r>
    </w:p>
    <w:p>
      <w:pPr>
        <w:spacing w:after="0" w:line="167" w:lineRule="exact"/>
        <w:rPr>
          <w:rFonts w:ascii="Arial" w:cs="Arial" w:eastAsia="Arial" w:hAnsi="Arial"/>
          <w:sz w:val="18"/>
          <w:szCs w:val="18"/>
          <w:color w:val="auto"/>
        </w:rPr>
      </w:pPr>
    </w:p>
    <w:p>
      <w:pPr>
        <w:jc w:val="both"/>
        <w:ind w:left="332"/>
        <w:spacing w:after="0" w:line="276" w:lineRule="auto"/>
        <w:rPr>
          <w:rFonts w:ascii="Arial" w:cs="Arial" w:eastAsia="Arial" w:hAnsi="Arial"/>
          <w:sz w:val="18"/>
          <w:szCs w:val="18"/>
          <w:color w:val="auto"/>
        </w:rPr>
      </w:pPr>
      <w:r>
        <w:rPr>
          <w:rFonts w:ascii="Arial" w:cs="Arial" w:eastAsia="Arial" w:hAnsi="Arial"/>
          <w:sz w:val="17"/>
          <w:szCs w:val="17"/>
          <w:color w:val="auto"/>
        </w:rPr>
        <w:t>On July 24, 2015, the Company filed a counterclaim against Universal Clearing seeking damages of approximately $680,000 which were incurred by the Company in connection with chargebacks relating to Universal Clearing’s sub-merchants which had been boarded on the Company’s service. The counterclaim alleges that Universal Clearing is responsible under the agreement for these chargebacks, and Universal Clearing misrepresented to the Company the business practices and other matters relating to these sub-merchants. On August 17, 2015, Universal Clearing filed an answer to the counterclaim denying that it was responsible for the chargebacks or had made any misrepresentations.</w:t>
      </w:r>
    </w:p>
    <w:p>
      <w:pPr>
        <w:spacing w:after="0" w:line="172" w:lineRule="exact"/>
        <w:rPr>
          <w:rFonts w:ascii="Arial" w:cs="Arial" w:eastAsia="Arial" w:hAnsi="Arial"/>
          <w:sz w:val="18"/>
          <w:szCs w:val="18"/>
          <w:color w:val="auto"/>
        </w:rPr>
      </w:pPr>
    </w:p>
    <w:p>
      <w:pPr>
        <w:jc w:val="both"/>
        <w:ind w:left="332"/>
        <w:spacing w:after="0" w:line="255" w:lineRule="auto"/>
        <w:rPr>
          <w:rFonts w:ascii="Arial" w:cs="Arial" w:eastAsia="Arial" w:hAnsi="Arial"/>
          <w:sz w:val="18"/>
          <w:szCs w:val="18"/>
          <w:color w:val="auto"/>
        </w:rPr>
      </w:pPr>
      <w:r>
        <w:rPr>
          <w:rFonts w:ascii="Arial" w:cs="Arial" w:eastAsia="Arial" w:hAnsi="Arial"/>
          <w:sz w:val="18"/>
          <w:szCs w:val="18"/>
          <w:color w:val="auto"/>
        </w:rPr>
        <w:t>On August 7, 2015, the Company filed a third party complaint in the pending action against Steven Juliver, the manager of Universal Clearing, as well as against Universal Tranware, LLC, and Secureswype, LLC, entities affiliated with Universal Clearing. The third-party complaint sets forth, among other things, causes of action for fraud and breach of contract, and seeks to recover from these defendants the chargebacks relating to Universal Clearing’s sub-merchants described above. On September 14, 2015, the third party defendants filed a motion to dismiss the third party complaint and on January 29, 2016, the court denied the motion to dismiss the fraud and breach of contract claims. The Company intends to vigorously pursue its claims for damages set forth in the counterclaim and third party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39" w:name="page140"/>
    <w:bookmarkEnd w:id="139"/>
    <w:p>
      <w:pPr>
        <w:ind w:left="332" w:hanging="332"/>
        <w:spacing w:after="0"/>
        <w:tabs>
          <w:tab w:leader="none" w:pos="3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Complaint by Steven P. Messner</w:t>
      </w:r>
    </w:p>
    <w:p>
      <w:pPr>
        <w:spacing w:after="0" w:line="225" w:lineRule="exact"/>
        <w:rPr>
          <w:rFonts w:ascii="Arial" w:cs="Arial" w:eastAsia="Arial" w:hAnsi="Arial"/>
          <w:sz w:val="18"/>
          <w:szCs w:val="18"/>
          <w:color w:val="auto"/>
        </w:rPr>
      </w:pPr>
    </w:p>
    <w:p>
      <w:pPr>
        <w:jc w:val="both"/>
        <w:ind w:left="332"/>
        <w:spacing w:after="0" w:line="269" w:lineRule="auto"/>
        <w:rPr>
          <w:rFonts w:ascii="Arial" w:cs="Arial" w:eastAsia="Arial" w:hAnsi="Arial"/>
          <w:sz w:val="18"/>
          <w:szCs w:val="18"/>
          <w:color w:val="auto"/>
        </w:rPr>
      </w:pPr>
      <w:r>
        <w:rPr>
          <w:rFonts w:ascii="Arial" w:cs="Arial" w:eastAsia="Arial" w:hAnsi="Arial"/>
          <w:sz w:val="17"/>
          <w:szCs w:val="17"/>
          <w:color w:val="auto"/>
        </w:rPr>
        <w:t>On October 1, 2015, a purported class action complaint was filed in the United States District Court for the Eastern District of Pennsylvania by Steven P. Messner, individually and on behalf of all others similarly situated, against the Company and its executive officers, alleging violations under the Securities Exchange Act of 1934. The lawsuit was filed on behalf of a purported class of investors who purchased or otherwise acquired securities of the Company between September 29, 2014 through September 29, 2015. The complaint alleges that the defendants made materially false and misleading statements, relating to, among other things, the failure to identify a large number of doubtful small balance accounts. The complaint seeks certification as a class action and unspecified damages including attorneys’ fees and other costs.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alleging, among other things, the amended complaint does not satisfy the applicable pleading standards under the Private Securities Litigation Reform Act. The Court has not yet ruled on the motion to dismiss. Although the ultimate outcome of litigation cannot be predicted with certainty, the Company believes that this lawsuit is without merit and intends to vigorously defend against the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416560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40" w:name="page141"/>
    <w:bookmarkEnd w:id="140"/>
    <w:p>
      <w:pPr>
        <w:jc w:val="right"/>
        <w:ind w:right="3979"/>
        <w:spacing w:after="0"/>
        <w:rPr>
          <w:sz w:val="20"/>
          <w:szCs w:val="20"/>
          <w:color w:val="auto"/>
        </w:rPr>
      </w:pPr>
      <w:r>
        <w:rPr>
          <w:rFonts w:ascii="Arial" w:cs="Arial" w:eastAsia="Arial" w:hAnsi="Arial"/>
          <w:sz w:val="18"/>
          <w:szCs w:val="18"/>
          <w:b w:val="1"/>
          <w:bCs w:val="1"/>
          <w:color w:val="auto"/>
        </w:rPr>
        <w:t>Schedule 5.14</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6"/>
          <w:szCs w:val="16"/>
          <w:b w:val="1"/>
          <w:bCs w:val="1"/>
          <w:u w:val="single" w:color="auto"/>
          <w:color w:val="auto"/>
        </w:rPr>
        <w:t>Subsidiaries</w:t>
      </w:r>
    </w:p>
    <w:p>
      <w:pPr>
        <w:spacing w:after="0" w:line="252"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Stitch Networks Corporation, a Delaware corporation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USAT Capital Corp, LLC, a Pennsylvania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20" w:type="dxa"/>
            <w:vAlign w:val="bottom"/>
            <w:gridSpan w:val="4"/>
          </w:tcPr>
          <w:p>
            <w:pPr>
              <w:jc w:val="center"/>
              <w:ind w:right="2720"/>
              <w:spacing w:after="0"/>
              <w:rPr>
                <w:sz w:val="20"/>
                <w:szCs w:val="20"/>
                <w:color w:val="auto"/>
              </w:rPr>
            </w:pPr>
            <w:r>
              <w:rPr>
                <w:rFonts w:ascii="Arial" w:cs="Arial" w:eastAsia="Arial" w:hAnsi="Arial"/>
                <w:sz w:val="18"/>
                <w:szCs w:val="18"/>
                <w:b w:val="1"/>
                <w:bCs w:val="1"/>
                <w:color w:val="auto"/>
                <w:w w:val="88"/>
              </w:rPr>
              <w:t>Schedule 5.16</w:t>
            </w:r>
          </w:p>
        </w:tc>
        <w:tc>
          <w:tcPr>
            <w:tcW w:w="1140" w:type="dxa"/>
            <w:vAlign w:val="bottom"/>
          </w:tcPr>
          <w:p>
            <w:pPr>
              <w:spacing w:after="0"/>
              <w:rPr>
                <w:sz w:val="20"/>
                <w:szCs w:val="20"/>
                <w:color w:val="auto"/>
              </w:rPr>
            </w:pPr>
          </w:p>
        </w:tc>
      </w:tr>
      <w:tr>
        <w:trPr>
          <w:trHeight w:val="392"/>
        </w:trPr>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20" w:type="dxa"/>
            <w:vAlign w:val="bottom"/>
            <w:gridSpan w:val="4"/>
          </w:tcPr>
          <w:p>
            <w:pPr>
              <w:jc w:val="center"/>
              <w:ind w:right="2720"/>
              <w:spacing w:after="0"/>
              <w:rPr>
                <w:sz w:val="20"/>
                <w:szCs w:val="20"/>
                <w:color w:val="auto"/>
              </w:rPr>
            </w:pPr>
            <w:r>
              <w:rPr>
                <w:rFonts w:ascii="Arial" w:cs="Arial" w:eastAsia="Arial" w:hAnsi="Arial"/>
                <w:sz w:val="18"/>
                <w:szCs w:val="18"/>
                <w:b w:val="1"/>
                <w:bCs w:val="1"/>
                <w:color w:val="auto"/>
                <w:w w:val="89"/>
              </w:rPr>
              <w:t>Operating, Depository and Investment Accounts</w:t>
            </w:r>
          </w:p>
        </w:tc>
        <w:tc>
          <w:tcPr>
            <w:tcW w:w="1140" w:type="dxa"/>
            <w:vAlign w:val="bottom"/>
          </w:tcPr>
          <w:p>
            <w:pPr>
              <w:spacing w:after="0"/>
              <w:rPr>
                <w:sz w:val="24"/>
                <w:szCs w:val="24"/>
                <w:color w:val="auto"/>
              </w:rPr>
            </w:pPr>
          </w:p>
        </w:tc>
      </w:tr>
      <w:tr>
        <w:trPr>
          <w:trHeight w:val="453"/>
        </w:trPr>
        <w:tc>
          <w:tcPr>
            <w:tcW w:w="3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Institution</w:t>
            </w:r>
          </w:p>
        </w:tc>
        <w:tc>
          <w:tcPr>
            <w:tcW w:w="2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Account #</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JPMorgan Chase Bank</w:t>
            </w:r>
          </w:p>
        </w:tc>
        <w:tc>
          <w:tcPr>
            <w:tcW w:w="3900" w:type="dxa"/>
            <w:vAlign w:val="bottom"/>
            <w:gridSpan w:val="4"/>
          </w:tcPr>
          <w:p>
            <w:pPr>
              <w:ind w:left="214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PO Box 659754</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San Antonio, TX 78265-9754</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JPMorgan Chase Bank</w:t>
            </w:r>
          </w:p>
        </w:tc>
        <w:tc>
          <w:tcPr>
            <w:tcW w:w="3900" w:type="dxa"/>
            <w:vAlign w:val="bottom"/>
            <w:gridSpan w:val="4"/>
          </w:tcPr>
          <w:p>
            <w:pPr>
              <w:ind w:left="214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w w:val="98"/>
              </w:rPr>
              <w:t>Royal Bank Plaza, South Tower</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200 Bay Street, Suite 1800</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Toronto, Ontario Canada</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Univest Bank and Trust</w:t>
            </w:r>
          </w:p>
        </w:tc>
        <w:tc>
          <w:tcPr>
            <w:tcW w:w="3900" w:type="dxa"/>
            <w:vAlign w:val="bottom"/>
            <w:gridSpan w:val="4"/>
          </w:tcPr>
          <w:p>
            <w:pPr>
              <w:ind w:left="214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14 North Main Street</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P.O. Box 197</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Souderton, PA 18964</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AvidBank</w:t>
            </w:r>
          </w:p>
        </w:tc>
        <w:tc>
          <w:tcPr>
            <w:tcW w:w="3900" w:type="dxa"/>
            <w:vAlign w:val="bottom"/>
            <w:gridSpan w:val="4"/>
          </w:tcPr>
          <w:p>
            <w:pPr>
              <w:ind w:left="214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P.O. Box 1730</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gridSpan w:val="2"/>
          </w:tcPr>
          <w:p>
            <w:pPr>
              <w:ind w:left="1140"/>
              <w:spacing w:after="0"/>
              <w:rPr>
                <w:sz w:val="20"/>
                <w:szCs w:val="20"/>
                <w:color w:val="auto"/>
              </w:rPr>
            </w:pPr>
            <w:r>
              <w:rPr>
                <w:rFonts w:ascii="Arial" w:cs="Arial" w:eastAsia="Arial" w:hAnsi="Arial"/>
                <w:sz w:val="18"/>
                <w:szCs w:val="18"/>
                <w:color w:val="auto"/>
              </w:rPr>
              <w:t>Palo Alto, CA 94302-1730</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75"/>
        </w:trPr>
        <w:tc>
          <w:tcPr>
            <w:tcW w:w="1160" w:type="dxa"/>
            <w:vAlign w:val="bottom"/>
            <w:tcBorders>
              <w:bottom w:val="single" w:sz="8" w:color="DCDCDC"/>
            </w:tcBorders>
          </w:tcPr>
          <w:p>
            <w:pPr>
              <w:spacing w:after="0"/>
              <w:rPr>
                <w:sz w:val="24"/>
                <w:szCs w:val="24"/>
                <w:color w:val="auto"/>
              </w:rPr>
            </w:pPr>
          </w:p>
        </w:tc>
        <w:tc>
          <w:tcPr>
            <w:tcW w:w="25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7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760" w:type="dxa"/>
            <w:vAlign w:val="bottom"/>
            <w:tcBorders>
              <w:bottom w:val="single" w:sz="8" w:color="DCDCDC"/>
            </w:tcBorders>
          </w:tcPr>
          <w:p>
            <w:pPr>
              <w:spacing w:after="0"/>
              <w:rPr>
                <w:sz w:val="24"/>
                <w:szCs w:val="24"/>
                <w:color w:val="auto"/>
              </w:rPr>
            </w:pPr>
          </w:p>
        </w:tc>
        <w:tc>
          <w:tcPr>
            <w:tcW w:w="27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Intellectual Property Security Agreement is entered into as of March 29, 2016 by and between HERITAGE BANK OF COMMERCE, a California corporation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Bank has agreed to make certain advances of money and to extend certain financial accommodations to Borrower under that certain Loan and Security Agreement by and between Bank and Borrower dated of even date herewith (as amended from time to time, the “Loan Agreement”). Capitalized terms used herein are used as defined in the Loan Agreement. Pursuant to the terms of the Loan Agreement, Borrower has granted to Bank a security interest in the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Borrower agrees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secure its Obligations under the Loan Agreement, Borrower grants to Bank a security interest in all of Borrower’s right, title and interest in, its Intellectual Property (including without limitation those Copyrights, Patents and Trademarks listed on Schedules A, B and C hereto) and all proceeds thereof (such as, by way of example but not by way of limitation, license royalties and proceeds of infringement suits), the right to sue for past, present and future infringements, all rights corresponding thereto throughout the world and all re-issues, divisions, continuations, renewals, extensions and continuations-in-part thereof. Borrower represents and warrants that Schedules A, B and C attached hereto set forth any and all Intellectual Property in connection to which Borrower has registered or filed an application with either the United States Patent and Trademark Office or the United States Copyright Office, as applicable. Bank shall release and terminate its security interest in Borrower’s Intellectual Property upon satisfaction of Borrower’s Obligations (other than inchoate indemnity obligations and any other obligations which, by their terms, are to survive the termination of the Loan Agreement), and shall execute and deliver such further instruments and take such further action as may reasonably be requested by Borrower to effect the release and termination of such security interest and to re-vest in Borrower the full title to the Intellectual Property. This Agreement may be executed in two or more counterparts, each of which shall be deemed an original but all of which together shall constitute the same instrument.</w:t>
      </w:r>
    </w:p>
    <w:p>
      <w:pPr>
        <w:spacing w:after="0" w:line="1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3" w:name="page144"/>
    <w:bookmarkEnd w:id="143"/>
    <w:p>
      <w:pPr>
        <w:ind w:right="60"/>
        <w:spacing w:after="0" w:line="277" w:lineRule="auto"/>
        <w:rPr>
          <w:sz w:val="20"/>
          <w:szCs w:val="20"/>
          <w:color w:val="auto"/>
        </w:rPr>
      </w:pPr>
      <w:r>
        <w:rPr>
          <w:rFonts w:ascii="Arial" w:cs="Arial" w:eastAsia="Arial" w:hAnsi="Arial"/>
          <w:sz w:val="18"/>
          <w:szCs w:val="18"/>
          <w:color w:val="auto"/>
        </w:rPr>
        <w:t>IN WITNESS WHEREOF, the parties have caused this Intellectual Property Security Agreement to be duly executed by its officers thereunto duly authorized as of the first date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2"/>
          </w:tcPr>
          <w:p>
            <w:pPr>
              <w:ind w:left="1560"/>
              <w:spacing w:after="0"/>
              <w:rPr>
                <w:sz w:val="20"/>
                <w:szCs w:val="20"/>
                <w:color w:val="auto"/>
              </w:rPr>
            </w:pPr>
            <w:r>
              <w:rPr>
                <w:rFonts w:ascii="Arial" w:cs="Arial" w:eastAsia="Arial" w:hAnsi="Arial"/>
                <w:sz w:val="18"/>
                <w:szCs w:val="18"/>
                <w:b w:val="1"/>
                <w:bCs w:val="1"/>
                <w:color w:val="auto"/>
              </w:rPr>
              <w:t>BORROWER:</w:t>
            </w:r>
          </w:p>
        </w:tc>
        <w:tc>
          <w:tcPr>
            <w:tcW w:w="0" w:type="dxa"/>
            <w:vAlign w:val="bottom"/>
          </w:tcPr>
          <w:p>
            <w:pPr>
              <w:spacing w:after="0"/>
              <w:rPr>
                <w:sz w:val="1"/>
                <w:szCs w:val="1"/>
                <w:color w:val="auto"/>
              </w:rPr>
            </w:pPr>
          </w:p>
        </w:tc>
      </w:tr>
      <w:tr>
        <w:trPr>
          <w:trHeight w:val="234"/>
        </w:trPr>
        <w:tc>
          <w:tcPr>
            <w:tcW w:w="3820" w:type="dxa"/>
            <w:vAlign w:val="bottom"/>
            <w:vMerge w:val="restart"/>
          </w:tcPr>
          <w:p>
            <w:pPr>
              <w:spacing w:after="0"/>
              <w:rPr>
                <w:sz w:val="20"/>
                <w:szCs w:val="20"/>
                <w:color w:val="auto"/>
              </w:rPr>
            </w:pPr>
            <w:r>
              <w:rPr>
                <w:rFonts w:ascii="Arial" w:cs="Arial" w:eastAsia="Arial" w:hAnsi="Arial"/>
                <w:sz w:val="18"/>
                <w:szCs w:val="18"/>
                <w:color w:val="auto"/>
              </w:rPr>
              <w:t>Address of Borrower:</w:t>
            </w:r>
          </w:p>
        </w:tc>
        <w:tc>
          <w:tcPr>
            <w:tcW w:w="7600" w:type="dxa"/>
            <w:vAlign w:val="bottom"/>
            <w:gridSpan w:val="2"/>
          </w:tcPr>
          <w:p>
            <w:pPr>
              <w:ind w:left="1560"/>
              <w:spacing w:after="0"/>
              <w:rPr>
                <w:sz w:val="20"/>
                <w:szCs w:val="20"/>
                <w:color w:val="auto"/>
              </w:rPr>
            </w:pPr>
            <w:r>
              <w:rPr>
                <w:rFonts w:ascii="Arial" w:cs="Arial" w:eastAsia="Arial" w:hAnsi="Arial"/>
                <w:sz w:val="18"/>
                <w:szCs w:val="18"/>
                <w:b w:val="1"/>
                <w:bCs w:val="1"/>
                <w:color w:val="auto"/>
              </w:rPr>
              <w:t>USA TECHNOLOGIES, INC.</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2360" w:type="dxa"/>
            <w:vAlign w:val="bottom"/>
            <w:vMerge w:val="restart"/>
          </w:tcPr>
          <w:p>
            <w:pPr>
              <w:ind w:left="1560"/>
              <w:spacing w:after="0"/>
              <w:rPr>
                <w:sz w:val="20"/>
                <w:szCs w:val="20"/>
                <w:color w:val="auto"/>
              </w:rPr>
            </w:pPr>
            <w:r>
              <w:rPr>
                <w:rFonts w:ascii="Arial" w:cs="Arial" w:eastAsia="Arial" w:hAnsi="Arial"/>
                <w:sz w:val="18"/>
                <w:szCs w:val="18"/>
                <w:color w:val="auto"/>
              </w:rPr>
              <w:t>By:</w:t>
            </w:r>
          </w:p>
        </w:tc>
        <w:tc>
          <w:tcPr>
            <w:tcW w:w="5240" w:type="dxa"/>
            <w:vAlign w:val="bottom"/>
            <w:vMerge w:val="restart"/>
          </w:tcPr>
          <w:p>
            <w:pPr>
              <w:spacing w:after="0"/>
              <w:rPr>
                <w:sz w:val="20"/>
                <w:szCs w:val="20"/>
                <w:color w:val="auto"/>
              </w:rPr>
            </w:pPr>
            <w:r>
              <w:rPr>
                <w:rFonts w:ascii="Arial" w:cs="Arial" w:eastAsia="Arial" w:hAnsi="Arial"/>
                <w:sz w:val="18"/>
                <w:szCs w:val="18"/>
                <w:color w:val="auto"/>
              </w:rPr>
              <w:t>/s/ Stephen P. Herbert</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5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100 Deerfield Lane, Suite 140</w:t>
            </w:r>
          </w:p>
        </w:tc>
        <w:tc>
          <w:tcPr>
            <w:tcW w:w="2360" w:type="dxa"/>
            <w:vAlign w:val="bottom"/>
          </w:tcPr>
          <w:p>
            <w:pPr>
              <w:ind w:left="1560"/>
              <w:spacing w:after="0" w:line="201"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Malvern, PA 19355</w:t>
            </w:r>
          </w:p>
        </w:tc>
        <w:tc>
          <w:tcPr>
            <w:tcW w:w="2360" w:type="dxa"/>
            <w:vAlign w:val="bottom"/>
          </w:tcPr>
          <w:p>
            <w:pPr>
              <w:ind w:left="156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Attn: Chief Financial Officer</w:t>
            </w:r>
          </w:p>
        </w:tc>
        <w:tc>
          <w:tcPr>
            <w:tcW w:w="2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Fax: 610-989-0344</w:t>
            </w:r>
          </w:p>
        </w:tc>
        <w:tc>
          <w:tcPr>
            <w:tcW w:w="2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Email: lmaxwell@usatech.com</w:t>
            </w:r>
          </w:p>
        </w:tc>
        <w:tc>
          <w:tcPr>
            <w:tcW w:w="23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color w:val="auto"/>
              </w:rPr>
              <w:t>Address of Bank:</w:t>
            </w:r>
          </w:p>
        </w:tc>
        <w:tc>
          <w:tcPr>
            <w:tcW w:w="2160" w:type="dxa"/>
            <w:vAlign w:val="bottom"/>
          </w:tcPr>
          <w:p>
            <w:pPr>
              <w:ind w:left="1360"/>
              <w:spacing w:after="0"/>
              <w:rPr>
                <w:sz w:val="20"/>
                <w:szCs w:val="20"/>
                <w:color w:val="auto"/>
              </w:rPr>
            </w:pPr>
            <w:r>
              <w:rPr>
                <w:rFonts w:ascii="Arial" w:cs="Arial" w:eastAsia="Arial" w:hAnsi="Arial"/>
                <w:sz w:val="18"/>
                <w:szCs w:val="18"/>
                <w:b w:val="1"/>
                <w:bCs w:val="1"/>
                <w:color w:val="auto"/>
              </w:rPr>
              <w:t>BANK:</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vMerge w:val="continue"/>
          </w:tcPr>
          <w:p>
            <w:pPr>
              <w:spacing w:after="0"/>
              <w:rPr>
                <w:sz w:val="18"/>
                <w:szCs w:val="18"/>
                <w:color w:val="auto"/>
              </w:rPr>
            </w:pPr>
          </w:p>
        </w:tc>
        <w:tc>
          <w:tcPr>
            <w:tcW w:w="7400" w:type="dxa"/>
            <w:vAlign w:val="bottom"/>
            <w:gridSpan w:val="2"/>
            <w:vMerge w:val="restart"/>
          </w:tcPr>
          <w:p>
            <w:pPr>
              <w:ind w:left="1360"/>
              <w:spacing w:after="0"/>
              <w:rPr>
                <w:sz w:val="20"/>
                <w:szCs w:val="20"/>
                <w:color w:val="auto"/>
              </w:rPr>
            </w:pPr>
            <w:r>
              <w:rPr>
                <w:rFonts w:ascii="Arial" w:cs="Arial" w:eastAsia="Arial" w:hAnsi="Arial"/>
                <w:sz w:val="18"/>
                <w:szCs w:val="18"/>
                <w:b w:val="1"/>
                <w:bCs w:val="1"/>
                <w:color w:val="auto"/>
              </w:rPr>
              <w:t>HERITAGE BANK OF COMMERCE</w:t>
            </w:r>
          </w:p>
        </w:tc>
        <w:tc>
          <w:tcPr>
            <w:tcW w:w="0" w:type="dxa"/>
            <w:vAlign w:val="bottom"/>
          </w:tcPr>
          <w:p>
            <w:pPr>
              <w:spacing w:after="0"/>
              <w:rPr>
                <w:sz w:val="1"/>
                <w:szCs w:val="1"/>
                <w:color w:val="auto"/>
              </w:rPr>
            </w:pPr>
          </w:p>
        </w:tc>
      </w:tr>
      <w:tr>
        <w:trPr>
          <w:trHeight w:val="216"/>
        </w:trPr>
        <w:tc>
          <w:tcPr>
            <w:tcW w:w="4020" w:type="dxa"/>
            <w:vAlign w:val="bottom"/>
            <w:vMerge w:val="restart"/>
          </w:tcPr>
          <w:p>
            <w:pPr>
              <w:spacing w:after="0"/>
              <w:rPr>
                <w:sz w:val="20"/>
                <w:szCs w:val="20"/>
                <w:color w:val="auto"/>
              </w:rPr>
            </w:pPr>
            <w:r>
              <w:rPr>
                <w:rFonts w:ascii="Arial" w:cs="Arial" w:eastAsia="Arial" w:hAnsi="Arial"/>
                <w:sz w:val="18"/>
                <w:szCs w:val="18"/>
                <w:color w:val="auto"/>
              </w:rPr>
              <w:t>150 South Almaden Blvd.</w:t>
            </w:r>
          </w:p>
        </w:tc>
        <w:tc>
          <w:tcPr>
            <w:tcW w:w="7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San Jose, CA 95113</w:t>
            </w:r>
          </w:p>
        </w:tc>
        <w:tc>
          <w:tcPr>
            <w:tcW w:w="2160" w:type="dxa"/>
            <w:vAlign w:val="bottom"/>
          </w:tcPr>
          <w:p>
            <w:pPr>
              <w:ind w:left="13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Karla Schrader</w:t>
            </w: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Attn: Mike Hansen</w:t>
            </w:r>
          </w:p>
        </w:tc>
        <w:tc>
          <w:tcPr>
            <w:tcW w:w="2160" w:type="dxa"/>
            <w:vAlign w:val="bottom"/>
          </w:tcPr>
          <w:p>
            <w:pPr>
              <w:ind w:left="1360"/>
              <w:spacing w:after="0" w:line="201"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Karla Schrader</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Fax: (408) 947-6910</w:t>
            </w:r>
          </w:p>
        </w:tc>
        <w:tc>
          <w:tcPr>
            <w:tcW w:w="2160" w:type="dxa"/>
            <w:vAlign w:val="bottom"/>
          </w:tcPr>
          <w:p>
            <w:pPr>
              <w:ind w:left="136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VP</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Email: Mike.Hansen@herbank.com</w:t>
            </w:r>
          </w:p>
        </w:tc>
        <w:tc>
          <w:tcPr>
            <w:tcW w:w="2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020" w:type="dxa"/>
            <w:vAlign w:val="bottom"/>
            <w:tcBorders>
              <w:bottom w:val="single" w:sz="8" w:color="DCDCDC"/>
            </w:tcBorders>
          </w:tcPr>
          <w:p>
            <w:pPr>
              <w:spacing w:after="0"/>
              <w:rPr>
                <w:sz w:val="24"/>
                <w:szCs w:val="24"/>
                <w:color w:val="auto"/>
              </w:rPr>
            </w:pPr>
          </w:p>
        </w:tc>
        <w:tc>
          <w:tcPr>
            <w:tcW w:w="2160" w:type="dxa"/>
            <w:vAlign w:val="bottom"/>
            <w:tcBorders>
              <w:bottom w:val="single" w:sz="8" w:color="DCDCDC"/>
            </w:tcBorders>
          </w:tcPr>
          <w:p>
            <w:pPr>
              <w:spacing w:after="0"/>
              <w:rPr>
                <w:sz w:val="24"/>
                <w:szCs w:val="24"/>
                <w:color w:val="auto"/>
              </w:rPr>
            </w:pPr>
          </w:p>
        </w:tc>
        <w:tc>
          <w:tcPr>
            <w:tcW w:w="52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None, check this box: 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320" w:type="dxa"/>
            <w:vAlign w:val="bottom"/>
            <w:gridSpan w:val="3"/>
          </w:tcPr>
          <w:p>
            <w:pPr>
              <w:jc w:val="center"/>
              <w:ind w:right="3220"/>
              <w:spacing w:after="0"/>
              <w:rPr>
                <w:sz w:val="20"/>
                <w:szCs w:val="20"/>
                <w:color w:val="auto"/>
              </w:rPr>
            </w:pPr>
            <w:r>
              <w:rPr>
                <w:rFonts w:ascii="Arial" w:cs="Arial" w:eastAsia="Arial" w:hAnsi="Arial"/>
                <w:sz w:val="18"/>
                <w:szCs w:val="18"/>
                <w:color w:val="auto"/>
                <w:w w:val="95"/>
              </w:rPr>
              <w:t>SCHEDULE B</w:t>
            </w:r>
          </w:p>
        </w:tc>
        <w:tc>
          <w:tcPr>
            <w:tcW w:w="19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Patents</w:t>
            </w:r>
          </w:p>
        </w:tc>
        <w:tc>
          <w:tcPr>
            <w:tcW w:w="322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Patent / Application</w:t>
            </w:r>
          </w:p>
        </w:tc>
      </w:tr>
      <w:tr>
        <w:trPr>
          <w:trHeight w:val="230"/>
        </w:trPr>
        <w:tc>
          <w:tcPr>
            <w:tcW w:w="20" w:type="dxa"/>
            <w:vAlign w:val="bottom"/>
          </w:tcPr>
          <w:p>
            <w:pPr>
              <w:spacing w:after="0"/>
              <w:rPr>
                <w:sz w:val="20"/>
                <w:szCs w:val="20"/>
                <w:color w:val="auto"/>
              </w:rPr>
            </w:pPr>
          </w:p>
        </w:tc>
        <w:tc>
          <w:tcPr>
            <w:tcW w:w="9460" w:type="dxa"/>
            <w:vAlign w:val="bottom"/>
            <w:gridSpan w:val="4"/>
          </w:tcPr>
          <w:p>
            <w:pPr>
              <w:ind w:left="4240"/>
              <w:spacing w:after="0"/>
              <w:rPr>
                <w:sz w:val="20"/>
                <w:szCs w:val="20"/>
                <w:color w:val="auto"/>
              </w:rPr>
            </w:pPr>
            <w:r>
              <w:rPr>
                <w:rFonts w:ascii="Arial" w:cs="Arial" w:eastAsia="Arial" w:hAnsi="Arial"/>
                <w:sz w:val="18"/>
                <w:szCs w:val="18"/>
                <w:color w:val="auto"/>
              </w:rPr>
              <w:t>Description</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195"/>
        </w:trPr>
        <w:tc>
          <w:tcPr>
            <w:tcW w:w="20" w:type="dxa"/>
            <w:vAlign w:val="bottom"/>
          </w:tcPr>
          <w:p>
            <w:pPr>
              <w:spacing w:after="0"/>
              <w:rPr>
                <w:sz w:val="16"/>
                <w:szCs w:val="16"/>
                <w:color w:val="auto"/>
              </w:rPr>
            </w:pPr>
          </w:p>
        </w:tc>
        <w:tc>
          <w:tcPr>
            <w:tcW w:w="93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An in-vehicle device for wirelessly connecting a vehicle to the internet and for transacting e-commerce and e-business</w:t>
            </w:r>
          </w:p>
        </w:tc>
        <w:tc>
          <w:tcPr>
            <w:tcW w:w="12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6,856,820</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Apparatus and methods for monitoring and communicating with a plurality of networked vending machines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5,844,808</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Apparatus, system, and methods for retrofitting vending systems with wireless communication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Serial #:</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14/681,463</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Card reader assembly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7,690,495</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Cashless vending transaction management by a vend assist mode of operation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7,693,602</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Cashless vending transaction management by a vend assist mode of operation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7,076,329</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Cashless vending system with tethered payment interface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7,464,867</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w w:val="95"/>
              </w:rPr>
              <w:t>Communicating interactive digital content between vehicles and internet based data processing resources for the purpose of</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6,615,186</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transacting e-commerce or conducting e-business</w:t>
            </w:r>
          </w:p>
        </w:tc>
        <w:tc>
          <w:tcPr>
            <w:tcW w:w="1940" w:type="dxa"/>
            <w:vAlign w:val="bottom"/>
          </w:tcPr>
          <w:p>
            <w:pPr>
              <w:spacing w:after="0"/>
              <w:rPr>
                <w:sz w:val="18"/>
                <w:szCs w:val="18"/>
                <w:color w:val="auto"/>
              </w:rPr>
            </w:pP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Communication interface device for managing wireless data transmission between a vehicle and the internet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7,003,289</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w w:val="96"/>
              </w:rPr>
              <w:t>Credit and bank issued debit card operated system and method for controlling a prepaid card encoding/dispensing machine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5,637,845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Credit and bank issued debit card operated system and method for controlling a vending machine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6,152,365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w w:val="92"/>
              </w:rPr>
              <w:t>Credit card and bank issued debit card operated system and method for controlling and monitoring access of computer and copy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5,619,024</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equipment</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Credit card, smart card and bank issued debit card operated system and method for processing electronic transactions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6,119,934</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Dataport</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D423,474</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Devices and Methods for Providing Cashless Payment and Diagnostics for Vending Machines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8,373,558</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Dynamic identification interchange method for exchanging one form of identification for another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6,754,641</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Electronic commerce terminal enclosure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D428,047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Electronic commerce terminal enclosure with brackets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D441,401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Electronic commerce terminal enclosure for a vending machine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D428,444</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16"/>
        </w:trPr>
        <w:tc>
          <w:tcPr>
            <w:tcW w:w="9480" w:type="dxa"/>
            <w:vAlign w:val="bottom"/>
            <w:gridSpan w:val="5"/>
          </w:tcPr>
          <w:p>
            <w:pPr>
              <w:spacing w:after="0"/>
              <w:rPr>
                <w:sz w:val="20"/>
                <w:szCs w:val="20"/>
                <w:color w:val="auto"/>
              </w:rPr>
            </w:pPr>
            <w:r>
              <w:rPr>
                <w:rFonts w:ascii="Arial" w:cs="Arial" w:eastAsia="Arial" w:hAnsi="Arial"/>
                <w:sz w:val="18"/>
                <w:szCs w:val="18"/>
                <w:color w:val="auto"/>
              </w:rPr>
              <w:t>Electronic commerce terminal enclosure for a vending machine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D437,890</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(Expired)</w:t>
            </w:r>
          </w:p>
        </w:tc>
      </w:tr>
      <w:tr>
        <w:trPr>
          <w:trHeight w:val="230"/>
        </w:trPr>
        <w:tc>
          <w:tcPr>
            <w:tcW w:w="9480" w:type="dxa"/>
            <w:vAlign w:val="bottom"/>
            <w:gridSpan w:val="5"/>
          </w:tcPr>
          <w:p>
            <w:pPr>
              <w:spacing w:after="0"/>
              <w:rPr>
                <w:sz w:val="20"/>
                <w:szCs w:val="20"/>
                <w:color w:val="auto"/>
              </w:rPr>
            </w:pPr>
            <w:r>
              <w:rPr>
                <w:rFonts w:ascii="Arial" w:cs="Arial" w:eastAsia="Arial" w:hAnsi="Arial"/>
                <w:sz w:val="18"/>
                <w:szCs w:val="18"/>
                <w:color w:val="auto"/>
              </w:rPr>
              <w:t>External power management device with current monitoring precluding shutdown during high current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6,243,626</w:t>
            </w:r>
          </w:p>
        </w:tc>
      </w:tr>
      <w:tr>
        <w:trPr>
          <w:trHeight w:val="675"/>
        </w:trPr>
        <w:tc>
          <w:tcPr>
            <w:tcW w:w="20" w:type="dxa"/>
            <w:vAlign w:val="bottom"/>
            <w:tcBorders>
              <w:bottom w:val="single" w:sz="8" w:color="DCDCDC"/>
            </w:tcBorders>
          </w:tcPr>
          <w:p>
            <w:pPr>
              <w:spacing w:after="0"/>
              <w:rPr>
                <w:sz w:val="24"/>
                <w:szCs w:val="24"/>
                <w:color w:val="auto"/>
              </w:rPr>
            </w:pPr>
          </w:p>
        </w:tc>
        <w:tc>
          <w:tcPr>
            <w:tcW w:w="5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9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Laptop data port enclosure</w:t>
            </w:r>
          </w:p>
        </w:tc>
        <w:tc>
          <w:tcPr>
            <w:tcW w:w="2000" w:type="dxa"/>
            <w:vAlign w:val="bottom"/>
          </w:tcPr>
          <w:p>
            <w:pPr>
              <w:ind w:left="680"/>
              <w:spacing w:after="0"/>
              <w:rPr>
                <w:sz w:val="20"/>
                <w:szCs w:val="20"/>
                <w:color w:val="auto"/>
              </w:rPr>
            </w:pPr>
            <w:r>
              <w:rPr>
                <w:rFonts w:ascii="Arial" w:cs="Arial" w:eastAsia="Arial" w:hAnsi="Arial"/>
                <w:sz w:val="18"/>
                <w:szCs w:val="18"/>
                <w:color w:val="auto"/>
              </w:rPr>
              <w:t>D415,742</w:t>
            </w:r>
          </w:p>
        </w:tc>
      </w:tr>
      <w:tr>
        <w:trPr>
          <w:trHeight w:val="216"/>
        </w:trPr>
        <w:tc>
          <w:tcPr>
            <w:tcW w:w="9420" w:type="dxa"/>
            <w:vAlign w:val="bottom"/>
          </w:tcPr>
          <w:p>
            <w:pPr>
              <w:spacing w:after="0"/>
              <w:rPr>
                <w:sz w:val="18"/>
                <w:szCs w:val="18"/>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auto"/>
              </w:rPr>
              <w:t>(Expired)</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MDB transaction string effectuated cashless vending</w:t>
            </w:r>
          </w:p>
        </w:tc>
        <w:tc>
          <w:tcPr>
            <w:tcW w:w="2000" w:type="dxa"/>
            <w:vAlign w:val="bottom"/>
          </w:tcPr>
          <w:p>
            <w:pPr>
              <w:ind w:left="680"/>
              <w:spacing w:after="0"/>
              <w:rPr>
                <w:sz w:val="20"/>
                <w:szCs w:val="20"/>
                <w:color w:val="auto"/>
              </w:rPr>
            </w:pPr>
            <w:r>
              <w:rPr>
                <w:rFonts w:ascii="Arial" w:cs="Arial" w:eastAsia="Arial" w:hAnsi="Arial"/>
                <w:sz w:val="18"/>
                <w:szCs w:val="18"/>
                <w:color w:val="auto"/>
              </w:rPr>
              <w:t>7,131,575</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Method and Apparatus for Conserving Power Consumed by a Refrigerated Appliance Utilizing Audio Signal Detection</w:t>
            </w:r>
          </w:p>
        </w:tc>
        <w:tc>
          <w:tcPr>
            <w:tcW w:w="2000" w:type="dxa"/>
            <w:vAlign w:val="bottom"/>
          </w:tcPr>
          <w:p>
            <w:pPr>
              <w:ind w:left="680"/>
              <w:spacing w:after="0"/>
              <w:rPr>
                <w:sz w:val="20"/>
                <w:szCs w:val="20"/>
                <w:color w:val="auto"/>
              </w:rPr>
            </w:pPr>
            <w:r>
              <w:rPr>
                <w:rFonts w:ascii="Arial" w:cs="Arial" w:eastAsia="Arial" w:hAnsi="Arial"/>
                <w:sz w:val="18"/>
                <w:szCs w:val="18"/>
                <w:color w:val="auto"/>
              </w:rPr>
              <w:t>7,286,907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Method and apparatus for conserving power consumed by a vending machine utilizing audio signal detection</w:t>
            </w:r>
          </w:p>
        </w:tc>
        <w:tc>
          <w:tcPr>
            <w:tcW w:w="2000" w:type="dxa"/>
            <w:vAlign w:val="bottom"/>
          </w:tcPr>
          <w:p>
            <w:pPr>
              <w:ind w:left="680"/>
              <w:spacing w:after="0"/>
              <w:rPr>
                <w:sz w:val="20"/>
                <w:szCs w:val="20"/>
                <w:color w:val="auto"/>
              </w:rPr>
            </w:pPr>
            <w:r>
              <w:rPr>
                <w:rFonts w:ascii="Arial" w:cs="Arial" w:eastAsia="Arial" w:hAnsi="Arial"/>
                <w:sz w:val="18"/>
                <w:szCs w:val="18"/>
                <w:color w:val="auto"/>
              </w:rPr>
              <w:t>7,856,289</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7"/>
              </w:rPr>
              <w:t>Method and Apparatus for Power Management Control of a Compressor-Based Appliance that Reduces Electrical Power</w:t>
            </w:r>
          </w:p>
        </w:tc>
        <w:tc>
          <w:tcPr>
            <w:tcW w:w="2000" w:type="dxa"/>
            <w:vAlign w:val="bottom"/>
          </w:tcPr>
          <w:p>
            <w:pPr>
              <w:ind w:left="680"/>
              <w:spacing w:after="0"/>
              <w:rPr>
                <w:sz w:val="20"/>
                <w:szCs w:val="20"/>
                <w:color w:val="auto"/>
              </w:rPr>
            </w:pPr>
            <w:r>
              <w:rPr>
                <w:rFonts w:ascii="Arial" w:cs="Arial" w:eastAsia="Arial" w:hAnsi="Arial"/>
                <w:sz w:val="18"/>
                <w:szCs w:val="18"/>
                <w:color w:val="auto"/>
              </w:rPr>
              <w:t>6,975,926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Consumption of an Appliance</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7"/>
              </w:rPr>
              <w:t>Method and Apparatus for Power Management Control of a Compressor-Based Appliance that Reduces Electrical Power</w:t>
            </w:r>
          </w:p>
        </w:tc>
        <w:tc>
          <w:tcPr>
            <w:tcW w:w="2000" w:type="dxa"/>
            <w:vAlign w:val="bottom"/>
          </w:tcPr>
          <w:p>
            <w:pPr>
              <w:ind w:left="680"/>
              <w:spacing w:after="0"/>
              <w:rPr>
                <w:sz w:val="20"/>
                <w:szCs w:val="20"/>
                <w:color w:val="auto"/>
              </w:rPr>
            </w:pPr>
            <w:r>
              <w:rPr>
                <w:rFonts w:ascii="Arial" w:cs="Arial" w:eastAsia="Arial" w:hAnsi="Arial"/>
                <w:sz w:val="18"/>
                <w:szCs w:val="18"/>
                <w:color w:val="auto"/>
              </w:rPr>
              <w:t>7,200,467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Consumption of an Appliance</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8"/>
              </w:rPr>
              <w:t>Method of constructing a digital content play list for transmission and presentation on a public access electronic terminal</w:t>
            </w:r>
          </w:p>
        </w:tc>
        <w:tc>
          <w:tcPr>
            <w:tcW w:w="2000" w:type="dxa"/>
            <w:vAlign w:val="bottom"/>
          </w:tcPr>
          <w:p>
            <w:pPr>
              <w:ind w:left="680"/>
              <w:spacing w:after="0"/>
              <w:rPr>
                <w:sz w:val="20"/>
                <w:szCs w:val="20"/>
                <w:color w:val="auto"/>
              </w:rPr>
            </w:pPr>
            <w:r>
              <w:rPr>
                <w:rFonts w:ascii="Arial" w:cs="Arial" w:eastAsia="Arial" w:hAnsi="Arial"/>
                <w:sz w:val="18"/>
                <w:szCs w:val="18"/>
                <w:color w:val="auto"/>
              </w:rPr>
              <w:t>7,805,338</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7"/>
              </w:rPr>
              <w:t>Method of transacting an electronic mail, an electronic commerce, and an electronic business transaction by an electronic</w:t>
            </w:r>
          </w:p>
        </w:tc>
        <w:tc>
          <w:tcPr>
            <w:tcW w:w="2000" w:type="dxa"/>
            <w:vAlign w:val="bottom"/>
          </w:tcPr>
          <w:p>
            <w:pPr>
              <w:ind w:left="680"/>
              <w:spacing w:after="0"/>
              <w:rPr>
                <w:sz w:val="20"/>
                <w:szCs w:val="20"/>
                <w:color w:val="auto"/>
              </w:rPr>
            </w:pPr>
            <w:r>
              <w:rPr>
                <w:rFonts w:ascii="Arial" w:cs="Arial" w:eastAsia="Arial" w:hAnsi="Arial"/>
                <w:sz w:val="18"/>
                <w:szCs w:val="18"/>
                <w:color w:val="auto"/>
              </w:rPr>
              <w:t>6,622,124</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commerce terminal operated on a transportation vehicle</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Method to obtain customer specific data for public access electronic commerce services</w:t>
            </w:r>
          </w:p>
        </w:tc>
        <w:tc>
          <w:tcPr>
            <w:tcW w:w="2000" w:type="dxa"/>
            <w:vAlign w:val="bottom"/>
          </w:tcPr>
          <w:p>
            <w:pPr>
              <w:ind w:left="680"/>
              <w:spacing w:after="0"/>
              <w:rPr>
                <w:sz w:val="20"/>
                <w:szCs w:val="20"/>
                <w:color w:val="auto"/>
              </w:rPr>
            </w:pPr>
            <w:r>
              <w:rPr>
                <w:rFonts w:ascii="Arial" w:cs="Arial" w:eastAsia="Arial" w:hAnsi="Arial"/>
                <w:sz w:val="18"/>
                <w:szCs w:val="18"/>
                <w:color w:val="auto"/>
              </w:rPr>
              <w:t>6,606,605</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Mounting bracket for mounting a cashless payment terminal to a vending machine</w:t>
            </w:r>
          </w:p>
        </w:tc>
        <w:tc>
          <w:tcPr>
            <w:tcW w:w="2000" w:type="dxa"/>
            <w:vAlign w:val="bottom"/>
          </w:tcPr>
          <w:p>
            <w:pPr>
              <w:ind w:left="680"/>
              <w:spacing w:after="0"/>
              <w:rPr>
                <w:sz w:val="20"/>
                <w:szCs w:val="20"/>
                <w:color w:val="auto"/>
              </w:rPr>
            </w:pPr>
            <w:r>
              <w:rPr>
                <w:rFonts w:ascii="Arial" w:cs="Arial" w:eastAsia="Arial" w:hAnsi="Arial"/>
                <w:sz w:val="18"/>
                <w:szCs w:val="18"/>
                <w:color w:val="auto"/>
              </w:rPr>
              <w:t>D480,948</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Paper guide for a point of sale terminal</w:t>
            </w:r>
          </w:p>
        </w:tc>
        <w:tc>
          <w:tcPr>
            <w:tcW w:w="2000" w:type="dxa"/>
            <w:vAlign w:val="bottom"/>
          </w:tcPr>
          <w:p>
            <w:pPr>
              <w:ind w:left="680"/>
              <w:spacing w:after="0"/>
              <w:rPr>
                <w:sz w:val="20"/>
                <w:szCs w:val="20"/>
                <w:color w:val="auto"/>
              </w:rPr>
            </w:pPr>
            <w:r>
              <w:rPr>
                <w:rFonts w:ascii="Arial" w:cs="Arial" w:eastAsia="Arial" w:hAnsi="Arial"/>
                <w:sz w:val="18"/>
                <w:szCs w:val="18"/>
                <w:color w:val="auto"/>
              </w:rPr>
              <w:t>D475,750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Point of Sale Terminal Mountable on a Vending Machine</w:t>
            </w:r>
          </w:p>
        </w:tc>
        <w:tc>
          <w:tcPr>
            <w:tcW w:w="2000" w:type="dxa"/>
            <w:vAlign w:val="bottom"/>
          </w:tcPr>
          <w:p>
            <w:pPr>
              <w:ind w:left="680"/>
              <w:spacing w:after="0"/>
              <w:rPr>
                <w:sz w:val="20"/>
                <w:szCs w:val="20"/>
                <w:color w:val="auto"/>
              </w:rPr>
            </w:pPr>
            <w:r>
              <w:rPr>
                <w:rFonts w:ascii="Arial" w:cs="Arial" w:eastAsia="Arial" w:hAnsi="Arial"/>
                <w:sz w:val="18"/>
                <w:szCs w:val="18"/>
                <w:color w:val="auto"/>
              </w:rPr>
              <w:t>D543,588</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Power-conservation system for computer peripherals</w:t>
            </w:r>
          </w:p>
        </w:tc>
        <w:tc>
          <w:tcPr>
            <w:tcW w:w="2000" w:type="dxa"/>
            <w:vAlign w:val="bottom"/>
          </w:tcPr>
          <w:p>
            <w:pPr>
              <w:ind w:left="680"/>
              <w:spacing w:after="0"/>
              <w:rPr>
                <w:sz w:val="20"/>
                <w:szCs w:val="20"/>
                <w:color w:val="auto"/>
              </w:rPr>
            </w:pPr>
            <w:r>
              <w:rPr>
                <w:rFonts w:ascii="Arial" w:cs="Arial" w:eastAsia="Arial" w:hAnsi="Arial"/>
                <w:sz w:val="18"/>
                <w:szCs w:val="18"/>
                <w:color w:val="auto"/>
              </w:rPr>
              <w:t>5,477,476</w:t>
            </w:r>
          </w:p>
        </w:tc>
      </w:tr>
      <w:tr>
        <w:trPr>
          <w:trHeight w:val="216"/>
        </w:trPr>
        <w:tc>
          <w:tcPr>
            <w:tcW w:w="9420" w:type="dxa"/>
            <w:vAlign w:val="bottom"/>
          </w:tcPr>
          <w:p>
            <w:pPr>
              <w:spacing w:after="0"/>
              <w:rPr>
                <w:sz w:val="18"/>
                <w:szCs w:val="18"/>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auto"/>
              </w:rPr>
              <w:t>(Expired)</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Power conservation system based on indoor/outdoor and ambient-light determination</w:t>
            </w:r>
          </w:p>
        </w:tc>
        <w:tc>
          <w:tcPr>
            <w:tcW w:w="2000" w:type="dxa"/>
            <w:vAlign w:val="bottom"/>
          </w:tcPr>
          <w:p>
            <w:pPr>
              <w:ind w:left="680"/>
              <w:spacing w:after="0"/>
              <w:rPr>
                <w:sz w:val="20"/>
                <w:szCs w:val="20"/>
                <w:color w:val="auto"/>
              </w:rPr>
            </w:pPr>
            <w:r>
              <w:rPr>
                <w:rFonts w:ascii="Arial" w:cs="Arial" w:eastAsia="Arial" w:hAnsi="Arial"/>
                <w:sz w:val="18"/>
                <w:szCs w:val="18"/>
                <w:color w:val="auto"/>
              </w:rPr>
              <w:t>6,801,836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Printer bracket for point of sale terminal</w:t>
            </w:r>
          </w:p>
        </w:tc>
        <w:tc>
          <w:tcPr>
            <w:tcW w:w="2000" w:type="dxa"/>
            <w:vAlign w:val="bottom"/>
          </w:tcPr>
          <w:p>
            <w:pPr>
              <w:ind w:left="680"/>
              <w:spacing w:after="0"/>
              <w:rPr>
                <w:sz w:val="20"/>
                <w:szCs w:val="20"/>
                <w:color w:val="auto"/>
              </w:rPr>
            </w:pPr>
            <w:r>
              <w:rPr>
                <w:rFonts w:ascii="Arial" w:cs="Arial" w:eastAsia="Arial" w:hAnsi="Arial"/>
                <w:sz w:val="18"/>
                <w:szCs w:val="18"/>
                <w:color w:val="auto"/>
              </w:rPr>
              <w:t>D475,414</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Printer bracket for point of sale terminal</w:t>
            </w:r>
          </w:p>
        </w:tc>
        <w:tc>
          <w:tcPr>
            <w:tcW w:w="2000" w:type="dxa"/>
            <w:vAlign w:val="bottom"/>
          </w:tcPr>
          <w:p>
            <w:pPr>
              <w:ind w:left="680"/>
              <w:spacing w:after="0"/>
              <w:rPr>
                <w:sz w:val="20"/>
                <w:szCs w:val="20"/>
                <w:color w:val="auto"/>
              </w:rPr>
            </w:pPr>
            <w:r>
              <w:rPr>
                <w:rFonts w:ascii="Arial" w:cs="Arial" w:eastAsia="Arial" w:hAnsi="Arial"/>
                <w:sz w:val="18"/>
                <w:szCs w:val="18"/>
                <w:color w:val="auto"/>
              </w:rPr>
              <w:t>D476,036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Refrigerated vending machine exploiting expanded temperature variance during power-conservation mode</w:t>
            </w:r>
          </w:p>
        </w:tc>
        <w:tc>
          <w:tcPr>
            <w:tcW w:w="2000" w:type="dxa"/>
            <w:vAlign w:val="bottom"/>
          </w:tcPr>
          <w:p>
            <w:pPr>
              <w:ind w:left="680"/>
              <w:spacing w:after="0"/>
              <w:rPr>
                <w:sz w:val="20"/>
                <w:szCs w:val="20"/>
                <w:color w:val="auto"/>
              </w:rPr>
            </w:pPr>
            <w:r>
              <w:rPr>
                <w:rFonts w:ascii="Arial" w:cs="Arial" w:eastAsia="Arial" w:hAnsi="Arial"/>
                <w:sz w:val="18"/>
                <w:szCs w:val="18"/>
                <w:color w:val="auto"/>
              </w:rPr>
              <w:t>6,389,822</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Refrigerated vending machine exploiting expanded temperature variance during power-conservation mode</w:t>
            </w:r>
          </w:p>
        </w:tc>
        <w:tc>
          <w:tcPr>
            <w:tcW w:w="2000" w:type="dxa"/>
            <w:vAlign w:val="bottom"/>
          </w:tcPr>
          <w:p>
            <w:pPr>
              <w:ind w:left="680"/>
              <w:spacing w:after="0"/>
              <w:rPr>
                <w:sz w:val="20"/>
                <w:szCs w:val="20"/>
                <w:color w:val="auto"/>
              </w:rPr>
            </w:pPr>
            <w:r>
              <w:rPr>
                <w:rFonts w:ascii="Arial" w:cs="Arial" w:eastAsia="Arial" w:hAnsi="Arial"/>
                <w:sz w:val="18"/>
                <w:szCs w:val="18"/>
                <w:color w:val="auto"/>
              </w:rPr>
              <w:t>6,581,396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Refrigerated vending machine exploiting expanded temperature variance during power-conservation mode</w:t>
            </w:r>
          </w:p>
        </w:tc>
        <w:tc>
          <w:tcPr>
            <w:tcW w:w="2000" w:type="dxa"/>
            <w:vAlign w:val="bottom"/>
          </w:tcPr>
          <w:p>
            <w:pPr>
              <w:ind w:left="680"/>
              <w:spacing w:after="0"/>
              <w:rPr>
                <w:sz w:val="20"/>
                <w:szCs w:val="20"/>
                <w:color w:val="auto"/>
              </w:rPr>
            </w:pPr>
            <w:r>
              <w:rPr>
                <w:rFonts w:ascii="Arial" w:cs="Arial" w:eastAsia="Arial" w:hAnsi="Arial"/>
                <w:sz w:val="18"/>
                <w:szCs w:val="18"/>
                <w:color w:val="auto"/>
              </w:rPr>
              <w:t>6,898,942</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Refrigerated vending machine exploiting expanded temperature variance during power-conservation mode</w:t>
            </w:r>
          </w:p>
        </w:tc>
        <w:tc>
          <w:tcPr>
            <w:tcW w:w="2000" w:type="dxa"/>
            <w:vAlign w:val="bottom"/>
          </w:tcPr>
          <w:p>
            <w:pPr>
              <w:ind w:left="680"/>
              <w:spacing w:after="0"/>
              <w:rPr>
                <w:sz w:val="20"/>
                <w:szCs w:val="20"/>
                <w:color w:val="auto"/>
              </w:rPr>
            </w:pPr>
            <w:r>
              <w:rPr>
                <w:rFonts w:ascii="Arial" w:cs="Arial" w:eastAsia="Arial" w:hAnsi="Arial"/>
                <w:sz w:val="18"/>
                <w:szCs w:val="18"/>
                <w:color w:val="auto"/>
              </w:rPr>
              <w:t>6,931,869</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Sign holder</w:t>
            </w:r>
          </w:p>
        </w:tc>
        <w:tc>
          <w:tcPr>
            <w:tcW w:w="2000" w:type="dxa"/>
            <w:vAlign w:val="bottom"/>
          </w:tcPr>
          <w:p>
            <w:pPr>
              <w:ind w:left="680"/>
              <w:spacing w:after="0"/>
              <w:rPr>
                <w:sz w:val="20"/>
                <w:szCs w:val="20"/>
                <w:color w:val="auto"/>
              </w:rPr>
            </w:pPr>
            <w:r>
              <w:rPr>
                <w:rFonts w:ascii="Arial" w:cs="Arial" w:eastAsia="Arial" w:hAnsi="Arial"/>
                <w:sz w:val="18"/>
                <w:szCs w:val="18"/>
                <w:color w:val="auto"/>
              </w:rPr>
              <w:t>D418,878</w:t>
            </w:r>
          </w:p>
        </w:tc>
      </w:tr>
      <w:tr>
        <w:trPr>
          <w:trHeight w:val="216"/>
        </w:trPr>
        <w:tc>
          <w:tcPr>
            <w:tcW w:w="9420" w:type="dxa"/>
            <w:vAlign w:val="bottom"/>
          </w:tcPr>
          <w:p>
            <w:pPr>
              <w:spacing w:after="0"/>
              <w:rPr>
                <w:sz w:val="18"/>
                <w:szCs w:val="18"/>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auto"/>
              </w:rPr>
              <w:t>(Expired)</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System and method for networking and controlling vending machines</w:t>
            </w:r>
          </w:p>
        </w:tc>
        <w:tc>
          <w:tcPr>
            <w:tcW w:w="2000" w:type="dxa"/>
            <w:vAlign w:val="bottom"/>
          </w:tcPr>
          <w:p>
            <w:pPr>
              <w:ind w:left="680"/>
              <w:spacing w:after="0"/>
              <w:rPr>
                <w:sz w:val="20"/>
                <w:szCs w:val="20"/>
                <w:color w:val="auto"/>
              </w:rPr>
            </w:pPr>
            <w:r>
              <w:rPr>
                <w:rFonts w:ascii="Arial" w:cs="Arial" w:eastAsia="Arial" w:hAnsi="Arial"/>
                <w:sz w:val="18"/>
                <w:szCs w:val="18"/>
                <w:color w:val="auto"/>
              </w:rPr>
              <w:t>6,056,194</w:t>
            </w:r>
          </w:p>
        </w:tc>
      </w:tr>
      <w:tr>
        <w:trPr>
          <w:trHeight w:val="216"/>
        </w:trPr>
        <w:tc>
          <w:tcPr>
            <w:tcW w:w="9420" w:type="dxa"/>
            <w:vAlign w:val="bottom"/>
          </w:tcPr>
          <w:p>
            <w:pPr>
              <w:spacing w:after="0"/>
              <w:rPr>
                <w:sz w:val="18"/>
                <w:szCs w:val="18"/>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auto"/>
              </w:rPr>
              <w:t>(Expired)</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System and method for networking and controlling vending machines</w:t>
            </w:r>
          </w:p>
        </w:tc>
        <w:tc>
          <w:tcPr>
            <w:tcW w:w="2000" w:type="dxa"/>
            <w:vAlign w:val="bottom"/>
          </w:tcPr>
          <w:p>
            <w:pPr>
              <w:ind w:left="680"/>
              <w:spacing w:after="0"/>
              <w:rPr>
                <w:sz w:val="20"/>
                <w:szCs w:val="20"/>
                <w:color w:val="auto"/>
              </w:rPr>
            </w:pPr>
            <w:r>
              <w:rPr>
                <w:rFonts w:ascii="Arial" w:cs="Arial" w:eastAsia="Arial" w:hAnsi="Arial"/>
                <w:sz w:val="18"/>
                <w:szCs w:val="18"/>
                <w:color w:val="auto"/>
              </w:rPr>
              <w:t>6,321,985</w:t>
            </w:r>
          </w:p>
        </w:tc>
      </w:tr>
      <w:tr>
        <w:trPr>
          <w:trHeight w:val="216"/>
        </w:trPr>
        <w:tc>
          <w:tcPr>
            <w:tcW w:w="9420" w:type="dxa"/>
            <w:vAlign w:val="bottom"/>
          </w:tcPr>
          <w:p>
            <w:pPr>
              <w:spacing w:after="0"/>
              <w:rPr>
                <w:sz w:val="18"/>
                <w:szCs w:val="18"/>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auto"/>
              </w:rPr>
              <w:t>(Expired)</w:t>
            </w: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w w:val="99"/>
              </w:rPr>
              <w:t>System for Providing Remote Audit, Cashless Payment, and Interactive Transaction Capabilities in a Vending Machine</w:t>
            </w:r>
          </w:p>
        </w:tc>
        <w:tc>
          <w:tcPr>
            <w:tcW w:w="2000" w:type="dxa"/>
            <w:vAlign w:val="bottom"/>
          </w:tcPr>
          <w:p>
            <w:pPr>
              <w:ind w:left="680"/>
              <w:spacing w:after="0"/>
              <w:rPr>
                <w:sz w:val="20"/>
                <w:szCs w:val="20"/>
                <w:color w:val="auto"/>
              </w:rPr>
            </w:pPr>
            <w:r>
              <w:rPr>
                <w:rFonts w:ascii="Arial" w:cs="Arial" w:eastAsia="Arial" w:hAnsi="Arial"/>
                <w:sz w:val="18"/>
                <w:szCs w:val="18"/>
                <w:color w:val="auto"/>
              </w:rPr>
              <w:t>6,505,095</w:t>
            </w:r>
          </w:p>
        </w:tc>
      </w:tr>
      <w:tr>
        <w:trPr>
          <w:trHeight w:val="675"/>
        </w:trPr>
        <w:tc>
          <w:tcPr>
            <w:tcW w:w="9420" w:type="dxa"/>
            <w:vAlign w:val="bottom"/>
            <w:tcBorders>
              <w:bottom w:val="single" w:sz="8" w:color="DCDCDC"/>
            </w:tcBorders>
          </w:tcPr>
          <w:p>
            <w:pPr>
              <w:spacing w:after="0"/>
              <w:rPr>
                <w:sz w:val="24"/>
                <w:szCs w:val="24"/>
                <w:color w:val="auto"/>
              </w:rPr>
            </w:pPr>
          </w:p>
        </w:tc>
        <w:tc>
          <w:tcPr>
            <w:tcW w:w="20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Systems and methods for sending information to mobile devices utilizing mobile device identifiers</w:t>
            </w:r>
          </w:p>
        </w:tc>
        <w:tc>
          <w:tcPr>
            <w:tcW w:w="1820" w:type="dxa"/>
            <w:vAlign w:val="bottom"/>
          </w:tcPr>
          <w:p>
            <w:pPr>
              <w:ind w:left="560"/>
              <w:spacing w:after="0"/>
              <w:rPr>
                <w:sz w:val="20"/>
                <w:szCs w:val="20"/>
                <w:color w:val="auto"/>
              </w:rPr>
            </w:pPr>
            <w:r>
              <w:rPr>
                <w:rFonts w:ascii="Arial" w:cs="Arial" w:eastAsia="Arial" w:hAnsi="Arial"/>
                <w:sz w:val="18"/>
                <w:szCs w:val="18"/>
                <w:color w:val="auto"/>
              </w:rPr>
              <w:t>Serial #:</w:t>
            </w:r>
          </w:p>
        </w:tc>
      </w:tr>
      <w:tr>
        <w:trPr>
          <w:trHeight w:val="216"/>
        </w:trPr>
        <w:tc>
          <w:tcPr>
            <w:tcW w:w="960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90"/>
              </w:rPr>
              <w:t>14/681,294</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Systems and methods for wireless authorization of transactions with mobile payment devices</w:t>
            </w:r>
          </w:p>
        </w:tc>
        <w:tc>
          <w:tcPr>
            <w:tcW w:w="1820" w:type="dxa"/>
            <w:vAlign w:val="bottom"/>
          </w:tcPr>
          <w:p>
            <w:pPr>
              <w:ind w:left="560"/>
              <w:spacing w:after="0"/>
              <w:rPr>
                <w:sz w:val="20"/>
                <w:szCs w:val="20"/>
                <w:color w:val="auto"/>
              </w:rPr>
            </w:pPr>
            <w:r>
              <w:rPr>
                <w:rFonts w:ascii="Arial" w:cs="Arial" w:eastAsia="Arial" w:hAnsi="Arial"/>
                <w:sz w:val="18"/>
                <w:szCs w:val="18"/>
                <w:color w:val="auto"/>
              </w:rPr>
              <w:t>Serial #:</w:t>
            </w:r>
          </w:p>
        </w:tc>
      </w:tr>
      <w:tr>
        <w:trPr>
          <w:trHeight w:val="216"/>
        </w:trPr>
        <w:tc>
          <w:tcPr>
            <w:tcW w:w="960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90"/>
              </w:rPr>
              <w:t>14/499,796</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Transacting E-commerce and Conducting E-business Related to Identifying and Procuring Automotive Service and Vehicle</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6,389,337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Replacement Parts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Transceiver base unit</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2"/>
              </w:rPr>
              <w:t>D478,577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Unattended retail systems, methods and devices for linking payments, loyalty, and rewards</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9,245,269</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4"/>
              </w:rPr>
              <w:t>Universal interactive advertising and payment system for public access electronic commerce and business related products and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6,609,102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6,604,085</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6,601,038</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6,601,037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6,611,810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6,604,086</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6,601,039</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6,606,602</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6,615,183</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6,604,087</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6,601,040</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w w:val="98"/>
              </w:rPr>
              <w:t>Universal interactive advertising and payment system network for public access electronic commerce and business related</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6,609,103</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products and services</w:t>
            </w:r>
          </w:p>
        </w:tc>
        <w:tc>
          <w:tcPr>
            <w:tcW w:w="1820" w:type="dxa"/>
            <w:vAlign w:val="bottom"/>
          </w:tcPr>
          <w:p>
            <w:pPr>
              <w:spacing w:after="0"/>
              <w:rPr>
                <w:sz w:val="20"/>
                <w:szCs w:val="20"/>
                <w:color w:val="auto"/>
              </w:rPr>
            </w:pPr>
          </w:p>
        </w:tc>
      </w:tr>
      <w:tr>
        <w:trPr>
          <w:trHeight w:val="675"/>
        </w:trPr>
        <w:tc>
          <w:tcPr>
            <w:tcW w:w="9600" w:type="dxa"/>
            <w:vAlign w:val="bottom"/>
            <w:tcBorders>
              <w:bottom w:val="single" w:sz="8" w:color="DCDCDC"/>
            </w:tcBorders>
          </w:tcPr>
          <w:p>
            <w:pPr>
              <w:spacing w:after="0"/>
              <w:rPr>
                <w:sz w:val="24"/>
                <w:szCs w:val="24"/>
                <w:color w:val="auto"/>
              </w:rPr>
            </w:pPr>
          </w:p>
        </w:tc>
        <w:tc>
          <w:tcPr>
            <w:tcW w:w="1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6,629,080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7,089,209</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6,643,623</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6,684,197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6,807,532</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Universal interactive advertising and payment system network for public access electronic commerce and business related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6,763,336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products and services</w:t>
            </w:r>
          </w:p>
        </w:tc>
        <w:tc>
          <w:tcPr>
            <w:tcW w:w="200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User interface bracket for a point of sale terminal</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D475,751</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User interface bracket for a point of sale terminal</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D476,037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Vehicle related wireless scientific instrumentation telematics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6,895,310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Vehicle related wireless scientific instrumentation telematics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6,853,894</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Vending approval systems, methods, and apparatus using card readers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9,159,182</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Vending interface controller</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D727,428</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Vending machine cashless payment terminal</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D477,030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Vending machine nutritional information display system using standard inventory control system components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8,788,341</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Vending machine nutritional information display system using standard inventory control system components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8,583,280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Wireless system for communicating cashless vending transaction data and vending machine audit data to remote locations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7,593,897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Wireless system for communicating cashless vending transaction data and vending machine audit data to remote locations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7,865,430</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Wireless system for communicating cashless vending transaction data and vending machine audit data to remote locations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7,630,939</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Wireless system for communicating cashless vending transaction data and vending machine audit data to remote locations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8,596,529</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w w:val="96"/>
              </w:rPr>
              <w:t>Wireless system for communicating cashless vending transaction data and vending machine audit data to remote locations</w:t>
            </w:r>
          </w:p>
        </w:tc>
        <w:tc>
          <w:tcPr>
            <w:tcW w:w="2000" w:type="dxa"/>
            <w:vAlign w:val="bottom"/>
          </w:tcPr>
          <w:p>
            <w:pPr>
              <w:ind w:left="740"/>
              <w:spacing w:after="0"/>
              <w:rPr>
                <w:sz w:val="20"/>
                <w:szCs w:val="20"/>
                <w:color w:val="auto"/>
              </w:rPr>
            </w:pPr>
            <w:r>
              <w:rPr>
                <w:rFonts w:ascii="Arial" w:cs="Arial" w:eastAsia="Arial" w:hAnsi="Arial"/>
                <w:sz w:val="18"/>
                <w:szCs w:val="18"/>
                <w:color w:val="auto"/>
              </w:rPr>
              <w:t>Serial #:</w:t>
            </w:r>
          </w:p>
        </w:tc>
      </w:tr>
      <w:tr>
        <w:trPr>
          <w:trHeight w:val="216"/>
        </w:trPr>
        <w:tc>
          <w:tcPr>
            <w:tcW w:w="94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14/071,021</w:t>
            </w: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Wireless Vehicle Diagnostics Device and Method with Service and Part Determination Capabilities (as amended)</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7,502,672</w:t>
            </w:r>
          </w:p>
        </w:tc>
      </w:tr>
      <w:tr>
        <w:trPr>
          <w:trHeight w:val="675"/>
        </w:trPr>
        <w:tc>
          <w:tcPr>
            <w:tcW w:w="9420" w:type="dxa"/>
            <w:vAlign w:val="bottom"/>
            <w:tcBorders>
              <w:bottom w:val="single" w:sz="8" w:color="DCDCDC"/>
            </w:tcBorders>
          </w:tcPr>
          <w:p>
            <w:pPr>
              <w:spacing w:after="0"/>
              <w:rPr>
                <w:sz w:val="24"/>
                <w:szCs w:val="24"/>
                <w:color w:val="auto"/>
              </w:rPr>
            </w:pPr>
          </w:p>
        </w:tc>
        <w:tc>
          <w:tcPr>
            <w:tcW w:w="20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960" w:type="dxa"/>
            <w:vAlign w:val="bottom"/>
            <w:gridSpan w:val="5"/>
          </w:tcPr>
          <w:p>
            <w:pPr>
              <w:jc w:val="center"/>
              <w:ind w:right="1860"/>
              <w:spacing w:after="0"/>
              <w:rPr>
                <w:sz w:val="20"/>
                <w:szCs w:val="20"/>
                <w:color w:val="auto"/>
              </w:rPr>
            </w:pPr>
            <w:r>
              <w:rPr>
                <w:rFonts w:ascii="Arial" w:cs="Arial" w:eastAsia="Arial" w:hAnsi="Arial"/>
                <w:sz w:val="18"/>
                <w:szCs w:val="18"/>
                <w:color w:val="auto"/>
                <w:w w:val="94"/>
              </w:rPr>
              <w:t>SCHEDULE C</w:t>
            </w:r>
          </w:p>
        </w:tc>
        <w:tc>
          <w:tcPr>
            <w:tcW w:w="3300" w:type="dxa"/>
            <w:vAlign w:val="bottom"/>
          </w:tcPr>
          <w:p>
            <w:pPr>
              <w:spacing w:after="0"/>
              <w:rPr>
                <w:sz w:val="17"/>
                <w:szCs w:val="17"/>
                <w:color w:val="auto"/>
              </w:rPr>
            </w:pPr>
          </w:p>
        </w:tc>
      </w:tr>
      <w:tr>
        <w:trPr>
          <w:trHeight w:val="453"/>
        </w:trPr>
        <w:tc>
          <w:tcPr>
            <w:tcW w:w="5160" w:type="dxa"/>
            <w:vAlign w:val="bottom"/>
          </w:tcPr>
          <w:p>
            <w:pPr>
              <w:spacing w:after="0"/>
              <w:rPr>
                <w:sz w:val="24"/>
                <w:szCs w:val="24"/>
                <w:color w:val="auto"/>
              </w:rPr>
            </w:pP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Trademarks</w:t>
            </w:r>
          </w:p>
        </w:tc>
        <w:tc>
          <w:tcPr>
            <w:tcW w:w="186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r>
      <w:tr>
        <w:trPr>
          <w:trHeight w:val="418"/>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Application /</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Serial / Registration</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Registration</w:t>
            </w:r>
          </w:p>
        </w:tc>
      </w:tr>
      <w:tr>
        <w:trPr>
          <w:trHeight w:val="230"/>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3"/>
              </w:rPr>
              <w:t>Description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Number</w:t>
            </w: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195"/>
        </w:trPr>
        <w:tc>
          <w:tcPr>
            <w:tcW w:w="5160" w:type="dxa"/>
            <w:vAlign w:val="bottom"/>
            <w:tcBorders>
              <w:top w:val="single" w:sz="8" w:color="auto"/>
            </w:tcBorders>
          </w:tcPr>
          <w:p>
            <w:pPr>
              <w:jc w:val="center"/>
              <w:ind w:left="150"/>
              <w:spacing w:after="0" w:line="195" w:lineRule="exact"/>
              <w:rPr>
                <w:sz w:val="20"/>
                <w:szCs w:val="20"/>
                <w:color w:val="auto"/>
              </w:rPr>
            </w:pPr>
            <w:r>
              <w:rPr>
                <w:rFonts w:ascii="Arial" w:cs="Arial" w:eastAsia="Arial" w:hAnsi="Arial"/>
                <w:sz w:val="18"/>
                <w:szCs w:val="18"/>
                <w:color w:val="auto"/>
                <w:w w:val="97"/>
              </w:rPr>
              <w:t>BLUELIGHT SEQUENCE</w:t>
            </w: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3352247</w:t>
            </w:r>
          </w:p>
        </w:tc>
        <w:tc>
          <w:tcPr>
            <w:tcW w:w="12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12/11/2007</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6"/>
              </w:rPr>
              <w:t>ENERGYMISER</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3424496</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5/6/2008</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7"/>
              </w:rPr>
              <w:t>SNACKMISER</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2920610</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1/25/2005</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8"/>
              </w:rPr>
              <w:t>CM2IQ</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3130829</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8/15/2006</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9"/>
              </w:rPr>
              <w:t>VM2IQ</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3130828</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8/15/2006</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7"/>
              </w:rPr>
              <w:t>VENDINGMISER</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2628447</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10/1/2002</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0"/>
              </w:rPr>
              <w:t>EPORT</w:t>
            </w:r>
          </w:p>
        </w:tc>
        <w:tc>
          <w:tcPr>
            <w:tcW w:w="28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77948652</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3/2/2010</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(Abandoned)</w:t>
            </w:r>
          </w:p>
        </w:tc>
        <w:tc>
          <w:tcPr>
            <w:tcW w:w="3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(Dead)</w:t>
            </w:r>
          </w:p>
        </w:tc>
        <w:tc>
          <w:tcPr>
            <w:tcW w:w="3300" w:type="dxa"/>
            <w:vAlign w:val="bottom"/>
          </w:tcPr>
          <w:p>
            <w:pPr>
              <w:spacing w:after="0"/>
              <w:rPr>
                <w:sz w:val="18"/>
                <w:szCs w:val="18"/>
                <w:color w:val="auto"/>
              </w:rPr>
            </w:pP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4"/>
              </w:rPr>
              <w:t>PAYDOT</w:t>
            </w:r>
          </w:p>
        </w:tc>
        <w:tc>
          <w:tcPr>
            <w:tcW w:w="28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77597651</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10/22/2008</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(Abandoned)</w:t>
            </w:r>
          </w:p>
        </w:tc>
        <w:tc>
          <w:tcPr>
            <w:tcW w:w="3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(Dead)</w:t>
            </w:r>
          </w:p>
        </w:tc>
        <w:tc>
          <w:tcPr>
            <w:tcW w:w="3300" w:type="dxa"/>
            <w:vAlign w:val="bottom"/>
          </w:tcPr>
          <w:p>
            <w:pPr>
              <w:spacing w:after="0"/>
              <w:rPr>
                <w:sz w:val="18"/>
                <w:szCs w:val="18"/>
                <w:color w:val="auto"/>
              </w:rPr>
            </w:pP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1"/>
              </w:rPr>
              <w:t>EPORT EDGE</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3764912</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3/23/2010</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6"/>
              </w:rPr>
              <w:t>CREATING VALUE THROUGH</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4139315</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5/8/2012</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3"/>
              </w:rPr>
              <w:t>EPORT CONNECT</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3462181</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7/8/2008</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9"/>
              </w:rPr>
              <w:t>USALIVE</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2845393</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5/25/2004</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1"/>
              </w:rPr>
              <w:t>E-PORT</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2724498</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6/10/2003</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1"/>
              </w:rPr>
              <w:t>E-PORT</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2700645</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3/25/2003</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4"/>
              </w:rPr>
              <w:t>THE OFFICE THAT NEVER SLEEPS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2552992</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3/23/1999</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(Cancelled)</w:t>
            </w:r>
          </w:p>
        </w:tc>
        <w:tc>
          <w:tcPr>
            <w:tcW w:w="3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(Dead)</w:t>
            </w:r>
          </w:p>
        </w:tc>
        <w:tc>
          <w:tcPr>
            <w:tcW w:w="3300" w:type="dxa"/>
            <w:vAlign w:val="bottom"/>
          </w:tcPr>
          <w:p>
            <w:pPr>
              <w:spacing w:after="0"/>
              <w:rPr>
                <w:sz w:val="18"/>
                <w:szCs w:val="18"/>
                <w:color w:val="auto"/>
              </w:rPr>
            </w:pP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8"/>
              </w:rPr>
              <w:t>TRANSACT</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2598187</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7/23/2002</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0"/>
              </w:rPr>
              <w:t>PC EXPRESS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2520390</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12/18/2001</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USA TECHNOLOGIES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2020215</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12/3/1996</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7"/>
              </w:rPr>
              <w:t>BLUELIGHT SEQUENCE</w:t>
            </w:r>
          </w:p>
        </w:tc>
        <w:tc>
          <w:tcPr>
            <w:tcW w:w="28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85907829</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4/18/2013</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1"/>
              </w:rPr>
              <w:t>BUSINESS EXPRESS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2234770</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3/23/1999</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0"/>
              </w:rPr>
              <w:t>EPORT</w:t>
            </w:r>
          </w:p>
        </w:tc>
        <w:tc>
          <w:tcPr>
            <w:tcW w:w="28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86070271</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9/20/2013</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0"/>
              </w:rPr>
              <w:t>EPORT GO</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4513884</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4/15/2014</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EPORT MOBILE</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4542131</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6/3/2014</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EPORT MOBILE &amp; DESIGN</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4713726</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3/31/2015</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0"/>
              </w:rPr>
              <w:t>ESUDS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4354183</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6/18/2013</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rPr>
              <w:t>INTELLIGENT VENDING</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3641380</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6/16/2009</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QUICK CONNECT</w:t>
            </w:r>
          </w:p>
        </w:tc>
        <w:tc>
          <w:tcPr>
            <w:tcW w:w="28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86068891</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9/19/2013</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(Abandoned)</w:t>
            </w:r>
          </w:p>
        </w:tc>
        <w:tc>
          <w:tcPr>
            <w:tcW w:w="3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(Dead)</w:t>
            </w:r>
          </w:p>
        </w:tc>
        <w:tc>
          <w:tcPr>
            <w:tcW w:w="3300" w:type="dxa"/>
            <w:vAlign w:val="bottom"/>
          </w:tcPr>
          <w:p>
            <w:pPr>
              <w:spacing w:after="0"/>
              <w:rPr>
                <w:sz w:val="18"/>
                <w:szCs w:val="18"/>
                <w:color w:val="auto"/>
              </w:rPr>
            </w:pP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USA TECHNOLOGIES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4903734</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2/23/2016</w:t>
            </w:r>
          </w:p>
        </w:tc>
      </w:tr>
      <w:tr>
        <w:trPr>
          <w:trHeight w:val="21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6"/>
              </w:rPr>
              <w:t>USA TECHNOLOGIES</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4903756</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2/23/2016</w:t>
            </w:r>
          </w:p>
        </w:tc>
      </w:tr>
      <w:tr>
        <w:trPr>
          <w:trHeight w:val="216"/>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5"/>
              </w:rPr>
              <w:t>VENDSCREEN</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4716736</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4/7/2015</w:t>
            </w:r>
          </w:p>
        </w:tc>
      </w:tr>
      <w:tr>
        <w:trPr>
          <w:trHeight w:val="230"/>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5"/>
              </w:rPr>
              <w:t>VENDSCREEN</w:t>
            </w:r>
          </w:p>
        </w:tc>
        <w:tc>
          <w:tcPr>
            <w:tcW w:w="284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4827283</w:t>
            </w: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10/6/2015</w:t>
            </w:r>
          </w:p>
        </w:tc>
      </w:tr>
      <w:tr>
        <w:trPr>
          <w:trHeight w:val="675"/>
        </w:trPr>
        <w:tc>
          <w:tcPr>
            <w:tcW w:w="51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17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50" w:name="page151"/>
    <w:bookmarkEnd w:id="150"/>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10.3</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FIFTEENTH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Fifteenth Amendment to Loan and Security Agreement is entered into as of January 15, 2016 (the “Amendment”), by and between AVIDBANK CORPORATE FINANCE, a division of AVIDBANK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88" w:lineRule="auto"/>
        <w:tabs>
          <w:tab w:leader="none" w:pos="135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that certain Seventh Amendment to Loan and Security Agreement dated as of June 17, 2014, that certain Eighth Amendment to Loan and Security Agreement dated as of June 30, 2014, that certain Ninth Amendment to Loan and Security Agreement dated as of September 30, 2014, that certain Tenth Amendment to Loan and Security Agreement dated as of April 17, 2015, that certain Eleventh Amendment to Loan and Security Agreement dated as of May 19, 2015, that certain Twelfth Amendment to Loan and Security Agreement dated as of June 18, 2015, certain Thirteenth Amendment to Loan and Security Agreement dated as of July 31, 2015 and certain Fourteenth Amendment to Loan and Security Agreement dated as of August 14, 2015 (collectively, the “Agreement”). Borrower and Bank desire to amend the Agreement in accordance with the terms set forth herein.</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Borrower has also informed Bank that it intends to acquire substantially all of the assets of Vendscreen, Inc. (“Seller”) on substantially similar terms and conditions set forth in the Asset Purchase Agreement between Borrower, Seller and the other parties named therein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“Proposed Transaction”). Borrowers have requested that Bank consent to the Proposed Transaction, and Bank has agreed to provide its consent with respect to the Proposed Transaction, in accordance with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both"/>
        <w:ind w:firstLine="656"/>
        <w:spacing w:after="0" w:line="273" w:lineRule="auto"/>
        <w:tabs>
          <w:tab w:leader="none" w:pos="141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the prohibition set forth in Section 7.7 of the Loan Agreement and subject to and upon the terms and conditions hereof, Bank consents to the Proposed Transaction. Borrower (i) represents and warrants that the assets being acquired from Seller (the “Assets”) shall be free and clear of any Liens and Borrower shall provide evidence to Bank that the Lien on the Assets in favor of 3X5 Special Opportunity Fund, L.P. has been terminated as of the closing of the Proposed Transaction; (ii) acknowledges and agrees upon consummation of the Proposed Transaction, the Assets shall automatically constitute Collateral under the Loan Agreement; (iii) authorizes Bank to file any financing statements in such jurisdictions and offices as the Bank deems necessary in connection with the perfection of a security interest in such Collateral.</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3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foregoing consent from Bank is conditioned upon the following: Borrower shall (x) within one (1) Business Day of execution, deliver to Bank the fully executed copy of the Asset Purchase Agreement with respect to the Proposed Transaction, together with all schedules, exhibits and ancillary documents entered into in connection therewith, which shall be in form and substance substantially similar to Exhibit A attached hereto, without any material deviation, (y) within thirty (30) days following the closing of the Proposed Transaction, deliver to Bank its annual operating projections (including income statements, balance sheets and cash flow statements presented in a monthly format) for 2016, in form and substance reasonably satisfactory to Bank; and (z) promptly (within one (1) Business Day) of the consummation of the Proposed Transaction, execute and deliver to Bank a short form intellectual property security agreement with respect to the intellectual property (including all patents, trademarks and copyrights) acquired from Seller. Failure to timely comply with any of the foregoing shall constitute an immediate Event of Default to which no cure period applies.</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following definitions are hereby added to Section 1.1 of the Agreement:</w:t>
      </w:r>
    </w:p>
    <w:p>
      <w:pPr>
        <w:spacing w:after="0" w:line="225" w:lineRule="exact"/>
        <w:rPr>
          <w:sz w:val="20"/>
          <w:szCs w:val="20"/>
          <w:color w:val="auto"/>
        </w:rPr>
      </w:pPr>
    </w:p>
    <w:p>
      <w:pPr>
        <w:jc w:val="both"/>
        <w:ind w:left="1300" w:right="640"/>
        <w:spacing w:after="0" w:line="264" w:lineRule="auto"/>
        <w:rPr>
          <w:sz w:val="20"/>
          <w:szCs w:val="20"/>
          <w:color w:val="auto"/>
        </w:rPr>
      </w:pPr>
      <w:r>
        <w:rPr>
          <w:rFonts w:ascii="Arial" w:cs="Arial" w:eastAsia="Arial" w:hAnsi="Arial"/>
          <w:sz w:val="18"/>
          <w:szCs w:val="18"/>
          <w:color w:val="auto"/>
        </w:rPr>
        <w:t>“Debt Service Coverage Ratio” means, as of the end of each quarter (the “Measurement Period”), the product of (i) Adjusted EBITDA divided by (ii) the interest owing on the Revolving Facility and Term Loan during the Measurement Period plus the scheduled principal payments on the Term Loan during the Measurement Period.</w:t>
      </w:r>
    </w:p>
    <w:p>
      <w:pPr>
        <w:spacing w:after="0" w:line="181" w:lineRule="exact"/>
        <w:rPr>
          <w:sz w:val="20"/>
          <w:szCs w:val="20"/>
          <w:color w:val="auto"/>
        </w:rPr>
      </w:pPr>
    </w:p>
    <w:p>
      <w:pPr>
        <w:jc w:val="both"/>
        <w:ind w:left="1300" w:right="660"/>
        <w:spacing w:after="0" w:line="277" w:lineRule="auto"/>
        <w:rPr>
          <w:sz w:val="20"/>
          <w:szCs w:val="20"/>
          <w:color w:val="auto"/>
        </w:rPr>
      </w:pPr>
      <w:r>
        <w:rPr>
          <w:rFonts w:ascii="Arial" w:cs="Arial" w:eastAsia="Arial" w:hAnsi="Arial"/>
          <w:sz w:val="18"/>
          <w:szCs w:val="18"/>
          <w:color w:val="auto"/>
        </w:rPr>
        <w:t>“VendScreen Asset Purchase” means Borrower’s acquisition of the assets of Vendscreen, Inc. pursuant to that certain Asset Purchase Agreement between Borrower and Vendscreen, Inc.</w:t>
      </w:r>
    </w:p>
    <w:p>
      <w:pPr>
        <w:spacing w:after="0" w:line="170" w:lineRule="exact"/>
        <w:rPr>
          <w:sz w:val="20"/>
          <w:szCs w:val="20"/>
          <w:color w:val="auto"/>
        </w:rPr>
      </w:pPr>
    </w:p>
    <w:p>
      <w:pPr>
        <w:ind w:left="1340" w:hanging="684"/>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following definitions in Section 1.1 of the Agreement are amended and restated in their entirety to read as follows:</w:t>
      </w:r>
    </w:p>
    <w:p>
      <w:pPr>
        <w:spacing w:after="0" w:line="225"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“Adjusted EBITDA” means net income (loss) before interest income, interest expense, income taxes, depreciation, amortization, rent/lease expense pursuant to sale/leaseback equipment transaction that occurred in 2014, and change in fair value of warrant liabilities and stock-based compensation expense, and the one-time costs and expenses incurred or accrued by Borrower in connection with the VendScreen Asset Purchase.</w:t>
      </w:r>
    </w:p>
    <w:p>
      <w:pPr>
        <w:spacing w:after="0" w:line="187" w:lineRule="exact"/>
        <w:rPr>
          <w:sz w:val="20"/>
          <w:szCs w:val="20"/>
          <w:color w:val="auto"/>
        </w:rPr>
      </w:pPr>
    </w:p>
    <w:p>
      <w:pPr>
        <w:jc w:val="both"/>
        <w:ind w:left="1300" w:right="640"/>
        <w:spacing w:after="0" w:line="277" w:lineRule="auto"/>
        <w:rPr>
          <w:sz w:val="20"/>
          <w:szCs w:val="20"/>
          <w:color w:val="auto"/>
        </w:rPr>
      </w:pPr>
      <w:r>
        <w:rPr>
          <w:rFonts w:ascii="Arial" w:cs="Arial" w:eastAsia="Arial" w:hAnsi="Arial"/>
          <w:sz w:val="18"/>
          <w:szCs w:val="18"/>
          <w:color w:val="auto"/>
        </w:rPr>
        <w:t>“Credit Extension” means each Advance, the Term Loan, or any other extension of credit by Bank for the benefit of Borrower hereunder.</w:t>
      </w:r>
    </w:p>
    <w:p>
      <w:pPr>
        <w:spacing w:after="0" w:line="170" w:lineRule="exact"/>
        <w:rPr>
          <w:sz w:val="20"/>
          <w:szCs w:val="20"/>
          <w:color w:val="auto"/>
        </w:rPr>
      </w:pPr>
    </w:p>
    <w:p>
      <w:pPr>
        <w:jc w:val="both"/>
        <w:ind w:left="1300" w:right="660"/>
        <w:spacing w:after="0" w:line="277" w:lineRule="auto"/>
        <w:rPr>
          <w:sz w:val="20"/>
          <w:szCs w:val="20"/>
          <w:color w:val="auto"/>
        </w:rPr>
      </w:pPr>
      <w:r>
        <w:rPr>
          <w:rFonts w:ascii="Arial" w:cs="Arial" w:eastAsia="Arial" w:hAnsi="Arial"/>
          <w:sz w:val="18"/>
          <w:szCs w:val="18"/>
          <w:color w:val="auto"/>
        </w:rPr>
        <w:t>“Revolving Line” means, as of any measurement date, a credit extension of up to Seven Million Five Hundred Thousand Dollars ($7,500,000) less the then outstanding principal amount of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2" w:name="page153"/>
    <w:bookmarkEnd w:id="152"/>
    <w:p>
      <w:pPr>
        <w:ind w:left="624" w:hanging="624"/>
        <w:spacing w:after="0"/>
        <w:tabs>
          <w:tab w:leader="none" w:pos="6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following is added as a new subsection (b) following the end of Section 2.1(a) of the Agreement:</w:t>
      </w:r>
    </w:p>
    <w:p>
      <w:pPr>
        <w:spacing w:after="0" w:line="225" w:lineRule="exact"/>
        <w:rPr>
          <w:rFonts w:ascii="Arial" w:cs="Arial" w:eastAsia="Arial" w:hAnsi="Arial"/>
          <w:sz w:val="18"/>
          <w:szCs w:val="18"/>
          <w:color w:val="auto"/>
        </w:rPr>
      </w:pPr>
    </w:p>
    <w:p>
      <w:pPr>
        <w:ind w:left="1344" w:hanging="695"/>
        <w:spacing w:after="0"/>
        <w:tabs>
          <w:tab w:leader="none" w:pos="134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Term Loan.</w:t>
      </w:r>
    </w:p>
    <w:p>
      <w:pPr>
        <w:spacing w:after="0" w:line="225" w:lineRule="exact"/>
        <w:rPr>
          <w:rFonts w:ascii="Arial" w:cs="Arial" w:eastAsia="Arial" w:hAnsi="Arial"/>
          <w:sz w:val="18"/>
          <w:szCs w:val="18"/>
          <w:color w:val="auto"/>
        </w:rPr>
      </w:pPr>
    </w:p>
    <w:p>
      <w:pPr>
        <w:jc w:val="both"/>
        <w:ind w:left="644" w:firstLine="653"/>
        <w:spacing w:after="0" w:line="257" w:lineRule="auto"/>
        <w:tabs>
          <w:tab w:leader="none" w:pos="2056" w:val="left"/>
        </w:tabs>
        <w:numPr>
          <w:ilvl w:val="2"/>
          <w:numId w:val="108"/>
        </w:numPr>
        <w:rPr>
          <w:rFonts w:ascii="Arial" w:cs="Arial" w:eastAsia="Arial" w:hAnsi="Arial"/>
          <w:sz w:val="18"/>
          <w:szCs w:val="18"/>
          <w:color w:val="auto"/>
        </w:rPr>
      </w:pPr>
      <w:r>
        <w:rPr>
          <w:rFonts w:ascii="Arial" w:cs="Arial" w:eastAsia="Arial" w:hAnsi="Arial"/>
          <w:sz w:val="18"/>
          <w:szCs w:val="18"/>
          <w:color w:val="auto"/>
        </w:rPr>
        <w:t>Subject to and upon the terms and conditions of this Agreement, Bank agrees to make a single term loan cash advance to Borrower (the “Term Loan”) in an aggregate principal amount of Three Million Dollars ($3,000,000). The Term Loan shall be made to Borrower on or prior to the closing of the VendScreen Asset Purchase (the “Funding Date”), and the proceeds of the Term Loan shall be used to repay an Advance of $3,000,000 currently outstanding under the Revolving Facility drawn in December 2015 to finance the VendScreen Asset Purchase.</w:t>
      </w:r>
    </w:p>
    <w:p>
      <w:pPr>
        <w:spacing w:after="0" w:line="188" w:lineRule="exact"/>
        <w:rPr>
          <w:rFonts w:ascii="Arial" w:cs="Arial" w:eastAsia="Arial" w:hAnsi="Arial"/>
          <w:sz w:val="18"/>
          <w:szCs w:val="18"/>
          <w:color w:val="auto"/>
        </w:rPr>
      </w:pPr>
    </w:p>
    <w:p>
      <w:pPr>
        <w:jc w:val="both"/>
        <w:ind w:left="644" w:right="20" w:firstLine="653"/>
        <w:spacing w:after="0" w:line="286" w:lineRule="auto"/>
        <w:tabs>
          <w:tab w:leader="none" w:pos="1965"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Interest shall accrue from the Funding Date at the rate specified in Section 2.3, and shall be payable monthly on the tenth day of each month so long as the Term Loan is outstanding, beginning with the tenth day of the first month following the Funding Date. Beginning on the tenth day of the first month following the first anniversary of the Funding Date and continuing on the tenth day of each month thereafter for a period of twenty three (23) months, Borrower shall make equal monthly payments of</w:t>
      </w:r>
    </w:p>
    <w:p>
      <w:pPr>
        <w:spacing w:after="0" w:line="2" w:lineRule="exact"/>
        <w:rPr>
          <w:sz w:val="20"/>
          <w:szCs w:val="20"/>
          <w:color w:val="auto"/>
        </w:rPr>
      </w:pPr>
    </w:p>
    <w:p>
      <w:pPr>
        <w:jc w:val="both"/>
        <w:ind w:left="644" w:right="20"/>
        <w:spacing w:after="0" w:line="231" w:lineRule="auto"/>
        <w:rPr>
          <w:sz w:val="20"/>
          <w:szCs w:val="20"/>
          <w:color w:val="auto"/>
        </w:rPr>
      </w:pPr>
      <w:r>
        <w:rPr>
          <w:rFonts w:ascii="Arial" w:cs="Arial" w:eastAsia="Arial" w:hAnsi="Arial"/>
          <w:sz w:val="17"/>
          <w:szCs w:val="17"/>
          <w:color w:val="auto"/>
        </w:rPr>
        <w:t>principal based on a five year (i.e. 60 month) amortization schedule. On the tenth day of the twenty forth (24</w:t>
      </w:r>
      <w:r>
        <w:rPr>
          <w:rFonts w:ascii="Arial" w:cs="Arial" w:eastAsia="Arial" w:hAnsi="Arial"/>
          <w:sz w:val="28"/>
          <w:szCs w:val="28"/>
          <w:color w:val="auto"/>
          <w:vertAlign w:val="superscript"/>
        </w:rPr>
        <w:t>th</w:t>
      </w:r>
      <w:r>
        <w:rPr>
          <w:rFonts w:ascii="Arial" w:cs="Arial" w:eastAsia="Arial" w:hAnsi="Arial"/>
          <w:sz w:val="17"/>
          <w:szCs w:val="17"/>
          <w:color w:val="auto"/>
        </w:rPr>
        <w:t>) month following the first anniversary of the Funding Date (the “Term Loan Maturity Date”), all amounts owing with respect to the Term Loan, including all outstanding principal, accrued interest, and Bank Expenses, shall be immediately due and payable.</w:t>
      </w:r>
    </w:p>
    <w:p>
      <w:pPr>
        <w:spacing w:after="0" w:line="204" w:lineRule="exact"/>
        <w:rPr>
          <w:sz w:val="20"/>
          <w:szCs w:val="20"/>
          <w:color w:val="auto"/>
        </w:rPr>
      </w:pPr>
    </w:p>
    <w:p>
      <w:pPr>
        <w:ind w:left="644" w:right="20" w:firstLine="653"/>
        <w:spacing w:after="0" w:line="277" w:lineRule="auto"/>
        <w:tabs>
          <w:tab w:leader="none" w:pos="2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Borrower shall have the option to prepay any or all of the Term Loan made by Bank under this Agreement without penalty or premium.</w:t>
      </w:r>
    </w:p>
    <w:p>
      <w:pPr>
        <w:spacing w:after="0" w:line="170" w:lineRule="exact"/>
        <w:rPr>
          <w:rFonts w:ascii="Arial" w:cs="Arial" w:eastAsia="Arial" w:hAnsi="Arial"/>
          <w:sz w:val="18"/>
          <w:szCs w:val="18"/>
          <w:color w:val="auto"/>
        </w:rPr>
      </w:pPr>
    </w:p>
    <w:p>
      <w:pPr>
        <w:jc w:val="both"/>
        <w:ind w:left="644" w:firstLine="653"/>
        <w:spacing w:after="0" w:line="255" w:lineRule="auto"/>
        <w:tabs>
          <w:tab w:leader="none" w:pos="200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When Borrower desires the Term Loan to be made, Borrower will notify Bank no later than 3:00 p.m. Pacific Time, on the Business Day that is at least one day prior to the date the Term Loan is requested to be made. Each such notification shall be made by delivering to Bank a request form in substantially the form of Exhibit B-1 attached hereto. Bank is authorized to make Term Loan under this Agreement, based upon instructions received from a Responsible Officer or a designee of a Responsible Officer; and Bank shall be entitled to rely on any notice given by a person who Bank reasonably believes to be a Responsible Officer or a designee thereof, and Borrower shall indemnify and hold Bank harmless for any damages or loss suffered by Bank as a result of such reliance.</w:t>
      </w:r>
    </w:p>
    <w:p>
      <w:pPr>
        <w:spacing w:after="0" w:line="189" w:lineRule="exact"/>
        <w:rPr>
          <w:rFonts w:ascii="Arial" w:cs="Arial" w:eastAsia="Arial" w:hAnsi="Arial"/>
          <w:sz w:val="18"/>
          <w:szCs w:val="18"/>
          <w:color w:val="auto"/>
        </w:rPr>
      </w:pPr>
    </w:p>
    <w:p>
      <w:pPr>
        <w:ind w:left="684" w:hanging="684"/>
        <w:spacing w:after="0"/>
        <w:tabs>
          <w:tab w:leader="none" w:pos="6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following is added to the end of Section 2.3(a):</w:t>
      </w:r>
    </w:p>
    <w:p>
      <w:pPr>
        <w:spacing w:after="0" w:line="225" w:lineRule="exact"/>
        <w:rPr>
          <w:sz w:val="20"/>
          <w:szCs w:val="20"/>
          <w:color w:val="auto"/>
        </w:rPr>
      </w:pPr>
    </w:p>
    <w:p>
      <w:pPr>
        <w:ind w:left="644" w:right="20"/>
        <w:spacing w:after="0" w:line="342" w:lineRule="auto"/>
        <w:rPr>
          <w:sz w:val="20"/>
          <w:szCs w:val="20"/>
          <w:color w:val="auto"/>
        </w:rPr>
      </w:pPr>
      <w:r>
        <w:rPr>
          <w:rFonts w:ascii="Arial" w:cs="Arial" w:eastAsia="Arial" w:hAnsi="Arial"/>
          <w:sz w:val="16"/>
          <w:szCs w:val="16"/>
          <w:color w:val="auto"/>
        </w:rPr>
        <w:t>Except as set forth in Section 2.3(b), the Term Loan shall bear interest, on the outstanding Daily Balance thereof, at a rate equal to 1.75% above the Prime Rate; provided however that in no event shall the applicable interest rate be less than five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4"/>
          </w:cols>
          <w:pgMar w:left="896" w:top="908" w:right="879" w:bottom="1440" w:gutter="0" w:footer="0" w:header="0"/>
        </w:sectPr>
      </w:pPr>
    </w:p>
    <w:bookmarkStart w:id="153" w:name="page154"/>
    <w:bookmarkEnd w:id="153"/>
    <w:p>
      <w:pPr>
        <w:ind w:left="684" w:hanging="684"/>
        <w:spacing w:after="0"/>
        <w:tabs>
          <w:tab w:leader="none" w:pos="68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first two sentences in Section 2.3(c) are amended and restated in their entirety to read as follows:</w:t>
      </w:r>
    </w:p>
    <w:p>
      <w:pPr>
        <w:spacing w:after="0" w:line="225" w:lineRule="exact"/>
        <w:rPr>
          <w:sz w:val="20"/>
          <w:szCs w:val="20"/>
          <w:color w:val="auto"/>
        </w:rPr>
      </w:pPr>
    </w:p>
    <w:p>
      <w:pPr>
        <w:jc w:val="both"/>
        <w:ind w:left="644" w:right="640"/>
        <w:spacing w:after="0" w:line="259" w:lineRule="auto"/>
        <w:rPr>
          <w:sz w:val="20"/>
          <w:szCs w:val="20"/>
          <w:color w:val="auto"/>
        </w:rPr>
      </w:pPr>
      <w:r>
        <w:rPr>
          <w:rFonts w:ascii="Arial" w:cs="Arial" w:eastAsia="Arial" w:hAnsi="Arial"/>
          <w:sz w:val="18"/>
          <w:szCs w:val="18"/>
          <w:color w:val="auto"/>
        </w:rPr>
        <w:t>Accrued interest with respect to the Revolving Facility shall be due and payable in arrears on the first business day of each month during the term hereof. The minimum interest payable with respect to the Revolving Facility for each six month period, measured beginning with the period ending six months from the Closing Date, and for each successive six month period thereafter, shall be Twenty Thousand Dollars ($20,000).</w:t>
      </w:r>
    </w:p>
    <w:p>
      <w:pPr>
        <w:spacing w:after="0" w:line="187" w:lineRule="exact"/>
        <w:rPr>
          <w:sz w:val="20"/>
          <w:szCs w:val="20"/>
          <w:color w:val="auto"/>
        </w:rPr>
      </w:pPr>
    </w:p>
    <w:p>
      <w:pPr>
        <w:ind w:left="684" w:hanging="684"/>
        <w:spacing w:after="0"/>
        <w:tabs>
          <w:tab w:leader="none" w:pos="68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is added as a new Section 6.14 to the end of Section 6 of the Agreement:</w:t>
      </w:r>
    </w:p>
    <w:p>
      <w:pPr>
        <w:spacing w:after="0" w:line="225" w:lineRule="exact"/>
        <w:rPr>
          <w:sz w:val="20"/>
          <w:szCs w:val="20"/>
          <w:color w:val="auto"/>
        </w:rPr>
      </w:pPr>
    </w:p>
    <w:p>
      <w:pPr>
        <w:ind w:left="644"/>
        <w:spacing w:after="0"/>
        <w:tabs>
          <w:tab w:leader="none" w:pos="1483"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Minimum Debt Service Coverage Ratio. Borrower shall achieve a minimum Debt Service Coverage Ratio of at least</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measured on a quarterly basis.</w:t>
      </w:r>
    </w:p>
    <w:p>
      <w:pPr>
        <w:spacing w:after="0" w:line="211" w:lineRule="exact"/>
        <w:rPr>
          <w:sz w:val="20"/>
          <w:szCs w:val="20"/>
          <w:color w:val="auto"/>
        </w:rPr>
      </w:pPr>
    </w:p>
    <w:p>
      <w:pPr>
        <w:ind w:left="624" w:hanging="624"/>
        <w:spacing w:after="0"/>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Exhibit B-1 attached hereto is incorporated in its entirety as Exhibit B-1 to the Agreement.</w:t>
      </w:r>
    </w:p>
    <w:p>
      <w:pPr>
        <w:spacing w:after="0" w:line="225" w:lineRule="exact"/>
        <w:rPr>
          <w:sz w:val="20"/>
          <w:szCs w:val="20"/>
          <w:color w:val="auto"/>
        </w:rPr>
      </w:pPr>
    </w:p>
    <w:p>
      <w:pPr>
        <w:ind w:left="624" w:hanging="624"/>
        <w:spacing w:after="0"/>
        <w:tabs>
          <w:tab w:leader="none" w:pos="6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Exhibits C and D to the Agreement is replaced in its entirety with Exhibits C and D attached hereto.</w:t>
      </w:r>
    </w:p>
    <w:p>
      <w:pPr>
        <w:spacing w:after="0" w:line="225" w:lineRule="exact"/>
        <w:rPr>
          <w:rFonts w:ascii="Arial" w:cs="Arial" w:eastAsia="Arial" w:hAnsi="Arial"/>
          <w:sz w:val="18"/>
          <w:szCs w:val="18"/>
          <w:color w:val="auto"/>
        </w:rPr>
      </w:pPr>
    </w:p>
    <w:p>
      <w:pPr>
        <w:jc w:val="both"/>
        <w:ind w:left="-576" w:firstLine="576"/>
        <w:spacing w:after="0" w:line="257" w:lineRule="auto"/>
        <w:tabs>
          <w:tab w:leader="none" w:pos="8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88" w:lineRule="exact"/>
        <w:rPr>
          <w:rFonts w:ascii="Arial" w:cs="Arial" w:eastAsia="Arial" w:hAnsi="Arial"/>
          <w:sz w:val="18"/>
          <w:szCs w:val="18"/>
          <w:color w:val="auto"/>
        </w:rPr>
      </w:pPr>
    </w:p>
    <w:p>
      <w:pPr>
        <w:ind w:left="-576" w:right="20" w:firstLine="576"/>
        <w:spacing w:after="0" w:line="277" w:lineRule="auto"/>
        <w:tabs>
          <w:tab w:leader="none" w:pos="6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70" w:lineRule="exact"/>
        <w:rPr>
          <w:rFonts w:ascii="Arial" w:cs="Arial" w:eastAsia="Arial" w:hAnsi="Arial"/>
          <w:sz w:val="18"/>
          <w:szCs w:val="18"/>
          <w:color w:val="auto"/>
        </w:rPr>
      </w:pPr>
    </w:p>
    <w:p>
      <w:pPr>
        <w:jc w:val="both"/>
        <w:ind w:left="-576" w:firstLine="576"/>
        <w:spacing w:after="0" w:line="257" w:lineRule="auto"/>
        <w:tabs>
          <w:tab w:leader="none" w:pos="6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88" w:lineRule="exact"/>
        <w:rPr>
          <w:rFonts w:ascii="Arial" w:cs="Arial" w:eastAsia="Arial" w:hAnsi="Arial"/>
          <w:sz w:val="18"/>
          <w:szCs w:val="18"/>
          <w:color w:val="auto"/>
        </w:rPr>
      </w:pPr>
    </w:p>
    <w:p>
      <w:pPr>
        <w:ind w:left="624" w:hanging="624"/>
        <w:spacing w:after="0"/>
        <w:tabs>
          <w:tab w:leader="none" w:pos="62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458470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54" w:name="page155"/>
    <w:bookmarkEnd w:id="154"/>
    <w:p>
      <w:pPr>
        <w:ind w:left="760" w:hanging="655"/>
        <w:spacing w:after="0"/>
        <w:tabs>
          <w:tab w:leader="none" w:pos="7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w:t>
      </w:r>
    </w:p>
    <w:p>
      <w:pPr>
        <w:spacing w:after="0" w:line="225" w:lineRule="exact"/>
        <w:rPr>
          <w:rFonts w:ascii="Arial" w:cs="Arial" w:eastAsia="Arial" w:hAnsi="Arial"/>
          <w:sz w:val="18"/>
          <w:szCs w:val="18"/>
          <w:b w:val="1"/>
          <w:bCs w:val="1"/>
          <w:color w:val="auto"/>
        </w:rPr>
      </w:pPr>
    </w:p>
    <w:p>
      <w:pPr>
        <w:ind w:left="780" w:hanging="675"/>
        <w:spacing w:after="0"/>
        <w:tabs>
          <w:tab w:leader="none" w:pos="7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corporate resolution and incumbency certificate;</w:t>
      </w:r>
    </w:p>
    <w:p>
      <w:pPr>
        <w:spacing w:after="0" w:line="225" w:lineRule="exact"/>
        <w:rPr>
          <w:rFonts w:ascii="Arial" w:cs="Arial" w:eastAsia="Arial" w:hAnsi="Arial"/>
          <w:sz w:val="18"/>
          <w:szCs w:val="18"/>
          <w:b w:val="1"/>
          <w:bCs w:val="1"/>
          <w:color w:val="auto"/>
        </w:rPr>
      </w:pPr>
    </w:p>
    <w:p>
      <w:pPr>
        <w:ind w:left="760" w:hanging="655"/>
        <w:spacing w:after="0"/>
        <w:tabs>
          <w:tab w:leader="none" w:pos="7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affirmation of guarantees; and</w:t>
      </w:r>
    </w:p>
    <w:p>
      <w:pPr>
        <w:spacing w:after="0" w:line="225" w:lineRule="exact"/>
        <w:rPr>
          <w:rFonts w:ascii="Arial" w:cs="Arial" w:eastAsia="Arial" w:hAnsi="Arial"/>
          <w:sz w:val="18"/>
          <w:szCs w:val="18"/>
          <w:b w:val="1"/>
          <w:bCs w:val="1"/>
          <w:color w:val="auto"/>
        </w:rPr>
      </w:pPr>
    </w:p>
    <w:p>
      <w:pPr>
        <w:ind w:left="-1200" w:firstLine="1305"/>
        <w:spacing w:after="0" w:line="277" w:lineRule="auto"/>
        <w:tabs>
          <w:tab w:leader="none" w:pos="834"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payment of a facility fee in the amount of $30,000 with respect to the Term Loan, plus a prorated facility fee with respect to the Revolving Facility in the amount of $1,667, plus all Bank Expenses incurred by Bank through the date hereof.</w:t>
      </w:r>
    </w:p>
    <w:p>
      <w:pPr>
        <w:spacing w:after="0" w:line="17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P. Herbert</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AVIDBANK CORPORATE FINANCE,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Javier</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Javier</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Head of Business Development</w:t>
            </w:r>
          </w:p>
        </w:tc>
      </w:tr>
      <w:tr>
        <w:trPr>
          <w:trHeight w:val="669"/>
        </w:trPr>
        <w:tc>
          <w:tcPr>
            <w:tcW w:w="6400" w:type="dxa"/>
            <w:vAlign w:val="bottom"/>
            <w:tcBorders>
              <w:bottom w:val="single" w:sz="8" w:color="DCDCDC"/>
            </w:tcBorders>
          </w:tcPr>
          <w:p>
            <w:pPr>
              <w:spacing w:after="0"/>
              <w:rPr>
                <w:sz w:val="24"/>
                <w:szCs w:val="24"/>
                <w:color w:val="auto"/>
              </w:rPr>
            </w:pPr>
          </w:p>
        </w:tc>
        <w:tc>
          <w:tcPr>
            <w:tcW w:w="50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EXHIBIT B-1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LOAN REQUEST FORM</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Date: _____________</w:t>
      </w:r>
    </w:p>
    <w:p>
      <w:pPr>
        <w:sectPr>
          <w:pgSz w:w="11900" w:h="16838" w:orient="portrait"/>
          <w:cols w:equalWidth="0" w:num="1">
            <w:col w:w="11420"/>
          </w:cols>
          <w:pgMar w:left="240" w:top="904" w:right="239" w:bottom="1440" w:gutter="0" w:footer="0" w:header="0"/>
        </w:sectPr>
      </w:pP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USA TECHNOLOGIES, INC.</w:t>
      </w:r>
    </w:p>
    <w:p>
      <w:pPr>
        <w:spacing w:after="0" w:line="200" w:lineRule="exact"/>
        <w:rPr>
          <w:sz w:val="20"/>
          <w:szCs w:val="20"/>
          <w:color w:val="auto"/>
        </w:rPr>
      </w:pPr>
    </w:p>
    <w:p>
      <w:pPr>
        <w:sectPr>
          <w:pgSz w:w="11900" w:h="16838" w:orient="portrait"/>
          <w:cols w:equalWidth="0" w:num="2">
            <w:col w:w="1580" w:space="720"/>
            <w:col w:w="9120"/>
          </w:cols>
          <w:pgMar w:left="240" w:top="904" w:right="239" w:bottom="1440" w:gutter="0" w:footer="0" w:header="0"/>
          <w:type w:val="continuous"/>
        </w:sectPr>
      </w:pP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Client ID: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11" w:lineRule="exact"/>
        <w:rPr>
          <w:sz w:val="20"/>
          <w:szCs w:val="20"/>
          <w:color w:val="auto"/>
        </w:rPr>
      </w:pPr>
    </w:p>
    <w:p>
      <w:pPr>
        <w:sectPr>
          <w:pgSz w:w="11900" w:h="16838" w:orient="portrait"/>
          <w:cols w:equalWidth="0" w:num="2">
            <w:col w:w="1580" w:space="720"/>
            <w:col w:w="9120"/>
          </w:cols>
          <w:pgMar w:left="240" w:top="904" w:right="239" w:bottom="1440" w:gutter="0" w:footer="0" w:header="0"/>
          <w:type w:val="continuous"/>
        </w:sectPr>
      </w:pPr>
    </w:p>
    <w:p>
      <w:pPr>
        <w:spacing w:after="0" w:line="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request a Term Loan in the amount of $3,000,000 in accordance with the terms set forth in the Loan and Security Agreement between the Borrower and Bank.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also requests that the proceeds of the Term Loan are to be applied to repay outstanding Advances under the Revolving Facility.</w:t>
      </w:r>
    </w:p>
    <w:p>
      <w:pPr>
        <w:spacing w:after="0" w:line="2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undersigned represents and warrants, on behalf of Borrower that the foregoing is true, complete and correct in all material respects, and that the information reflected in this certificate complies with the representations and warranties set forth in the Loan and Security Agreement between the Borrower and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Authorized 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0326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0326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303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28615" cy="13036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ind w:left="60"/>
              <w:spacing w:after="0"/>
              <w:rPr>
                <w:sz w:val="20"/>
                <w:szCs w:val="20"/>
                <w:color w:val="auto"/>
              </w:rPr>
            </w:pPr>
            <w:r>
              <w:rPr>
                <w:rFonts w:ascii="Arial" w:cs="Arial" w:eastAsia="Arial" w:hAnsi="Arial"/>
                <w:sz w:val="18"/>
                <w:szCs w:val="18"/>
                <w:color w:val="auto"/>
              </w:rPr>
              <w:t>Received by:</w:t>
            </w:r>
          </w:p>
        </w:tc>
        <w:tc>
          <w:tcPr>
            <w:tcW w:w="402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7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020" w:type="dxa"/>
            <w:vAlign w:val="bottom"/>
          </w:tcPr>
          <w:p>
            <w:pPr>
              <w:ind w:left="1080"/>
              <w:spacing w:after="0"/>
              <w:rPr>
                <w:sz w:val="20"/>
                <w:szCs w:val="20"/>
                <w:color w:val="auto"/>
              </w:rPr>
            </w:pPr>
            <w:r>
              <w:rPr>
                <w:rFonts w:ascii="Arial" w:cs="Arial" w:eastAsia="Arial" w:hAnsi="Arial"/>
                <w:sz w:val="18"/>
                <w:szCs w:val="18"/>
                <w:color w:val="auto"/>
              </w:rPr>
              <w:t>AUTHORIZED SIGNER</w:t>
            </w:r>
          </w:p>
        </w:tc>
        <w:tc>
          <w:tcPr>
            <w:tcW w:w="4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660" w:type="dxa"/>
            <w:vAlign w:val="bottom"/>
          </w:tcPr>
          <w:p>
            <w:pPr>
              <w:ind w:left="60"/>
              <w:spacing w:after="0"/>
              <w:rPr>
                <w:sz w:val="20"/>
                <w:szCs w:val="20"/>
                <w:color w:val="auto"/>
              </w:rPr>
            </w:pPr>
            <w:r>
              <w:rPr>
                <w:rFonts w:ascii="Arial" w:cs="Arial" w:eastAsia="Arial" w:hAnsi="Arial"/>
                <w:sz w:val="18"/>
                <w:szCs w:val="18"/>
                <w:color w:val="auto"/>
              </w:rPr>
              <w:t>Approved by:</w:t>
            </w:r>
          </w:p>
        </w:tc>
        <w:tc>
          <w:tcPr>
            <w:tcW w:w="4020" w:type="dxa"/>
            <w:vAlign w:val="bottom"/>
          </w:tcPr>
          <w:p>
            <w:pPr>
              <w:spacing w:after="0"/>
              <w:rPr>
                <w:sz w:val="24"/>
                <w:szCs w:val="24"/>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7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020" w:type="dxa"/>
            <w:vAlign w:val="bottom"/>
          </w:tcPr>
          <w:p>
            <w:pPr>
              <w:ind w:left="1080"/>
              <w:spacing w:after="0"/>
              <w:rPr>
                <w:sz w:val="20"/>
                <w:szCs w:val="20"/>
                <w:color w:val="auto"/>
              </w:rPr>
            </w:pPr>
            <w:r>
              <w:rPr>
                <w:rFonts w:ascii="Arial" w:cs="Arial" w:eastAsia="Arial" w:hAnsi="Arial"/>
                <w:sz w:val="18"/>
                <w:szCs w:val="18"/>
                <w:color w:val="auto"/>
              </w:rPr>
              <w:t>AUTHORIZED SIGNER</w:t>
            </w:r>
          </w:p>
        </w:tc>
        <w:tc>
          <w:tcPr>
            <w:tcW w:w="4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28"/>
        </w:trPr>
        <w:tc>
          <w:tcPr>
            <w:tcW w:w="2660" w:type="dxa"/>
            <w:vAlign w:val="bottom"/>
            <w:tcBorders>
              <w:bottom w:val="single" w:sz="8" w:color="DCDCDC"/>
            </w:tcBorders>
          </w:tcPr>
          <w:p>
            <w:pPr>
              <w:spacing w:after="0"/>
              <w:rPr>
                <w:sz w:val="24"/>
                <w:szCs w:val="24"/>
                <w:color w:val="auto"/>
              </w:rPr>
            </w:pPr>
          </w:p>
        </w:tc>
        <w:tc>
          <w:tcPr>
            <w:tcW w:w="4020" w:type="dxa"/>
            <w:vAlign w:val="bottom"/>
            <w:tcBorders>
              <w:bottom w:val="single" w:sz="8" w:color="DCDCDC"/>
            </w:tcBorders>
          </w:tcPr>
          <w:p>
            <w:pPr>
              <w:spacing w:after="0"/>
              <w:rPr>
                <w:sz w:val="24"/>
                <w:szCs w:val="24"/>
                <w:color w:val="auto"/>
              </w:rPr>
            </w:pPr>
          </w:p>
        </w:tc>
        <w:tc>
          <w:tcPr>
            <w:tcW w:w="47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Borrower: USA TECHNOLOGIES, INC.</w:t>
            </w:r>
          </w:p>
        </w:tc>
        <w:tc>
          <w:tcPr>
            <w:tcW w:w="4240" w:type="dxa"/>
            <w:vAlign w:val="bottom"/>
          </w:tcPr>
          <w:p>
            <w:pPr>
              <w:ind w:left="260"/>
              <w:spacing w:after="0"/>
              <w:rPr>
                <w:sz w:val="20"/>
                <w:szCs w:val="20"/>
                <w:color w:val="auto"/>
              </w:rPr>
            </w:pPr>
            <w:r>
              <w:rPr>
                <w:rFonts w:ascii="Arial" w:cs="Arial" w:eastAsia="Arial" w:hAnsi="Arial"/>
                <w:sz w:val="18"/>
                <w:szCs w:val="18"/>
                <w:color w:val="auto"/>
              </w:rPr>
              <w:t>Lender: Avidbank Corporate Finance,</w:t>
            </w:r>
          </w:p>
        </w:tc>
        <w:tc>
          <w:tcPr>
            <w:tcW w:w="0" w:type="dxa"/>
            <w:vAlign w:val="bottom"/>
          </w:tcPr>
          <w:p>
            <w:pPr>
              <w:spacing w:after="0"/>
              <w:rPr>
                <w:sz w:val="1"/>
                <w:szCs w:val="1"/>
                <w:color w:val="auto"/>
              </w:rPr>
            </w:pPr>
          </w:p>
        </w:tc>
      </w:tr>
      <w:tr>
        <w:trPr>
          <w:trHeight w:val="23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Commitment Amount: $7,500,000</w:t>
            </w:r>
          </w:p>
        </w:tc>
        <w:tc>
          <w:tcPr>
            <w:tcW w:w="4240" w:type="dxa"/>
            <w:vAlign w:val="bottom"/>
          </w:tcPr>
          <w:p>
            <w:pPr>
              <w:ind w:left="900"/>
              <w:spacing w:after="0"/>
              <w:rPr>
                <w:sz w:val="20"/>
                <w:szCs w:val="20"/>
                <w:color w:val="auto"/>
              </w:rPr>
            </w:pPr>
            <w:r>
              <w:rPr>
                <w:rFonts w:ascii="Arial" w:cs="Arial" w:eastAsia="Arial" w:hAnsi="Arial"/>
                <w:sz w:val="18"/>
                <w:szCs w:val="18"/>
                <w:color w:val="auto"/>
              </w:rPr>
              <w:t>a division of Avidbank</w:t>
            </w: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180" w:type="dxa"/>
            <w:vAlign w:val="bottom"/>
            <w:tcBorders>
              <w:bottom w:val="single" w:sz="8" w:color="auto"/>
            </w:tcBorders>
            <w:gridSpan w:val="2"/>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180" w:type="dxa"/>
            <w:vAlign w:val="bottom"/>
            <w:gridSpan w:val="2"/>
          </w:tcPr>
          <w:p>
            <w:pPr>
              <w:spacing w:after="0"/>
              <w:rPr>
                <w:sz w:val="20"/>
                <w:szCs w:val="20"/>
                <w:color w:val="auto"/>
              </w:rPr>
            </w:pPr>
            <w:r>
              <w:rPr>
                <w:rFonts w:ascii="Arial" w:cs="Arial" w:eastAsia="Arial" w:hAnsi="Arial"/>
                <w:sz w:val="18"/>
                <w:szCs w:val="18"/>
                <w:color w:val="auto"/>
              </w:rPr>
              <w:t>REVENUES FROM NON-INVOICED ACCOUNTS RECEIVABLES</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6080" w:type="dxa"/>
            <w:vAlign w:val="bottom"/>
          </w:tcPr>
          <w:p>
            <w:pPr>
              <w:ind w:left="140"/>
              <w:spacing w:after="0"/>
              <w:rPr>
                <w:sz w:val="20"/>
                <w:szCs w:val="20"/>
                <w:color w:val="auto"/>
              </w:rPr>
            </w:pPr>
            <w:r>
              <w:rPr>
                <w:rFonts w:ascii="Arial" w:cs="Arial" w:eastAsia="Arial" w:hAnsi="Arial"/>
                <w:sz w:val="18"/>
                <w:szCs w:val="18"/>
                <w:color w:val="auto"/>
                <w:w w:val="97"/>
              </w:rPr>
              <w:t>Prior three-months networking service fees/transaction processing revenues</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6080" w:type="dxa"/>
            <w:vAlign w:val="bottom"/>
          </w:tcPr>
          <w:p>
            <w:pPr>
              <w:ind w:left="140"/>
              <w:spacing w:after="0"/>
              <w:rPr>
                <w:sz w:val="20"/>
                <w:szCs w:val="20"/>
                <w:color w:val="auto"/>
              </w:rPr>
            </w:pPr>
            <w:r>
              <w:rPr>
                <w:rFonts w:ascii="Arial" w:cs="Arial" w:eastAsia="Arial" w:hAnsi="Arial"/>
                <w:sz w:val="18"/>
                <w:szCs w:val="18"/>
                <w:color w:val="auto"/>
              </w:rPr>
              <w:t>Adjustments to Revenues, if any</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6080" w:type="dxa"/>
            <w:vAlign w:val="bottom"/>
          </w:tcPr>
          <w:p>
            <w:pPr>
              <w:ind w:left="140"/>
              <w:spacing w:after="0"/>
              <w:rPr>
                <w:sz w:val="20"/>
                <w:szCs w:val="20"/>
                <w:color w:val="auto"/>
              </w:rPr>
            </w:pPr>
            <w:r>
              <w:rPr>
                <w:rFonts w:ascii="Arial" w:cs="Arial" w:eastAsia="Arial" w:hAnsi="Arial"/>
                <w:sz w:val="18"/>
                <w:szCs w:val="18"/>
                <w:color w:val="auto"/>
              </w:rPr>
              <w:t>Total Processing Revenues (#1 minus #2)</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30"/>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6080" w:type="dxa"/>
            <w:vAlign w:val="bottom"/>
          </w:tcPr>
          <w:p>
            <w:pPr>
              <w:ind w:left="140"/>
              <w:spacing w:after="0"/>
              <w:rPr>
                <w:sz w:val="20"/>
                <w:szCs w:val="20"/>
                <w:color w:val="auto"/>
              </w:rPr>
            </w:pPr>
            <w:r>
              <w:rPr>
                <w:rFonts w:ascii="Arial" w:cs="Arial" w:eastAsia="Arial" w:hAnsi="Arial"/>
                <w:sz w:val="18"/>
                <w:szCs w:val="18"/>
                <w:color w:val="auto"/>
              </w:rPr>
              <w:t>Loan Value of Processing Revenues (80% of #3)</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BALANCES</w:t>
            </w:r>
          </w:p>
        </w:tc>
        <w:tc>
          <w:tcPr>
            <w:tcW w:w="60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6080" w:type="dxa"/>
            <w:vAlign w:val="bottom"/>
          </w:tcPr>
          <w:p>
            <w:pPr>
              <w:ind w:left="140"/>
              <w:spacing w:after="0"/>
              <w:rPr>
                <w:sz w:val="20"/>
                <w:szCs w:val="20"/>
                <w:color w:val="auto"/>
              </w:rPr>
            </w:pPr>
            <w:r>
              <w:rPr>
                <w:rFonts w:ascii="Arial" w:cs="Arial" w:eastAsia="Arial" w:hAnsi="Arial"/>
                <w:sz w:val="18"/>
                <w:szCs w:val="18"/>
                <w:color w:val="auto"/>
              </w:rPr>
              <w:t>Maximum Loan Amount</w:t>
            </w:r>
          </w:p>
        </w:tc>
        <w:tc>
          <w:tcPr>
            <w:tcW w:w="4240" w:type="dxa"/>
            <w:vAlign w:val="bottom"/>
          </w:tcPr>
          <w:p>
            <w:pPr>
              <w:ind w:left="23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6080" w:type="dxa"/>
            <w:vAlign w:val="bottom"/>
          </w:tcPr>
          <w:p>
            <w:pPr>
              <w:ind w:left="140"/>
              <w:spacing w:after="0"/>
              <w:rPr>
                <w:sz w:val="20"/>
                <w:szCs w:val="20"/>
                <w:color w:val="auto"/>
              </w:rPr>
            </w:pPr>
            <w:r>
              <w:rPr>
                <w:rFonts w:ascii="Arial" w:cs="Arial" w:eastAsia="Arial" w:hAnsi="Arial"/>
                <w:sz w:val="18"/>
                <w:szCs w:val="18"/>
                <w:color w:val="auto"/>
              </w:rPr>
              <w:t>Total Funds Available [Lesser of #4 or (#5)]</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6080" w:type="dxa"/>
            <w:vAlign w:val="bottom"/>
          </w:tcPr>
          <w:p>
            <w:pPr>
              <w:ind w:left="140"/>
              <w:spacing w:after="0"/>
              <w:rPr>
                <w:sz w:val="20"/>
                <w:szCs w:val="20"/>
                <w:color w:val="auto"/>
              </w:rPr>
            </w:pPr>
            <w:r>
              <w:rPr>
                <w:rFonts w:ascii="Arial" w:cs="Arial" w:eastAsia="Arial" w:hAnsi="Arial"/>
                <w:sz w:val="18"/>
                <w:szCs w:val="18"/>
                <w:color w:val="auto"/>
              </w:rPr>
              <w:t>Present balance owing on Revolving Line</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6080" w:type="dxa"/>
            <w:vAlign w:val="bottom"/>
          </w:tcPr>
          <w:p>
            <w:pPr>
              <w:ind w:left="140"/>
              <w:spacing w:after="0"/>
              <w:rPr>
                <w:sz w:val="20"/>
                <w:szCs w:val="20"/>
                <w:color w:val="auto"/>
              </w:rPr>
            </w:pPr>
            <w:r>
              <w:rPr>
                <w:rFonts w:ascii="Arial" w:cs="Arial" w:eastAsia="Arial" w:hAnsi="Arial"/>
                <w:sz w:val="18"/>
                <w:szCs w:val="18"/>
                <w:color w:val="auto"/>
              </w:rPr>
              <w:t>Present balance owing on Term Loan</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30"/>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6080" w:type="dxa"/>
            <w:vAlign w:val="bottom"/>
          </w:tcPr>
          <w:p>
            <w:pPr>
              <w:ind w:left="140"/>
              <w:spacing w:after="0"/>
              <w:rPr>
                <w:sz w:val="20"/>
                <w:szCs w:val="20"/>
                <w:color w:val="auto"/>
              </w:rPr>
            </w:pPr>
            <w:r>
              <w:rPr>
                <w:rFonts w:ascii="Arial" w:cs="Arial" w:eastAsia="Arial" w:hAnsi="Arial"/>
                <w:sz w:val="18"/>
                <w:szCs w:val="18"/>
                <w:color w:val="auto"/>
                <w:w w:val="98"/>
              </w:rPr>
              <w:t>AVAILABLE BORROWING / RESERVE POSITION (#6 minus #7 minus #8)</w:t>
            </w:r>
          </w:p>
        </w:tc>
        <w:tc>
          <w:tcPr>
            <w:tcW w:w="4240" w:type="dxa"/>
            <w:vAlign w:val="bottom"/>
          </w:tcPr>
          <w:p>
            <w:pPr>
              <w:ind w:left="23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Avidbank Corporate Finance, a division of Avidbank.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3336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20"/>
          </w:cols>
          <w:pgMar w:left="240" w:top="90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AVIDBANK CORPORATE FINANCE, A DIVISION OF AVIDBANK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00" w:lineRule="exact"/>
        <w:rPr>
          <w:sz w:val="20"/>
          <w:szCs w:val="20"/>
          <w:color w:val="auto"/>
        </w:rPr>
      </w:pPr>
    </w:p>
    <w:p>
      <w:pPr>
        <w:sectPr>
          <w:pgSz w:w="11900" w:h="16838" w:orient="portrait"/>
          <w:cols w:equalWidth="0" w:num="2">
            <w:col w:w="560" w:space="700"/>
            <w:col w:w="10160"/>
          </w:cols>
          <w:pgMar w:left="240" w:top="905" w:right="239" w:bottom="1440" w:gutter="0" w:footer="0" w:header="0"/>
          <w:type w:val="continuous"/>
        </w:sectPr>
      </w:pPr>
    </w:p>
    <w:p>
      <w:pPr>
        <w:spacing w:after="0" w:line="1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The undersigned authorized officer of USA TECHNOLOGIES, INC. hereby certifies that in accordance with the terms and conditions of the Loan and Security Agreement between Borrower and Bank (the “Agreement”), (i) Borrower is in complete compliance for the period ending _______________</w:t>
      </w:r>
    </w:p>
    <w:p>
      <w:pPr>
        <w:spacing w:after="0" w:line="254" w:lineRule="auto"/>
        <w:rPr>
          <w:sz w:val="20"/>
          <w:szCs w:val="20"/>
          <w:color w:val="auto"/>
        </w:rPr>
      </w:pPr>
      <w:r>
        <w:rPr>
          <w:rFonts w:ascii="Arial" w:cs="Arial" w:eastAsia="Arial" w:hAnsi="Arial"/>
          <w:sz w:val="18"/>
          <w:szCs w:val="18"/>
          <w:color w:val="auto"/>
        </w:rPr>
        <w:t>with all required covenants except as noted below and (ii) all representations and warranties of Borrower stated in the Agreement are true and correct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gridSpan w:val="3"/>
          </w:tcPr>
          <w:p>
            <w:pPr>
              <w:ind w:left="26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Reporting Covenant</w:t>
            </w:r>
          </w:p>
        </w:tc>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Required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Complies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Schedule of Revenue Proceeds</w:t>
            </w:r>
          </w:p>
        </w:tc>
        <w:tc>
          <w:tcPr>
            <w:tcW w:w="120" w:type="dxa"/>
            <w:vAlign w:val="bottom"/>
            <w:vMerge w:val="continue"/>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Weekly</w:t>
            </w:r>
          </w:p>
        </w:tc>
        <w:tc>
          <w:tcPr>
            <w:tcW w:w="1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69"/>
        </w:trPr>
        <w:tc>
          <w:tcPr>
            <w:tcW w:w="5960" w:type="dxa"/>
            <w:vAlign w:val="bottom"/>
            <w:gridSpan w:val="2"/>
          </w:tcPr>
          <w:p>
            <w:pPr>
              <w:spacing w:after="0"/>
              <w:rPr>
                <w:sz w:val="20"/>
                <w:szCs w:val="20"/>
                <w:color w:val="auto"/>
              </w:rPr>
            </w:pPr>
            <w:r>
              <w:rPr>
                <w:rFonts w:ascii="Arial" w:cs="Arial" w:eastAsia="Arial" w:hAnsi="Arial"/>
                <w:sz w:val="18"/>
                <w:szCs w:val="18"/>
                <w:color w:val="auto"/>
              </w:rPr>
              <w:t>Transaction Report of Cash Disbursements &amp; Collections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Weekly</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Trailing 3 months revenue report</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20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A/R &amp; A/P Agings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20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Borrowing Base Certificate and Compliance Certificate</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20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Monthly statements from JPMorgan Chase</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5 days of receipt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Monthly bank statements from Univest Bank and Trust Co.</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20 days of receipt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Monthly financial statements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Monthly within 20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Annual Projections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Within 30 days of fiscal year beginning</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Quarterly financial statements (Form 10Q)</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Quarterly within 45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Annual financial statements (CPA Audited; Form 10K)</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FYE within 120 days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A/R Audit</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Semi-Annual</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IP Notices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As required under Section 6.11</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w:t>
            </w: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Required</w:t>
            </w:r>
          </w:p>
        </w:tc>
        <w:tc>
          <w:tcPr>
            <w:tcW w:w="1920" w:type="dxa"/>
            <w:vAlign w:val="bottom"/>
          </w:tcPr>
          <w:p>
            <w:pPr>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Complies</w:t>
            </w: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RML for month ended _______________</w:t>
            </w:r>
          </w:p>
        </w:tc>
        <w:tc>
          <w:tcPr>
            <w:tcW w:w="14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Yes</w:t>
            </w:r>
          </w:p>
        </w:tc>
        <w:tc>
          <w:tcPr>
            <w:tcW w:w="9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No</w:t>
            </w:r>
          </w:p>
        </w:tc>
      </w:tr>
      <w:tr>
        <w:trPr>
          <w:trHeight w:val="269"/>
        </w:trPr>
        <w:tc>
          <w:tcPr>
            <w:tcW w:w="5960" w:type="dxa"/>
            <w:vAlign w:val="bottom"/>
            <w:gridSpan w:val="3"/>
          </w:tcPr>
          <w:p>
            <w:pPr>
              <w:spacing w:after="0"/>
              <w:rPr>
                <w:sz w:val="20"/>
                <w:szCs w:val="20"/>
                <w:color w:val="auto"/>
              </w:rPr>
            </w:pPr>
            <w:r>
              <w:rPr>
                <w:rFonts w:ascii="Arial" w:cs="Arial" w:eastAsia="Arial" w:hAnsi="Arial"/>
                <w:sz w:val="18"/>
                <w:szCs w:val="18"/>
                <w:color w:val="auto"/>
              </w:rPr>
              <w:t>When RML is negative, Minimum Liquidity of at least:</w:t>
            </w:r>
          </w:p>
        </w:tc>
        <w:tc>
          <w:tcPr>
            <w:tcW w:w="2180" w:type="dxa"/>
            <w:vAlign w:val="bottom"/>
            <w:gridSpan w:val="2"/>
          </w:tcPr>
          <w:p>
            <w:pPr>
              <w:spacing w:after="0"/>
              <w:rPr>
                <w:sz w:val="20"/>
                <w:szCs w:val="20"/>
                <w:color w:val="auto"/>
              </w:rPr>
            </w:pPr>
            <w:r>
              <w:rPr>
                <w:rFonts w:ascii="Arial" w:cs="Arial" w:eastAsia="Arial" w:hAnsi="Arial"/>
                <w:sz w:val="18"/>
                <w:szCs w:val="18"/>
                <w:color w:val="auto"/>
              </w:rPr>
              <w:t>6 months RML</w:t>
            </w:r>
          </w:p>
        </w:tc>
        <w:tc>
          <w:tcPr>
            <w:tcW w:w="192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284"/>
        </w:trPr>
        <w:tc>
          <w:tcPr>
            <w:tcW w:w="5960" w:type="dxa"/>
            <w:vAlign w:val="bottom"/>
            <w:gridSpan w:val="3"/>
          </w:tcPr>
          <w:p>
            <w:pPr>
              <w:spacing w:after="0"/>
              <w:rPr>
                <w:sz w:val="20"/>
                <w:szCs w:val="20"/>
                <w:color w:val="auto"/>
              </w:rPr>
            </w:pPr>
            <w:r>
              <w:rPr>
                <w:rFonts w:ascii="Arial" w:cs="Arial" w:eastAsia="Arial" w:hAnsi="Arial"/>
                <w:sz w:val="18"/>
                <w:szCs w:val="18"/>
                <w:color w:val="auto"/>
                <w:w w:val="96"/>
              </w:rPr>
              <w:t>When RML is positive, ratio of Current Assets to Current Liabilities of at least:</w:t>
            </w:r>
          </w:p>
        </w:tc>
        <w:tc>
          <w:tcPr>
            <w:tcW w:w="2180" w:type="dxa"/>
            <w:vAlign w:val="bottom"/>
            <w:gridSpan w:val="2"/>
          </w:tcPr>
          <w:p>
            <w:pPr>
              <w:spacing w:after="0"/>
              <w:rPr>
                <w:sz w:val="20"/>
                <w:szCs w:val="20"/>
                <w:color w:val="auto"/>
              </w:rPr>
            </w:pPr>
            <w:r>
              <w:rPr>
                <w:rFonts w:ascii="Arial" w:cs="Arial" w:eastAsia="Arial" w:hAnsi="Arial"/>
                <w:sz w:val="18"/>
                <w:szCs w:val="18"/>
                <w:color w:val="auto"/>
              </w:rPr>
              <w:t>1.00 to 1.00</w:t>
            </w:r>
          </w:p>
        </w:tc>
        <w:tc>
          <w:tcPr>
            <w:tcW w:w="1920" w:type="dxa"/>
            <w:vAlign w:val="bottom"/>
          </w:tcPr>
          <w:p>
            <w:pPr>
              <w:spacing w:after="0"/>
              <w:rPr>
                <w:sz w:val="20"/>
                <w:szCs w:val="20"/>
                <w:color w:val="auto"/>
              </w:rPr>
            </w:pPr>
            <w:r>
              <w:rPr>
                <w:rFonts w:ascii="Arial" w:cs="Arial" w:eastAsia="Arial" w:hAnsi="Arial"/>
                <w:sz w:val="18"/>
                <w:szCs w:val="18"/>
                <w:color w:val="auto"/>
              </w:rPr>
              <w:t>________ : 1.00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284"/>
        </w:trPr>
        <w:tc>
          <w:tcPr>
            <w:tcW w:w="5960" w:type="dxa"/>
            <w:vAlign w:val="bottom"/>
            <w:gridSpan w:val="3"/>
          </w:tcPr>
          <w:p>
            <w:pPr>
              <w:spacing w:after="0"/>
              <w:rPr>
                <w:sz w:val="20"/>
                <w:szCs w:val="20"/>
                <w:color w:val="auto"/>
              </w:rPr>
            </w:pPr>
            <w:r>
              <w:rPr>
                <w:rFonts w:ascii="Arial" w:cs="Arial" w:eastAsia="Arial" w:hAnsi="Arial"/>
                <w:sz w:val="18"/>
                <w:szCs w:val="18"/>
                <w:color w:val="auto"/>
              </w:rPr>
              <w:t>Minimum Adjusted EBITDA for quarters ending:</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5940" w:type="dxa"/>
            <w:vAlign w:val="bottom"/>
            <w:gridSpan w:val="2"/>
          </w:tcPr>
          <w:p>
            <w:pPr>
              <w:ind w:left="380"/>
              <w:spacing w:after="0"/>
              <w:rPr>
                <w:sz w:val="20"/>
                <w:szCs w:val="20"/>
                <w:color w:val="auto"/>
              </w:rPr>
            </w:pPr>
            <w:r>
              <w:rPr>
                <w:rFonts w:ascii="Arial" w:cs="Arial" w:eastAsia="Arial" w:hAnsi="Arial"/>
                <w:sz w:val="18"/>
                <w:szCs w:val="18"/>
                <w:color w:val="auto"/>
              </w:rPr>
              <w:t>December 31, 2015</w:t>
            </w:r>
          </w:p>
        </w:tc>
        <w:tc>
          <w:tcPr>
            <w:tcW w:w="20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284"/>
        </w:trPr>
        <w:tc>
          <w:tcPr>
            <w:tcW w:w="20" w:type="dxa"/>
            <w:vAlign w:val="bottom"/>
          </w:tcPr>
          <w:p>
            <w:pPr>
              <w:spacing w:after="0"/>
              <w:rPr>
                <w:sz w:val="24"/>
                <w:szCs w:val="24"/>
                <w:color w:val="auto"/>
              </w:rPr>
            </w:pPr>
          </w:p>
        </w:tc>
        <w:tc>
          <w:tcPr>
            <w:tcW w:w="5940" w:type="dxa"/>
            <w:vAlign w:val="bottom"/>
            <w:gridSpan w:val="2"/>
          </w:tcPr>
          <w:p>
            <w:pPr>
              <w:ind w:left="380"/>
              <w:spacing w:after="0"/>
              <w:rPr>
                <w:sz w:val="20"/>
                <w:szCs w:val="20"/>
                <w:color w:val="auto"/>
              </w:rPr>
            </w:pPr>
            <w:r>
              <w:rPr>
                <w:rFonts w:ascii="Arial" w:cs="Arial" w:eastAsia="Arial" w:hAnsi="Arial"/>
                <w:sz w:val="18"/>
                <w:szCs w:val="18"/>
                <w:color w:val="auto"/>
              </w:rPr>
              <w:t>March 31, 2016:</w:t>
            </w:r>
          </w:p>
        </w:tc>
        <w:tc>
          <w:tcPr>
            <w:tcW w:w="20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284"/>
        </w:trPr>
        <w:tc>
          <w:tcPr>
            <w:tcW w:w="20" w:type="dxa"/>
            <w:vAlign w:val="bottom"/>
          </w:tcPr>
          <w:p>
            <w:pPr>
              <w:spacing w:after="0"/>
              <w:rPr>
                <w:sz w:val="24"/>
                <w:szCs w:val="24"/>
                <w:color w:val="auto"/>
              </w:rPr>
            </w:pPr>
          </w:p>
        </w:tc>
        <w:tc>
          <w:tcPr>
            <w:tcW w:w="5940" w:type="dxa"/>
            <w:vAlign w:val="bottom"/>
            <w:gridSpan w:val="2"/>
          </w:tcPr>
          <w:p>
            <w:pPr>
              <w:ind w:left="380"/>
              <w:spacing w:after="0"/>
              <w:rPr>
                <w:sz w:val="20"/>
                <w:szCs w:val="20"/>
                <w:color w:val="auto"/>
              </w:rPr>
            </w:pPr>
            <w:r>
              <w:rPr>
                <w:rFonts w:ascii="Arial" w:cs="Arial" w:eastAsia="Arial" w:hAnsi="Arial"/>
                <w:sz w:val="18"/>
                <w:szCs w:val="18"/>
                <w:color w:val="auto"/>
              </w:rPr>
              <w:t>June 30, 2016:</w:t>
            </w:r>
          </w:p>
        </w:tc>
        <w:tc>
          <w:tcPr>
            <w:tcW w:w="20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284"/>
        </w:trPr>
        <w:tc>
          <w:tcPr>
            <w:tcW w:w="5960" w:type="dxa"/>
            <w:vAlign w:val="bottom"/>
            <w:gridSpan w:val="3"/>
          </w:tcPr>
          <w:p>
            <w:pPr>
              <w:spacing w:after="0"/>
              <w:rPr>
                <w:sz w:val="20"/>
                <w:szCs w:val="20"/>
                <w:color w:val="auto"/>
              </w:rPr>
            </w:pPr>
            <w:r>
              <w:rPr>
                <w:rFonts w:ascii="Arial" w:cs="Arial" w:eastAsia="Arial" w:hAnsi="Arial"/>
                <w:sz w:val="18"/>
                <w:szCs w:val="18"/>
                <w:color w:val="auto"/>
              </w:rPr>
              <w:t>Minimum Quarterly Debt Service Coverage Ratio:</w:t>
            </w:r>
          </w:p>
        </w:tc>
        <w:tc>
          <w:tcPr>
            <w:tcW w:w="20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________ : ***</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7"/>
              </w:rPr>
              <w:t>Yes</w:t>
            </w:r>
          </w:p>
        </w:tc>
        <w:tc>
          <w:tcPr>
            <w:tcW w:w="980" w:type="dxa"/>
            <w:vAlign w:val="bottom"/>
          </w:tcPr>
          <w:p>
            <w:pPr>
              <w:ind w:left="420"/>
              <w:spacing w:after="0"/>
              <w:rPr>
                <w:sz w:val="20"/>
                <w:szCs w:val="20"/>
                <w:color w:val="auto"/>
              </w:rPr>
            </w:pPr>
            <w:r>
              <w:rPr>
                <w:rFonts w:ascii="Arial" w:cs="Arial" w:eastAsia="Arial" w:hAnsi="Arial"/>
                <w:sz w:val="18"/>
                <w:szCs w:val="18"/>
                <w:color w:val="auto"/>
              </w:rPr>
              <w:t>No</w:t>
            </w:r>
          </w:p>
        </w:tc>
      </w:tr>
      <w:tr>
        <w:trPr>
          <w:trHeight w:val="743"/>
        </w:trPr>
        <w:tc>
          <w:tcPr>
            <w:tcW w:w="20" w:type="dxa"/>
            <w:vAlign w:val="bottom"/>
            <w:tcBorders>
              <w:bottom w:val="single" w:sz="8" w:color="DCDCDC"/>
            </w:tcBorders>
          </w:tcPr>
          <w:p>
            <w:pPr>
              <w:spacing w:after="0"/>
              <w:rPr>
                <w:sz w:val="24"/>
                <w:szCs w:val="24"/>
                <w:color w:val="auto"/>
              </w:rPr>
            </w:pPr>
          </w:p>
        </w:tc>
        <w:tc>
          <w:tcPr>
            <w:tcW w:w="58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6"/>
          <w:szCs w:val="16"/>
          <w:b w:val="1"/>
          <w:bCs w:val="1"/>
          <w:color w:val="auto"/>
        </w:rPr>
        <w:t xml:space="preserve">Comments Regarding Exceptions: </w:t>
      </w:r>
      <w:r>
        <w:rPr>
          <w:rFonts w:ascii="Arial" w:cs="Arial" w:eastAsia="Arial" w:hAnsi="Arial"/>
          <w:sz w:val="16"/>
          <w:szCs w:val="16"/>
          <w:color w:val="auto"/>
        </w:rPr>
        <w:t>See Attached.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-127635</wp:posOffset>
            </wp:positionV>
            <wp:extent cx="7246620" cy="2238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2383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AUTHORIZED SIGNER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AUTHORIZED SIGNER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spacing w:after="0"/>
        <w:tabs>
          <w:tab w:leader="none" w:pos="3380" w:val="left"/>
          <w:tab w:leader="none" w:pos="45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872490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60" w:space="720"/>
            <w:col w:w="4740"/>
          </w:cols>
          <w:pgMar w:left="240" w:top="905" w:right="11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89"/>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Leland P. Maxwell, certify that:</w:t>
      </w:r>
    </w:p>
    <w:p>
      <w:pPr>
        <w:spacing w:after="0" w:line="225"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89"/>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02"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2016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89"/>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47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2016 (the “Report”), I, Leland P. Maxwell, Interim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89"/>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lowerRoman"/>
      <w:start w:val="1"/>
    </w:lvl>
  </w:abstractNum>
  <w:abstractNum w:abstractNumId="13">
    <w:nsid w:val="1381823A"/>
    <w:multiLevelType w:val="hybridMultilevel"/>
    <w:lvl w:ilvl="0">
      <w:lvlJc w:val="left"/>
      <w:lvlText w:val="%1."/>
      <w:numFmt w:val="decimal"/>
      <w:start w:val="2"/>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1)"/>
      <w:numFmt w:val="lowerLetter"/>
      <w:start w:val="4"/>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lowerLetter"/>
      <w:start w:val="2"/>
    </w:lvl>
    <w:lvl w:ilvl="1">
      <w:lvlJc w:val="left"/>
      <w:lvlText w:val="(%2)"/>
      <w:numFmt w:val="lowerRoman"/>
      <w:start w:val="1"/>
    </w:lvl>
  </w:abstractNum>
  <w:abstractNum w:abstractNumId="19">
    <w:nsid w:val="98A3148"/>
    <w:multiLevelType w:val="hybridMultilevel"/>
    <w:lvl w:ilvl="0">
      <w:lvlJc w:val="left"/>
      <w:lvlText w:val="(%1)"/>
      <w:numFmt w:val="lowerRoman"/>
      <w:start w:val="5"/>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2"/>
    </w:lvl>
  </w:abstractNum>
  <w:abstractNum w:abstractNumId="22">
    <w:nsid w:val="42C296BD"/>
    <w:multiLevelType w:val="hybridMultilevel"/>
    <w:lvl w:ilvl="0">
      <w:lvlJc w:val="left"/>
      <w:lvlText w:val="(%1)"/>
      <w:numFmt w:val="lowerLetter"/>
      <w:start w:val="1"/>
    </w:lvl>
    <w:lvl w:ilvl="1">
      <w:lvlJc w:val="left"/>
      <w:lvlText w:val="(%2)"/>
      <w:numFmt w:val="lowerRoman"/>
      <w:start w:val="1"/>
    </w:lvl>
  </w:abstractNum>
  <w:abstractNum w:abstractNumId="23">
    <w:nsid w:val="168E121F"/>
    <w:multiLevelType w:val="hybridMultilevel"/>
    <w:lvl w:ilvl="0">
      <w:lvlJc w:val="left"/>
      <w:lvlText w:val="%1"/>
      <w:numFmt w:val="lowerLetter"/>
      <w:start w:val="1"/>
    </w:lvl>
    <w:lvl w:ilvl="1">
      <w:lvlJc w:val="left"/>
      <w:lvlText w:val="(%2)"/>
      <w:numFmt w:val="lowerRoman"/>
      <w:start w:val="7"/>
    </w:lvl>
  </w:abstractNum>
  <w:abstractNum w:abstractNumId="24">
    <w:nsid w:val="1EBA5D23"/>
    <w:multiLevelType w:val="hybridMultilevel"/>
    <w:lvl w:ilvl="0">
      <w:lvlJc w:val="left"/>
      <w:lvlText w:val="(%1)"/>
      <w:numFmt w:val="lowerLetter"/>
      <w:start w:val="2"/>
    </w:lvl>
    <w:lvl w:ilvl="1">
      <w:lvlJc w:val="left"/>
      <w:lvlText w:val="(%2)"/>
      <w:numFmt w:val="lowerRoman"/>
      <w:start w:val="1"/>
    </w:lvl>
  </w:abstractNum>
  <w:abstractNum w:abstractNumId="25">
    <w:nsid w:val="661E3F1E"/>
    <w:multiLevelType w:val="hybridMultilevel"/>
    <w:lvl w:ilvl="0">
      <w:lvlJc w:val="left"/>
      <w:lvlText w:val="%1"/>
      <w:numFmt w:val="decimal"/>
      <w:start w:val="1"/>
    </w:lvl>
    <w:lvl w:ilvl="1">
      <w:lvlJc w:val="left"/>
      <w:lvlText w:val="(%2)"/>
      <w:numFmt w:val="lowerRoman"/>
      <w:start w:val="5"/>
    </w:lvl>
  </w:abstractNum>
  <w:abstractNum w:abstractNumId="26">
    <w:nsid w:val="5DC79EA8"/>
    <w:multiLevelType w:val="hybridMultilevel"/>
    <w:lvl w:ilvl="0">
      <w:lvlJc w:val="left"/>
      <w:lvlText w:val="%1."/>
      <w:numFmt w:val="decimal"/>
      <w:start w:val="3"/>
    </w:lvl>
    <w:lvl w:ilvl="1">
      <w:lvlJc w:val="left"/>
      <w:lvlText w:val="%2"/>
      <w:numFmt w:val="lowerRoman"/>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3"/>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3"/>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6"/>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3"/>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3"/>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5"/>
    </w:lvl>
  </w:abstractNum>
  <w:abstractNum w:abstractNumId="40">
    <w:nsid w:val="60B6DF70"/>
    <w:multiLevelType w:val="hybridMultilevel"/>
    <w:lvl w:ilvl="0">
      <w:lvlJc w:val="left"/>
      <w:lvlText w:val="(%1)"/>
      <w:numFmt w:val="lowerLetter"/>
      <w:start w:val="8"/>
    </w:lvl>
  </w:abstractNum>
  <w:abstractNum w:abstractNumId="41">
    <w:nsid w:val="6A5EE64"/>
    <w:multiLevelType w:val="hybridMultilevel"/>
    <w:lvl w:ilvl="0">
      <w:lvlJc w:val="left"/>
      <w:lvlText w:val="(%1)"/>
      <w:numFmt w:val="lowerLetter"/>
      <w:start w:val="11"/>
    </w:lvl>
  </w:abstractNum>
  <w:abstractNum w:abstractNumId="42">
    <w:nsid w:val="14330624"/>
    <w:multiLevelType w:val="hybridMultilevel"/>
    <w:lvl w:ilvl="0">
      <w:lvlJc w:val="left"/>
      <w:lvlText w:val="(%1)"/>
      <w:numFmt w:val="lowerLetter"/>
      <w:start w:val="13"/>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1."/>
      <w:numFmt w:val="decimal"/>
      <w:start w:val="4"/>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Letter"/>
      <w:start w:val="2"/>
    </w:lvl>
  </w:abstractNum>
  <w:abstractNum w:abstractNumId="47">
    <w:nsid w:val="7FB7E0AA"/>
    <w:multiLevelType w:val="hybridMultilevel"/>
    <w:lvl w:ilvl="0">
      <w:lvlJc w:val="left"/>
      <w:lvlText w:val="%1."/>
      <w:numFmt w:val="decimal"/>
      <w:start w:val="5"/>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3"/>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1"/>
    </w:lvl>
    <w:lvl w:ilvl="1">
      <w:lvlJc w:val="left"/>
      <w:lvlText w:val="(%2)"/>
      <w:numFmt w:val="lowerRoman"/>
      <w:start w:val="1"/>
    </w:lvl>
  </w:abstractNum>
  <w:abstractNum w:abstractNumId="52">
    <w:nsid w:val="76272110"/>
    <w:multiLevelType w:val="hybridMultilevel"/>
    <w:lvl w:ilvl="0">
      <w:lvlJc w:val="left"/>
      <w:lvlText w:val="%1"/>
      <w:numFmt w:val="lowerLetter"/>
      <w:start w:val="1"/>
    </w:lvl>
    <w:lvl w:ilvl="1">
      <w:lvlJc w:val="left"/>
      <w:lvlText w:val="(%2)"/>
      <w:numFmt w:val="lowerLetter"/>
      <w:start w:val="61"/>
    </w:lvl>
  </w:abstractNum>
  <w:abstractNum w:abstractNumId="53">
    <w:nsid w:val="4C04A8AF"/>
    <w:multiLevelType w:val="hybridMultilevel"/>
    <w:lvl w:ilvl="0">
      <w:lvlJc w:val="left"/>
      <w:lvlText w:val="(%1)"/>
      <w:numFmt w:val="lowerLetter"/>
      <w:start w:val="3"/>
    </w:lvl>
    <w:lvl w:ilvl="1">
      <w:lvlJc w:val="left"/>
      <w:lvlText w:val="%2"/>
      <w:numFmt w:val="lowerLetter"/>
      <w:start w:val="1"/>
    </w:lvl>
  </w:abstractNum>
  <w:abstractNum w:abstractNumId="54">
    <w:nsid w:val="1716703B"/>
    <w:multiLevelType w:val="hybridMultilevel"/>
    <w:lvl w:ilvl="0">
      <w:lvlJc w:val="left"/>
      <w:lvlText w:val="(%1)"/>
      <w:numFmt w:val="lowerLetter"/>
      <w:start w:val="5"/>
    </w:lvl>
  </w:abstractNum>
  <w:abstractNum w:abstractNumId="55">
    <w:nsid w:val="14E17E33"/>
    <w:multiLevelType w:val="hybridMultilevel"/>
    <w:lvl w:ilvl="0">
      <w:lvlJc w:val="left"/>
      <w:lvlText w:val="%1."/>
      <w:numFmt w:val="decimal"/>
      <w:start w:val="6"/>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3"/>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2"/>
    </w:lvl>
  </w:abstractNum>
  <w:abstractNum w:abstractNumId="60">
    <w:nsid w:val="46B7D447"/>
    <w:multiLevelType w:val="hybridMultilevel"/>
    <w:lvl w:ilvl="0">
      <w:lvlJc w:val="left"/>
      <w:lvlText w:val="%1."/>
      <w:numFmt w:val="decimal"/>
      <w:start w:val="7"/>
    </w:lvl>
  </w:abstractNum>
  <w:abstractNum w:abstractNumId="61">
    <w:nsid w:val="4A2AC315"/>
    <w:multiLevelType w:val="hybridMultilevel"/>
    <w:lvl w:ilvl="0">
      <w:lvlJc w:val="left"/>
      <w:lvlText w:val="%1)"/>
      <w:numFmt w:val="decimal"/>
      <w:start w:val="5"/>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lowerRoman"/>
      <w:start w:val="1"/>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2"/>
    </w:lvl>
  </w:abstractNum>
  <w:abstractNum w:abstractNumId="69">
    <w:nsid w:val="49DA307D"/>
    <w:multiLevelType w:val="hybridMultilevel"/>
    <w:lvl w:ilvl="0">
      <w:lvlJc w:val="left"/>
      <w:lvlText w:val="%1."/>
      <w:numFmt w:val="decimal"/>
      <w:start w:val="2"/>
    </w:lvl>
  </w:abstractNum>
  <w:abstractNum w:abstractNumId="70">
    <w:nsid w:val="7055A5F5"/>
    <w:multiLevelType w:val="hybridMultilevel"/>
    <w:lvl w:ilvl="0">
      <w:lvlJc w:val="left"/>
      <w:lvlText w:val="(%1)"/>
      <w:numFmt w:val="lowerLetter"/>
      <w:start w:val="1"/>
    </w:lvl>
    <w:lvl w:ilvl="1">
      <w:lvlJc w:val="left"/>
      <w:lvlText w:val="(%2)"/>
      <w:numFmt w:val="lowerLetter"/>
      <w:start w:val="9"/>
    </w:lvl>
  </w:abstractNum>
  <w:abstractNum w:abstractNumId="71">
    <w:nsid w:val="5FB8370B"/>
    <w:multiLevelType w:val="hybridMultilevel"/>
    <w:lvl w:ilvl="0">
      <w:lvlJc w:val="left"/>
      <w:lvlText w:val="(%1)"/>
      <w:numFmt w:val="lowerRoman"/>
      <w:start w:val="2"/>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5"/>
    </w:lvl>
  </w:abstractNum>
  <w:abstractNum w:abstractNumId="74">
    <w:nsid w:val="5FB8011C"/>
    <w:multiLevelType w:val="hybridMultilevel"/>
    <w:lvl w:ilvl="0">
      <w:lvlJc w:val="left"/>
      <w:lvlText w:val="(%1)"/>
      <w:numFmt w:val="lowerLetter"/>
      <w:start w:val="1"/>
    </w:lvl>
  </w:abstractNum>
  <w:abstractNum w:abstractNumId="75">
    <w:nsid w:val="6AA78F7F"/>
    <w:multiLevelType w:val="hybridMultilevel"/>
    <w:lvl w:ilvl="0">
      <w:lvlJc w:val="left"/>
      <w:lvlText w:val="%1."/>
      <w:numFmt w:val="decimal"/>
      <w:start w:val="3"/>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decimal"/>
      <w:start w:val="1"/>
    </w:lvl>
    <w:lvl w:ilvl="1">
      <w:lvlJc w:val="left"/>
      <w:lvlText w:val="(%2)"/>
      <w:numFmt w:val="lowerLetter"/>
      <w:start w:val="2"/>
    </w:lvl>
  </w:abstractNum>
  <w:abstractNum w:abstractNumId="79">
    <w:nsid w:val="7D5E18F8"/>
    <w:multiLevelType w:val="hybridMultilevel"/>
    <w:lvl w:ilvl="0">
      <w:lvlJc w:val="left"/>
      <w:lvlText w:val="%1."/>
      <w:numFmt w:val="decimal"/>
      <w:start w:val="4"/>
    </w:lvl>
    <w:lvl w:ilvl="1">
      <w:lvlJc w:val="left"/>
      <w:lvlText w:val="%2"/>
      <w:numFmt w:val="lowerLetter"/>
      <w:start w:val="1"/>
    </w:lvl>
  </w:abstractNum>
  <w:abstractNum w:abstractNumId="80">
    <w:nsid w:val="5F3534A4"/>
    <w:multiLevelType w:val="hybridMultilevel"/>
    <w:lvl w:ilvl="0">
      <w:lvlJc w:val="left"/>
      <w:lvlText w:val="%1."/>
      <w:numFmt w:val="decimal"/>
      <w:start w:val="5"/>
    </w:lvl>
  </w:abstractNum>
  <w:abstractNum w:abstractNumId="81">
    <w:nsid w:val="73A1821B"/>
    <w:multiLevelType w:val="hybridMultilevel"/>
    <w:lvl w:ilvl="0">
      <w:lvlJc w:val="left"/>
      <w:lvlText w:val="%1."/>
      <w:numFmt w:val="decimal"/>
      <w:start w:val="6"/>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lowerLetter"/>
      <w:start w:val="3"/>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decimal"/>
      <w:start w:val="7"/>
    </w:lvl>
  </w:abstractNum>
  <w:abstractNum w:abstractNumId="88">
    <w:nsid w:val="9DAF632"/>
    <w:multiLevelType w:val="hybridMultilevel"/>
    <w:lvl w:ilvl="0">
      <w:lvlJc w:val="left"/>
      <w:lvlText w:val="(%1)"/>
      <w:numFmt w:val="lowerRoman"/>
      <w:start w:val="3"/>
    </w:lvl>
  </w:abstractNum>
  <w:abstractNum w:abstractNumId="89">
    <w:nsid w:val="53299938"/>
    <w:multiLevelType w:val="hybridMultilevel"/>
    <w:lvl w:ilvl="0">
      <w:lvlJc w:val="left"/>
      <w:lvlText w:val="%1."/>
      <w:numFmt w:val="decimal"/>
      <w:start w:val="8"/>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2"/>
    </w:lvl>
  </w:abstractNum>
  <w:abstractNum w:abstractNumId="92">
    <w:nsid w:val="1D545C4D"/>
    <w:multiLevelType w:val="hybridMultilevel"/>
    <w:lvl w:ilvl="0">
      <w:lvlJc w:val="left"/>
      <w:lvlText w:val="%1."/>
      <w:numFmt w:val="decimal"/>
      <w:start w:val="9"/>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2"/>
    </w:lvl>
  </w:abstractNum>
  <w:abstractNum w:abstractNumId="95">
    <w:nsid w:val="2A155DBC"/>
    <w:multiLevelType w:val="hybridMultilevel"/>
    <w:lvl w:ilvl="0">
      <w:lvlJc w:val="left"/>
      <w:lvlText w:val="%1."/>
      <w:numFmt w:val="decimal"/>
      <w:start w:val="10"/>
    </w:lvl>
  </w:abstractNum>
  <w:abstractNum w:abstractNumId="96">
    <w:nsid w:val="1D9F6E5F"/>
    <w:multiLevelType w:val="hybridMultilevel"/>
    <w:lvl w:ilvl="0">
      <w:lvlJc w:val="left"/>
      <w:lvlText w:val="%1."/>
      <w:numFmt w:val="decimal"/>
      <w:start w:val="11"/>
    </w:lvl>
  </w:abstractNum>
  <w:abstractNum w:abstractNumId="97">
    <w:nsid w:val="97E1B4E"/>
    <w:multiLevelType w:val="hybridMultilevel"/>
    <w:lvl w:ilvl="0">
      <w:lvlJc w:val="left"/>
      <w:lvlText w:val="%1."/>
      <w:numFmt w:val="decimal"/>
      <w:start w:val="12"/>
    </w:lvl>
  </w:abstractNum>
  <w:abstractNum w:abstractNumId="98">
    <w:nsid w:val="51088277"/>
    <w:multiLevelType w:val="hybridMultilevel"/>
    <w:lvl w:ilvl="0">
      <w:lvlJc w:val="left"/>
      <w:lvlText w:val="(%1)"/>
      <w:numFmt w:val="lowerRoman"/>
      <w:start w:val="5"/>
    </w:lvl>
  </w:abstractNum>
  <w:abstractNum w:abstractNumId="99">
    <w:nsid w:val="1CA0C5FA"/>
    <w:multiLevelType w:val="hybridMultilevel"/>
    <w:lvl w:ilvl="0">
      <w:lvlJc w:val="left"/>
      <w:lvlText w:val="(%1)"/>
      <w:numFmt w:val="lowerLetter"/>
      <w:start w:val="1"/>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1"/>
    </w:lvl>
  </w:abstractNum>
  <w:abstractNum w:abstractNumId="102">
    <w:nsid w:val="7C58FD05"/>
    <w:multiLevelType w:val="hybridMultilevel"/>
    <w:lvl w:ilvl="0">
      <w:lvlJc w:val="left"/>
      <w:lvlText w:val="%1."/>
      <w:numFmt w:val="decimal"/>
      <w:start w:val="2"/>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upperLetter"/>
      <w:start w:val="1"/>
    </w:lvl>
  </w:abstractNum>
  <w:abstractNum w:abstractNumId="105">
    <w:nsid w:val="5C10FE21"/>
    <w:multiLevelType w:val="hybridMultilevel"/>
    <w:lvl w:ilvl="0">
      <w:lvlJc w:val="left"/>
      <w:lvlText w:val="%1."/>
      <w:numFmt w:val="decimal"/>
      <w:start w:val="1"/>
    </w:lvl>
  </w:abstractNum>
  <w:abstractNum w:abstractNumId="106">
    <w:nsid w:val="E7FFA2B"/>
    <w:multiLevelType w:val="hybridMultilevel"/>
    <w:lvl w:ilvl="0">
      <w:lvlJc w:val="left"/>
      <w:lvlText w:val="%1."/>
      <w:numFmt w:val="decimal"/>
      <w:start w:val="4"/>
    </w:lvl>
  </w:abstractNum>
  <w:abstractNum w:abstractNumId="107">
    <w:nsid w:val="3C5991AA"/>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1"/>
    </w:lvl>
  </w:abstractNum>
  <w:abstractNum w:abstractNumId="108">
    <w:nsid w:val="4BD8591A"/>
    <w:multiLevelType w:val="hybridMultilevel"/>
    <w:lvl w:ilvl="0">
      <w:lvlJc w:val="left"/>
      <w:lvlText w:val="%1"/>
      <w:numFmt w:val="decimal"/>
      <w:start w:val="1"/>
    </w:lvl>
    <w:lvl w:ilvl="1">
      <w:lvlJc w:val="left"/>
      <w:lvlText w:val="(%2)"/>
      <w:numFmt w:val="lowerRoman"/>
      <w:start w:val="3"/>
    </w:lvl>
  </w:abstractNum>
  <w:abstractNum w:abstractNumId="109">
    <w:nsid w:val="78DF6A55"/>
    <w:multiLevelType w:val="hybridMultilevel"/>
    <w:lvl w:ilvl="0">
      <w:lvlJc w:val="left"/>
      <w:lvlText w:val="%1."/>
      <w:numFmt w:val="decimal"/>
      <w:start w:val="6"/>
    </w:lvl>
    <w:lvl w:ilvl="1">
      <w:lvlJc w:val="left"/>
      <w:lvlText w:val="%2"/>
      <w:numFmt w:val="lowerRoman"/>
      <w:start w:val="1"/>
    </w:lvl>
  </w:abstractNum>
  <w:abstractNum w:abstractNumId="110">
    <w:nsid w:val="39B7AAA2"/>
    <w:multiLevelType w:val="hybridMultilevel"/>
    <w:lvl w:ilvl="0">
      <w:lvlJc w:val="left"/>
      <w:lvlText w:val="%1."/>
      <w:numFmt w:val="decimal"/>
      <w:start w:val="7"/>
    </w:lvl>
  </w:abstractNum>
  <w:abstractNum w:abstractNumId="111">
    <w:nsid w:val="2B0D8DBE"/>
    <w:multiLevelType w:val="hybridMultilevel"/>
    <w:lvl w:ilvl="0">
      <w:lvlJc w:val="left"/>
      <w:lvlText w:val="%1."/>
      <w:numFmt w:val="decimal"/>
      <w:start w:val="8"/>
    </w:lvl>
  </w:abstractNum>
  <w:abstractNum w:abstractNumId="112">
    <w:nsid w:val="6C80EC70"/>
    <w:multiLevelType w:val="hybridMultilevel"/>
    <w:lvl w:ilvl="0">
      <w:lvlJc w:val="left"/>
      <w:lvlText w:val="%1."/>
      <w:numFmt w:val="decimal"/>
      <w:start w:val="9"/>
    </w:lvl>
  </w:abstractNum>
  <w:abstractNum w:abstractNumId="113">
    <w:nsid w:val="379E21B5"/>
    <w:multiLevelType w:val="hybridMultilevel"/>
    <w:lvl w:ilvl="0">
      <w:lvlJc w:val="left"/>
      <w:lvlText w:val="%1."/>
      <w:numFmt w:val="decimal"/>
      <w:start w:val="8"/>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5"/>
    </w:lvl>
  </w:abstractNum>
  <w:abstractNum w:abstractNumId="117">
    <w:nsid w:val="6AA7B75C"/>
    <w:multiLevelType w:val="hybridMultilevel"/>
    <w:lvl w:ilvl="0">
      <w:lvlJc w:val="left"/>
      <w:lvlText w:val="%1."/>
      <w:numFmt w:val="decimal"/>
      <w:start w:val="1"/>
    </w:lvl>
  </w:abstractNum>
  <w:abstractNum w:abstractNumId="118">
    <w:nsid w:val="1DF029D3"/>
    <w:multiLevelType w:val="hybridMultilevel"/>
    <w:lvl w:ilvl="0">
      <w:lvlJc w:val="left"/>
      <w:lvlText w:val="%1."/>
      <w:numFmt w:val="decimal"/>
      <w:start w:val="5"/>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2019-12-29T10:54:55Z</dcterms:created>
  <dcterms:modified xsi:type="dcterms:W3CDTF">2019-12-29T10:54:55Z</dcterms:modified>
</cp:coreProperties>
</file>