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1O-Q</w:t>
      </w:r>
    </w:p>
    <w:p>
      <w:pPr>
        <w:spacing w:after="0" w:line="225" w:lineRule="exact"/>
        <w:rPr>
          <w:sz w:val="24"/>
          <w:szCs w:val="24"/>
          <w:color w:val="auto"/>
        </w:rPr>
      </w:pPr>
    </w:p>
    <w:p>
      <w:pPr>
        <w:ind w:left="3760" w:right="1740" w:hanging="3752"/>
        <w:spacing w:after="0" w:line="534" w:lineRule="auto"/>
        <w:tabs>
          <w:tab w:leader="none" w:pos="48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 (d) OF THE SECURITIES EXCHANGE ACT OF 1934 For the quarterly period ended December 31, 2013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2660" w:right="2660" w:hanging="2652"/>
        <w:spacing w:after="0" w:line="566" w:lineRule="auto"/>
        <w:tabs>
          <w:tab w:leader="none" w:pos="493"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TRANSITION REPORT PURSUANT TO SECTION 13 OR 15 (d) OF THE EXCHANGE ACT OF 1934 </w:t>
      </w:r>
      <w:r>
        <w:rPr>
          <w:rFonts w:ascii="Arial" w:cs="Arial" w:eastAsia="Arial" w:hAnsi="Arial"/>
          <w:sz w:val="17"/>
          <w:szCs w:val="17"/>
          <w:color w:val="auto"/>
        </w:rPr>
        <w:t>For the transition period from ____________________ to _____________________</w:t>
      </w:r>
    </w:p>
    <w:p>
      <w:pPr>
        <w:jc w:val="center"/>
        <w:ind w:right="-19"/>
        <w:spacing w:after="0"/>
        <w:rPr>
          <w:sz w:val="20"/>
          <w:szCs w:val="20"/>
          <w:color w:val="auto"/>
        </w:rPr>
      </w:pPr>
      <w:r>
        <w:rPr>
          <w:rFonts w:ascii="Arial" w:cs="Arial" w:eastAsia="Arial" w:hAnsi="Arial"/>
          <w:sz w:val="18"/>
          <w:szCs w:val="18"/>
          <w:color w:val="auto"/>
        </w:rPr>
        <w:t>Commission file number 001-33365</w:t>
      </w:r>
    </w:p>
    <w:p>
      <w:pPr>
        <w:spacing w:after="0" w:line="221" w:lineRule="exact"/>
        <w:rPr>
          <w:sz w:val="24"/>
          <w:szCs w:val="24"/>
          <w:color w:val="auto"/>
        </w:rPr>
      </w:pPr>
    </w:p>
    <w:tbl>
      <w:tblPr>
        <w:tblLayout w:type="fixed"/>
        <w:tblInd w:w="38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60" w:type="dxa"/>
            <w:vAlign w:val="bottom"/>
            <w:vMerge w:val="restart"/>
          </w:tcPr>
          <w:p>
            <w:pPr>
              <w:ind w:left="580"/>
              <w:spacing w:after="0"/>
              <w:rPr>
                <w:sz w:val="20"/>
                <w:szCs w:val="20"/>
                <w:color w:val="auto"/>
              </w:rPr>
            </w:pPr>
            <w:r>
              <w:rPr>
                <w:rFonts w:ascii="Arial" w:cs="Arial" w:eastAsia="Arial" w:hAnsi="Arial"/>
                <w:sz w:val="18"/>
                <w:szCs w:val="18"/>
                <w:color w:val="auto"/>
                <w:w w:val="85"/>
              </w:rPr>
              <w:t>(Exact name</w:t>
            </w: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7"/>
              </w:rPr>
              <w:t>USA Technologies, Inc.</w:t>
            </w:r>
          </w:p>
        </w:tc>
        <w:tc>
          <w:tcPr>
            <w:tcW w:w="308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5260" w:type="dxa"/>
            <w:vAlign w:val="bottom"/>
            <w:gridSpan w:val="8"/>
          </w:tcPr>
          <w:p>
            <w:pPr>
              <w:ind w:left="60"/>
              <w:spacing w:after="0"/>
              <w:rPr>
                <w:sz w:val="20"/>
                <w:szCs w:val="20"/>
                <w:color w:val="auto"/>
              </w:rPr>
            </w:pPr>
            <w:r>
              <w:rPr>
                <w:rFonts w:ascii="Arial" w:cs="Arial" w:eastAsia="Arial" w:hAnsi="Arial"/>
                <w:sz w:val="18"/>
                <w:szCs w:val="18"/>
                <w:color w:val="auto"/>
              </w:rPr>
              <w:t>of registrant as specified in its charter)</w:t>
            </w:r>
          </w:p>
        </w:tc>
        <w:tc>
          <w:tcPr>
            <w:tcW w:w="0" w:type="dxa"/>
            <w:vAlign w:val="bottom"/>
          </w:tcPr>
          <w:p>
            <w:pPr>
              <w:spacing w:after="0"/>
              <w:rPr>
                <w:sz w:val="1"/>
                <w:szCs w:val="1"/>
                <w:color w:val="auto"/>
              </w:rPr>
            </w:pPr>
          </w:p>
        </w:tc>
      </w:tr>
      <w:tr>
        <w:trPr>
          <w:trHeight w:val="418"/>
        </w:trPr>
        <w:tc>
          <w:tcPr>
            <w:tcW w:w="1660" w:type="dxa"/>
            <w:vAlign w:val="bottom"/>
          </w:tcPr>
          <w:p>
            <w:pPr>
              <w:spacing w:after="0"/>
              <w:rPr>
                <w:sz w:val="24"/>
                <w:szCs w:val="24"/>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Pennsylvania</w:t>
            </w:r>
          </w:p>
        </w:tc>
        <w:tc>
          <w:tcPr>
            <w:tcW w:w="1640" w:type="dxa"/>
            <w:vAlign w:val="bottom"/>
            <w:gridSpan w:val="2"/>
          </w:tcPr>
          <w:p>
            <w:pPr>
              <w:spacing w:after="0"/>
              <w:rPr>
                <w:sz w:val="24"/>
                <w:szCs w:val="24"/>
                <w:color w:val="auto"/>
              </w:rPr>
            </w:pPr>
          </w:p>
        </w:tc>
        <w:tc>
          <w:tcPr>
            <w:tcW w:w="3200" w:type="dxa"/>
            <w:vAlign w:val="bottom"/>
            <w:gridSpan w:val="3"/>
          </w:tcPr>
          <w:p>
            <w:pPr>
              <w:spacing w:after="0"/>
              <w:rPr>
                <w:sz w:val="24"/>
                <w:szCs w:val="24"/>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23-2679963</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540" w:type="dxa"/>
            <w:vAlign w:val="bottom"/>
            <w:gridSpan w:val="4"/>
          </w:tcPr>
          <w:p>
            <w:pPr>
              <w:jc w:val="center"/>
              <w:ind w:left="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80" w:type="dxa"/>
            <w:vAlign w:val="bottom"/>
            <w:gridSpan w:val="5"/>
          </w:tcPr>
          <w:p>
            <w:pPr>
              <w:ind w:left="46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418"/>
        </w:trPr>
        <w:tc>
          <w:tcPr>
            <w:tcW w:w="4540" w:type="dxa"/>
            <w:vAlign w:val="bottom"/>
            <w:tcBorders>
              <w:bottom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1"/>
              </w:rPr>
              <w:t>100 Deerfield Lane, Suite 140, Malvern, Pennsylvania</w:t>
            </w:r>
          </w:p>
        </w:tc>
        <w:tc>
          <w:tcPr>
            <w:tcW w:w="160" w:type="dxa"/>
            <w:vAlign w:val="bottom"/>
            <w:tcBorders>
              <w:bottom w:val="single" w:sz="8" w:color="auto"/>
            </w:tcBorders>
          </w:tcPr>
          <w:p>
            <w:pPr>
              <w:spacing w:after="0"/>
              <w:rPr>
                <w:sz w:val="24"/>
                <w:szCs w:val="24"/>
                <w:color w:val="auto"/>
              </w:rPr>
            </w:pPr>
          </w:p>
        </w:tc>
        <w:tc>
          <w:tcPr>
            <w:tcW w:w="3400" w:type="dxa"/>
            <w:vAlign w:val="bottom"/>
            <w:gridSpan w:val="3"/>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19355</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540" w:type="dxa"/>
            <w:vAlign w:val="bottom"/>
            <w:gridSpan w:val="4"/>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w w:val="82"/>
              </w:rPr>
              <w:t>(Zip Code)</w:t>
            </w:r>
          </w:p>
        </w:tc>
        <w:tc>
          <w:tcPr>
            <w:tcW w:w="1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(610) 989-0340</w:t>
      </w:r>
    </w:p>
    <w:p>
      <w:pPr>
        <w:spacing w:after="0" w:line="23"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-130810</wp:posOffset>
            </wp:positionV>
            <wp:extent cx="875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3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10" w:right="239" w:bottom="1440" w:gutter="0" w:footer="0" w:header="0"/>
        </w:sectPr>
      </w:pPr>
    </w:p>
    <w:p>
      <w:pPr>
        <w:spacing w:after="0" w:line="14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430" w:lineRule="exact"/>
        <w:rPr>
          <w:sz w:val="24"/>
          <w:szCs w:val="24"/>
          <w:color w:val="auto"/>
        </w:rPr>
      </w:pPr>
    </w:p>
    <w:p>
      <w:pPr>
        <w:sectPr>
          <w:pgSz w:w="11900" w:h="16838" w:orient="portrait"/>
          <w:cols w:equalWidth="0" w:num="3">
            <w:col w:w="3940" w:space="720"/>
            <w:col w:w="2600" w:space="720"/>
            <w:col w:w="3440"/>
          </w:cols>
          <w:pgMar w:left="240" w:top="310" w:right="23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 No x</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3, 2014, there were 35,548,662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USA TECHNOLOGIES,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TABLE OF CONTENTS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Part I - Financial Information</w:t>
            </w: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862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Consolidated Financial Statements (Unaudited)</w:t>
            </w: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20" w:type="dxa"/>
            <w:vAlign w:val="bottom"/>
            <w:gridSpan w:val="1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December 31, 2013 and June 30, 2013</w:t>
              </w:r>
            </w:hyperlink>
          </w:p>
        </w:tc>
        <w:tc>
          <w:tcPr>
            <w:tcW w:w="1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20" w:type="dxa"/>
            <w:vAlign w:val="bottom"/>
            <w:gridSpan w:val="1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 Three and Six months ended December 31, 2013 and 2012</w:t>
              </w:r>
            </w:hyperlink>
          </w:p>
        </w:tc>
        <w:tc>
          <w:tcPr>
            <w:tcW w:w="1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20" w:type="dxa"/>
            <w:vAlign w:val="bottom"/>
            <w:gridSpan w:val="1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Shareholders’ Equity – Six months ended December 31, 2013</w:t>
              </w:r>
            </w:hyperlink>
          </w:p>
        </w:tc>
        <w:tc>
          <w:tcPr>
            <w:tcW w:w="1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20" w:type="dxa"/>
            <w:vAlign w:val="bottom"/>
            <w:gridSpan w:val="1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Three and Six months ended December 31, 2013 and 2012</w:t>
              </w:r>
            </w:hyperlink>
          </w:p>
        </w:tc>
        <w:tc>
          <w:tcPr>
            <w:tcW w:w="1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20" w:type="dxa"/>
            <w:vAlign w:val="bottom"/>
            <w:gridSpan w:val="1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1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gridSpan w:val="2"/>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2.</w:t>
              </w:r>
            </w:hyperlink>
          </w:p>
        </w:tc>
        <w:tc>
          <w:tcPr>
            <w:tcW w:w="8620" w:type="dxa"/>
            <w:vAlign w:val="bottom"/>
            <w:gridSpan w:val="12"/>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gridSpan w:val="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8620" w:type="dxa"/>
            <w:vAlign w:val="bottom"/>
            <w:gridSpan w:val="1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1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Item 4.</w:t>
              </w:r>
            </w:hyperlink>
          </w:p>
        </w:tc>
        <w:tc>
          <w:tcPr>
            <w:tcW w:w="740" w:type="dxa"/>
            <w:vAlign w:val="bottom"/>
            <w:shd w:val="clear" w:color="auto" w:fill="CCEEFF"/>
          </w:tcPr>
          <w:p>
            <w:pPr>
              <w:spacing w:after="0"/>
              <w:rPr>
                <w:sz w:val="17"/>
                <w:szCs w:val="17"/>
                <w:color w:val="auto"/>
              </w:rPr>
            </w:pPr>
          </w:p>
        </w:tc>
        <w:tc>
          <w:tcPr>
            <w:tcW w:w="8620" w:type="dxa"/>
            <w:vAlign w:val="bottom"/>
            <w:gridSpan w:val="1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1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60" w:type="dxa"/>
            <w:vAlign w:val="bottom"/>
            <w:gridSpan w:val="1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Part II - Other Information</w:t>
              </w:r>
            </w:hyperlink>
          </w:p>
        </w:tc>
        <w:tc>
          <w:tcPr>
            <w:tcW w:w="15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gridSpan w:val="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6.</w:t>
              </w:r>
            </w:hyperlink>
          </w:p>
        </w:tc>
        <w:tc>
          <w:tcPr>
            <w:tcW w:w="8620" w:type="dxa"/>
            <w:vAlign w:val="bottom"/>
            <w:gridSpan w:val="1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1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w:anchor="page24">
              <w:r>
                <w:rPr>
                  <w:rFonts w:ascii="Arial" w:cs="Arial" w:eastAsia="Arial" w:hAnsi="Arial"/>
                  <w:sz w:val="18"/>
                  <w:szCs w:val="18"/>
                  <w:color w:val="0000EE"/>
                  <w:w w:val="85"/>
                </w:rPr>
                <w:t>Signatures</w:t>
              </w:r>
            </w:hyperlink>
          </w:p>
        </w:tc>
        <w:tc>
          <w:tcPr>
            <w:tcW w:w="7860" w:type="dxa"/>
            <w:vAlign w:val="bottom"/>
            <w:tcBorders>
              <w:bottom w:val="single" w:sz="8" w:color="CCEEFF"/>
            </w:tcBorders>
            <w:gridSpan w:val="9"/>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500" w:type="dxa"/>
            <w:vAlign w:val="bottom"/>
            <w:tcBorders>
              <w:bottom w:val="single" w:sz="8" w:color="DCDCDC"/>
            </w:tcBorders>
          </w:tcPr>
          <w:p>
            <w:pPr>
              <w:spacing w:after="0"/>
              <w:rPr>
                <w:sz w:val="24"/>
                <w:szCs w:val="24"/>
                <w:color w:val="auto"/>
              </w:rPr>
            </w:pPr>
          </w:p>
        </w:tc>
        <w:tc>
          <w:tcPr>
            <w:tcW w:w="740" w:type="dxa"/>
            <w:vAlign w:val="bottom"/>
            <w:tcBorders>
              <w:bottom w:val="single" w:sz="8" w:color="DCDCDC"/>
            </w:tcBorders>
          </w:tcPr>
          <w:p>
            <w:pPr>
              <w:spacing w:after="0"/>
              <w:rPr>
                <w:sz w:val="24"/>
                <w:szCs w:val="24"/>
                <w:color w:val="auto"/>
              </w:rPr>
            </w:pPr>
          </w:p>
        </w:tc>
        <w:tc>
          <w:tcPr>
            <w:tcW w:w="5020" w:type="dxa"/>
            <w:vAlign w:val="bottom"/>
            <w:tcBorders>
              <w:bottom w:val="single" w:sz="8" w:color="DCDCDC"/>
            </w:tcBorders>
            <w:gridSpan w:val="7"/>
          </w:tcPr>
          <w:p>
            <w:pPr>
              <w:ind w:left="4400"/>
              <w:spacing w:after="0"/>
              <w:rPr>
                <w:sz w:val="20"/>
                <w:szCs w:val="20"/>
                <w:color w:val="auto"/>
              </w:rPr>
            </w:pPr>
            <w:r>
              <w:rPr>
                <w:rFonts w:ascii="Arial" w:cs="Arial" w:eastAsia="Arial" w:hAnsi="Arial"/>
                <w:sz w:val="18"/>
                <w:szCs w:val="18"/>
                <w:color w:val="auto"/>
              </w:rPr>
              <w:t>2</w:t>
            </w:r>
          </w:p>
        </w:tc>
        <w:tc>
          <w:tcPr>
            <w:tcW w:w="138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78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1360" w:type="dxa"/>
            <w:vAlign w:val="bottom"/>
            <w:tcBorders>
              <w:bottom w:val="single" w:sz="8" w:color="DCDCDC"/>
            </w:tcBorders>
          </w:tcPr>
          <w:p>
            <w:pPr>
              <w:spacing w:after="0"/>
              <w:rPr>
                <w:sz w:val="24"/>
                <w:szCs w:val="24"/>
                <w:color w:val="auto"/>
              </w:rPr>
            </w:pPr>
          </w:p>
        </w:tc>
        <w:tc>
          <w:tcPr>
            <w:tcW w:w="1540" w:type="dxa"/>
            <w:vAlign w:val="bottom"/>
            <w:tcBorders>
              <w:bottom w:val="single" w:sz="8" w:color="DCDCD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USA Technologies,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6,654,999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Accounts receivable, less allowance for uncollectible accounts of $81,000 and $18,000, respectively</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2,042,401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2,620,684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receivables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112,902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1,712,812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1,823,615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402,705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10,925,819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10,726,079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Finance receivables, less current portion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346,811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408,674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19,311,498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17,240,065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Intangibles, net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432,100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7,663,208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7,663,208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80,489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38,759,925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36,576,196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5,985,380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1,087,263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1,468,184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Line of credit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20"/>
              <w:spacing w:after="0"/>
              <w:rPr>
                <w:sz w:val="20"/>
                <w:szCs w:val="20"/>
                <w:color w:val="auto"/>
              </w:rPr>
            </w:pPr>
            <w:r>
              <w:rPr>
                <w:rFonts w:ascii="Arial" w:cs="Arial" w:eastAsia="Arial" w:hAnsi="Arial"/>
                <w:sz w:val="18"/>
                <w:szCs w:val="18"/>
                <w:color w:val="auto"/>
              </w:rPr>
              <w:t>Current obligations under long-term debt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252,614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247,152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11,325,257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12,016,583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2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63,501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less current portion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262,190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2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54,068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469,437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849,196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1,180,422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12,174,453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13,197,005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Preferred stock, no par value: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Authorized shares- 1,800,000 Series A convertible preferred- Authorized shares- 900,000 Issued and outstanding</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shares- 442,968 (liquidation preference of $16,358,230 and $16,026,004, respectively)</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3,138,056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3,138,056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line="201" w:lineRule="exact"/>
              <w:rPr>
                <w:sz w:val="20"/>
                <w:szCs w:val="20"/>
                <w:color w:val="auto"/>
              </w:rPr>
            </w:pPr>
            <w:r>
              <w:rPr>
                <w:rFonts w:ascii="Arial" w:cs="Arial" w:eastAsia="Arial" w:hAnsi="Arial"/>
                <w:sz w:val="18"/>
                <w:szCs w:val="18"/>
                <w:color w:val="auto"/>
                <w:w w:val="95"/>
              </w:rPr>
              <w:t>Common stock, no par value: Authorized shares- 640,000,000 Issued and outstanding shares- 35,478,596 and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33,284,232, respectively</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223,886,809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221,383,373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(200,439,393)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(201,142,238)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26,585,472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23,379,191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38,759,925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36,576,196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80" w:type="dxa"/>
            <w:vAlign w:val="bottom"/>
            <w:gridSpan w:val="2"/>
          </w:tcPr>
          <w:p>
            <w:pPr>
              <w:spacing w:after="0"/>
              <w:rPr>
                <w:sz w:val="20"/>
                <w:szCs w:val="20"/>
                <w:color w:val="auto"/>
              </w:rPr>
            </w:pPr>
            <w:r>
              <w:rPr>
                <w:rFonts w:ascii="Arial" w:cs="Arial" w:eastAsia="Arial" w:hAnsi="Arial"/>
                <w:sz w:val="18"/>
                <w:szCs w:val="18"/>
                <w:i w:val="1"/>
                <w:iCs w:val="1"/>
                <w:color w:val="auto"/>
              </w:rPr>
              <w:t>See accompanying notes.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8460" w:type="dxa"/>
            <w:vAlign w:val="bottom"/>
            <w:tcBorders>
              <w:bottom w:val="single" w:sz="8" w:color="DCDCDC"/>
            </w:tcBorders>
          </w:tcPr>
          <w:p>
            <w:pPr>
              <w:ind w:left="5640"/>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7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7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80"/>
              <w:spacing w:after="0"/>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20"/>
                <w:szCs w:val="20"/>
                <w:color w:val="auto"/>
              </w:rPr>
            </w:pPr>
          </w:p>
        </w:tc>
        <w:tc>
          <w:tcPr>
            <w:tcW w:w="2380" w:type="dxa"/>
            <w:vAlign w:val="bottom"/>
            <w:gridSpan w:val="6"/>
          </w:tcPr>
          <w:p>
            <w:pPr>
              <w:jc w:val="right"/>
              <w:ind w:right="8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20"/>
              <w:spacing w:after="0"/>
              <w:rPr>
                <w:sz w:val="20"/>
                <w:szCs w:val="20"/>
                <w:color w:val="auto"/>
              </w:rPr>
            </w:pPr>
            <w:r>
              <w:rPr>
                <w:rFonts w:ascii="Arial" w:cs="Arial" w:eastAsia="Arial" w:hAnsi="Arial"/>
                <w:sz w:val="18"/>
                <w:szCs w:val="18"/>
                <w:color w:val="auto"/>
              </w:rPr>
              <w:t>License and transaction fees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8,671,085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7,403,241</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17,178,129</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14,309,598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sales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1,899,429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1,481,080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3,515,443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2,965,001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Total revenues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10,570,514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8,884,321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20,693,572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17,274,599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5,495,385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4,363,212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10,904,848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8,555,572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equipment</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1,244,996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920,928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2,375,820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1,974,564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Gross profit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3,830,133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3,600,181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7,412,904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6,744,463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3,193,568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2,699,675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6,488,912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126,875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332,856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285,384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676,245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3,320,443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3,032,531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6,774,296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6,591,045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income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509,690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567,650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638,608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153,418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21,661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(60,405)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(25,016)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(121,381)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(48,023)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warrant liabilities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(403,635)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181,201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(93,587)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(406,990)</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78,060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53,302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416,103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160,660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716,668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206,720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409,191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153,758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702,845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192,897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Cumulative preferred dividends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(332,226)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 (loss) applicable to common shares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409,191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153,758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370,619</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(139,329)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basic</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34,136,884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32,734,394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33,730,590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32,626,312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earnings (loss) per common share - diluted</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common shares outstanding</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34,222,731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33,468,336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33,816,437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32,626,312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40" w:type="dxa"/>
            <w:vAlign w:val="bottom"/>
            <w:gridSpan w:val="3"/>
          </w:tcPr>
          <w:p>
            <w:pPr>
              <w:jc w:val="center"/>
              <w:ind w:left="810"/>
              <w:spacing w:after="0"/>
              <w:rPr>
                <w:sz w:val="20"/>
                <w:szCs w:val="20"/>
                <w:color w:val="auto"/>
              </w:rPr>
            </w:pPr>
            <w:r>
              <w:rPr>
                <w:rFonts w:ascii="Arial" w:cs="Arial" w:eastAsia="Arial" w:hAnsi="Arial"/>
                <w:sz w:val="18"/>
                <w:szCs w:val="18"/>
                <w:color w:val="auto"/>
                <w:w w:val="91"/>
              </w:rPr>
              <w:t>Series A</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80" w:type="dxa"/>
            <w:vAlign w:val="bottom"/>
            <w:gridSpan w:val="5"/>
          </w:tcPr>
          <w:p>
            <w:pPr>
              <w:jc w:val="center"/>
              <w:ind w:right="240"/>
              <w:spacing w:after="0"/>
              <w:rPr>
                <w:sz w:val="20"/>
                <w:szCs w:val="20"/>
                <w:color w:val="auto"/>
              </w:rPr>
            </w:pPr>
            <w:r>
              <w:rPr>
                <w:rFonts w:ascii="Arial" w:cs="Arial" w:eastAsia="Arial" w:hAnsi="Arial"/>
                <w:sz w:val="18"/>
                <w:szCs w:val="18"/>
                <w:color w:val="auto"/>
                <w:w w:val="94"/>
              </w:rPr>
              <w:t>Convertible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Preferred Stock</w:t>
            </w:r>
          </w:p>
        </w:tc>
        <w:tc>
          <w:tcPr>
            <w:tcW w:w="2700" w:type="dxa"/>
            <w:vAlign w:val="bottom"/>
            <w:gridSpan w:val="6"/>
          </w:tcPr>
          <w:p>
            <w:pPr>
              <w:jc w:val="right"/>
              <w:ind w:right="880"/>
              <w:spacing w:after="0"/>
              <w:rPr>
                <w:sz w:val="20"/>
                <w:szCs w:val="20"/>
                <w:color w:val="auto"/>
              </w:rPr>
            </w:pPr>
            <w:r>
              <w:rPr>
                <w:rFonts w:ascii="Arial" w:cs="Arial" w:eastAsia="Arial" w:hAnsi="Arial"/>
                <w:sz w:val="18"/>
                <w:szCs w:val="18"/>
                <w:color w:val="auto"/>
              </w:rPr>
              <w:t>Common Stock</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Shares</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Deficit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442,968</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3,138,056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33,284,232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221,383,373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(201,142,238)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23,379,191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2,090,226 warrants at $1.13</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resulting in issuance of common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2,090,226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2,361,955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2,361,955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to employees and directors and</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vesting of shares under the 2010 Stock</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Incentive Plan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1,504</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to employees and directors and</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 shares under the 2011 Stock</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Incentive Plan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51,667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13,740</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to employees and directors and</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vesting of shares under the 2012 Stock</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Incentive Plan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81,029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173,612</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173,612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Retirement of common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(47,375)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702,845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702,845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 December 31, 2013</w:t>
            </w:r>
          </w:p>
        </w:tc>
        <w:tc>
          <w:tcPr>
            <w:tcW w:w="1160" w:type="dxa"/>
            <w:vAlign w:val="bottom"/>
          </w:tcPr>
          <w:p>
            <w:pPr>
              <w:jc w:val="right"/>
              <w:spacing w:after="0"/>
              <w:rPr>
                <w:sz w:val="20"/>
                <w:szCs w:val="20"/>
                <w:color w:val="auto"/>
              </w:rPr>
            </w:pPr>
            <w:r>
              <w:rPr>
                <w:rFonts w:ascii="Arial" w:cs="Arial" w:eastAsia="Arial" w:hAnsi="Arial"/>
                <w:sz w:val="18"/>
                <w:szCs w:val="18"/>
                <w:color w:val="auto"/>
              </w:rPr>
              <w:t>442,968</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3,138,056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35,478,596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223,886,809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(200,439,393)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26,585,472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7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7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80"/>
              <w:spacing w:after="0"/>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20"/>
                <w:szCs w:val="20"/>
                <w:color w:val="auto"/>
              </w:rPr>
            </w:pPr>
          </w:p>
        </w:tc>
        <w:tc>
          <w:tcPr>
            <w:tcW w:w="2380" w:type="dxa"/>
            <w:vAlign w:val="bottom"/>
            <w:gridSpan w:val="6"/>
          </w:tcPr>
          <w:p>
            <w:pPr>
              <w:jc w:val="right"/>
              <w:ind w:right="8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409,191</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153,758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702,845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192,897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w w:val="95"/>
              </w:rPr>
              <w:t>Charges incurred in connection with the vesting and issuance of common stock</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for employee and director compensation</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104,464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94,891</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188,856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220,224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property and equipment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Non-cash interest and amortization of debt discount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Bad debt expense, net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15,187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1,278,518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904,580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2,496,589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1,738,586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185,600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403,635</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(181,201)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(59,498)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deferred tax liability</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1,195,158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1,049,726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Finance receivables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104,076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(6,129)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65,405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(1,249,295)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123,920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(63,026)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(87,740)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(114,986)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426,592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(1,315,867)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(503,280)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(117,364)</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(485,516)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(1,568,810)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1,743,352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1,922,175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2,655,176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2,600,185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(48,753)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Purchase of property for rental program</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(2,493,247)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(2,466,780)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(4,568,222)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(4,542,170)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sale of property and equipment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(2,478,986)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(2,515,533)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(4,568,587)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(4,592,448)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w w:val="94"/>
              </w:rPr>
              <w:t>Net proceeds from the exercise of common stock warrants and the retirement of</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1,679,433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(87,315)</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1,765,087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(87,315)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(repayments of) line of credit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(337,779)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(138,905)</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(177,677)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(300,721)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1,578,733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(563,999)</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2,587,410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611,964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843,099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(1,157,357)</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673,999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(1,380,299)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5,811,900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6,203,703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5,981,000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6,426,645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6,654,999</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5,046,346</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6,654,999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5,046,346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i w:val="1"/>
                <w:iCs w:val="1"/>
                <w:color w:val="auto"/>
              </w:rPr>
              <w:t>Supplemental disclosures of cash flow information</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60,069</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25,519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129,804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Depreciation expense allocated to cost of sales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1,151,643</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757,323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2,233,158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1,433,541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Reclass of rental program property to inventory, net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(7,544)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13,117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Prepaid items financed with debt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101,850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128,062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software acquired under capital lease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22,036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Disposal of property and equipment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44,512</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218,716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USA Technologies, Inc. (the “Company”, “We” or “Our”), was incorporated in the Commonwealth of Pennsylvania in January 1992 and provides wireless networking, cashless transactions, asset monitoring and other value-added services principally to the small ticket unattended retail markets. Our ePort</w:t>
      </w:r>
      <w:r>
        <w:rPr>
          <w:rFonts w:ascii="Arial" w:cs="Arial" w:eastAsia="Arial" w:hAnsi="Arial"/>
          <w:sz w:val="16"/>
          <w:szCs w:val="16"/>
          <w:i w:val="1"/>
          <w:iCs w:val="1"/>
          <w:color w:val="auto"/>
        </w:rPr>
        <w:t>®</w:t>
      </w:r>
      <w:r>
        <w:rPr>
          <w:rFonts w:ascii="Arial" w:cs="Arial" w:eastAsia="Arial" w:hAnsi="Arial"/>
          <w:sz w:val="16"/>
          <w:szCs w:val="16"/>
          <w:color w:val="auto"/>
        </w:rPr>
        <w:t xml:space="preserve"> technology can be installed and/or embedded into everyday devices such as vending machines, a variety of kiosks, and amusement and arcade machines and smartphones via our ePort Mobile™ solution. Our associated service, ePort Connect</w:t>
      </w:r>
      <w:r>
        <w:rPr>
          <w:rFonts w:ascii="Arial" w:cs="Arial" w:eastAsia="Arial" w:hAnsi="Arial"/>
          <w:sz w:val="16"/>
          <w:szCs w:val="16"/>
          <w:i w:val="1"/>
          <w:iCs w:val="1"/>
          <w:color w:val="auto"/>
        </w:rPr>
        <w:t>®</w:t>
      </w:r>
      <w:r>
        <w:rPr>
          <w:rFonts w:ascii="Arial" w:cs="Arial" w:eastAsia="Arial" w:hAnsi="Arial"/>
          <w:sz w:val="16"/>
          <w:szCs w:val="16"/>
          <w:color w:val="auto"/>
        </w:rPr>
        <w:t>, is a PCI-compliant, comprehensive service that includes simplified credit/debit card processing and support, consumer engagement services, as well as telemetry and machine-to-machine (“M2M”) services, including the ability to remotely monitor, control and report on the results of distributed assets containing our electronic payment solutions. In addition, the Company provides energy management products, such as its VendingMiser</w:t>
      </w:r>
      <w:r>
        <w:rPr>
          <w:rFonts w:ascii="Arial" w:cs="Arial" w:eastAsia="Arial" w:hAnsi="Arial"/>
          <w:sz w:val="16"/>
          <w:szCs w:val="16"/>
          <w:i w:val="1"/>
          <w:iCs w:val="1"/>
          <w:color w:val="auto"/>
        </w:rPr>
        <w:t>®</w:t>
      </w:r>
      <w:r>
        <w:rPr>
          <w:rFonts w:ascii="Arial" w:cs="Arial" w:eastAsia="Arial" w:hAnsi="Arial"/>
          <w:sz w:val="16"/>
          <w:szCs w:val="16"/>
          <w:color w:val="auto"/>
        </w:rPr>
        <w:t xml:space="preserve"> and CoolerMiser™, which reduce energy consumption in vending machines and coolers.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Annual Report on Form 10-K for the year ended June 30, 2013. In the opinion of management, all adjustments considered necessary for a fair presentation, consisting of normal recurring adjustments, have been included. Operating results for the three and six-month periods ended December 31, 2013 are not necessarily indicative of the results that may be expected for the year ending June 30, 2014. The balance sheet at June 30, 2013 has been derived from the audited consolidated financial statements at that date, but does not include all of the information and footnotes required by U.S. generally accepted accounting principles for complete financial statements.</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Strategies to drive growth have resulted in net income of $409,191 and $702,845 for the three and six-month periods ended December 31, 2013, respectively. The Company had net income of $854,123 for the year ended June 30, 2013. Net income includes adjustments for changes to the fair value of our warrant liabilities, which are subject to secondary market conditions, and are not reasonably predictable. The Company’s ability to meet its future obligations is dependent upon the success of its products and services in the marketplace and the available capital resources. Until the Company’s products and services can generate sufficient annual revenues, the Company will be required to use its cash and cash equivalents on hand, and its line of credit (see Note 4), and may raise capital to meet its cash flow requirements including the issuance of Common Stock and the exercise of outstanding Common Stock warrants.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wholly-owned subsidiaries, Stitch Networks Corporation (“Stitch”) and USAT Capital Corp LLC (“USAT Capital”). All significant intercompany accounts and transactions have been eliminated in consolidation.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equivalents represent all highly liquid investments with original maturities of three months or less. Cash equivalents are comprised of money market funds. The Company maintains its cash in bank deposit accounts, which may exceed federally insured limits at times.</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December 31, 2013 and June 30, 2013, approximately $220,000 and $0, respectively, of the cash and cash equivalents of the Company was payable to our customers. Included in accounts receivable are amounts for transactions processed with our card processers for which cash has not been received by the Company and included in accounts payable are amounts for transactions processed with our card processers and due to our customers, which are recorded net of fees due to the Company. Generally, contractual terms require us to remit amounts owed to our customers on a weekly basis.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offers extended payment terms to certain customers for equipment sales under its Quick Start Program. Notes receivable or Quick Start leases are generally for a 36 or 60 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Accounting Standards Board (“FASB”) issued Accounting Standards Update (“ASU”) 2010-06, “Fair Value Measurements and Disclosures (“Topic 820”): Improving Disclosures about Fair Value Measurements.” ASU 2010-06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assets and liabilities are measured using inputs from the three levels of the fair value hierarchy. The three levels are as follows: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principally cash equivalents, accounts receivable, finance receivables, prepaid expenses and other assets, accounts payable and accrued expenses, are carried at cost which approximates fair value due to the short-term maturity of these instruments. The fair value of the Company’s obligations under its long-term debt and credit agreements approximates their carrying value, as such instruments are at market rates currently available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Awards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718, the cost of employee services received in exchange for an award of equity instruments is based on the grant-date fair value of the award and allocated over the vesting period of the award.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provision for income taxes of $6,912 and $13,823 (all deferred income taxes) was recorded for the three and six-months ended December 31, 2013, respectively. A provision for income taxes of $6,902 and $13,823 (all deferred income taxes) was recorded for the three and six-months ended December 31, 2012, respectively. The provision for income taxes is not a function of nor related to the income before provision for income taxes for the periods because the Company has significant operating loss carryforwards that are available to negate any taxable income that would create current liabilities for income taxes. The provision for income taxes relates to the amortization of indefinite life intangible assets and goodwill that are being amortized for income tax purposes but not for financial reporting purposes giving rise to basis differences in such assets between financial and income tax reporting.</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substantial operating loss carryforwards and other items that create net deferred tax assets that have been offset by a valuation allowance as the Company has determined that as of December 31, 2013, the realization of the deferred tax assets is not likely, principally due to a lack of earnings history. The Company will continue to monitor its earnings to determine whether a full valuation allowance on the deferred tax asset is appropriate. The deferred tax liabilities related to the amortization of the indefinite life assets are not subject to offset against deferred tax assets with finite lives. As of December 31, 2013 and June 30, 2013, deferred tax liabilities of $54,068 and $40,245, respectively, were recorded for the potential future state and federal income tax effects for these basis differences.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Per Common Share</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Basic earnings per share are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year plus the effect of potential common shares unless such effect is anti-dilutive.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2. FINANCE RECEIVABLES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920" w:type="dxa"/>
            <w:vAlign w:val="bottom"/>
            <w:gridSpan w:val="2"/>
          </w:tcPr>
          <w:p>
            <w:pPr>
              <w:spacing w:after="0"/>
              <w:rPr>
                <w:sz w:val="20"/>
                <w:szCs w:val="20"/>
                <w:color w:val="auto"/>
              </w:rPr>
            </w:pPr>
            <w:r>
              <w:rPr>
                <w:rFonts w:ascii="Arial" w:cs="Arial" w:eastAsia="Arial" w:hAnsi="Arial"/>
                <w:sz w:val="18"/>
                <w:szCs w:val="18"/>
                <w:color w:val="auto"/>
              </w:rPr>
              <w:t>Finance Receivables consist of the following:</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June 30,</w:t>
            </w:r>
          </w:p>
        </w:tc>
      </w:tr>
      <w:tr>
        <w:trPr>
          <w:trHeight w:val="237"/>
        </w:trPr>
        <w:tc>
          <w:tcPr>
            <w:tcW w:w="1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16"/>
        </w:trPr>
        <w:tc>
          <w:tcPr>
            <w:tcW w:w="1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459,713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525,118</w:t>
            </w:r>
          </w:p>
        </w:tc>
      </w:tr>
      <w:tr>
        <w:trPr>
          <w:trHeight w:val="223"/>
        </w:trPr>
        <w:tc>
          <w:tcPr>
            <w:tcW w:w="17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Less current portion</w:t>
            </w:r>
          </w:p>
        </w:tc>
        <w:tc>
          <w:tcPr>
            <w:tcW w:w="1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116,444</w:t>
            </w:r>
          </w:p>
        </w:tc>
        <w:tc>
          <w:tcPr>
            <w:tcW w:w="100" w:type="dxa"/>
            <w:vAlign w:val="bottom"/>
          </w:tcPr>
          <w:p>
            <w:pPr>
              <w:spacing w:after="0"/>
              <w:rPr>
                <w:sz w:val="19"/>
                <w:szCs w:val="19"/>
                <w:color w:val="auto"/>
              </w:rPr>
            </w:pPr>
          </w:p>
        </w:tc>
      </w:tr>
      <w:tr>
        <w:trPr>
          <w:trHeight w:val="257"/>
        </w:trPr>
        <w:tc>
          <w:tcPr>
            <w:tcW w:w="17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 of finance receivables</w:t>
            </w:r>
          </w:p>
        </w:tc>
        <w:tc>
          <w:tcPr>
            <w:tcW w:w="1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346,811</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408,674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2013 and June 30, 2013, there was no allowance for credit losses of finance receivables. As the Company collects monthly payments of the receivables from the customers’ transaction funds, the risk of loss was determined to be remote.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4040" w:type="dxa"/>
            <w:vAlign w:val="bottom"/>
          </w:tcPr>
          <w:p>
            <w:pPr>
              <w:jc w:val="center"/>
              <w:ind w:left="1550"/>
              <w:spacing w:after="0"/>
              <w:rPr>
                <w:sz w:val="20"/>
                <w:szCs w:val="20"/>
                <w:color w:val="auto"/>
              </w:rPr>
            </w:pPr>
            <w:r>
              <w:rPr>
                <w:rFonts w:ascii="Arial" w:cs="Arial" w:eastAsia="Arial" w:hAnsi="Arial"/>
                <w:sz w:val="18"/>
                <w:szCs w:val="18"/>
                <w:color w:val="auto"/>
                <w:w w:val="93"/>
              </w:rPr>
              <w:t>Credit Quality Indicators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040" w:type="dxa"/>
            <w:vAlign w:val="bottom"/>
          </w:tcPr>
          <w:p>
            <w:pPr>
              <w:jc w:val="center"/>
              <w:ind w:left="1530"/>
              <w:spacing w:after="0"/>
              <w:rPr>
                <w:sz w:val="20"/>
                <w:szCs w:val="20"/>
                <w:color w:val="auto"/>
              </w:rPr>
            </w:pPr>
            <w:r>
              <w:rPr>
                <w:rFonts w:ascii="Arial" w:cs="Arial" w:eastAsia="Arial" w:hAnsi="Arial"/>
                <w:sz w:val="18"/>
                <w:szCs w:val="18"/>
                <w:color w:val="auto"/>
                <w:w w:val="91"/>
              </w:rPr>
              <w:t>As of December 31, 2013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4040" w:type="dxa"/>
            <w:vAlign w:val="bottom"/>
          </w:tcPr>
          <w:p>
            <w:pPr>
              <w:jc w:val="center"/>
              <w:ind w:left="1530"/>
              <w:spacing w:after="0"/>
              <w:rPr>
                <w:sz w:val="20"/>
                <w:szCs w:val="20"/>
                <w:color w:val="auto"/>
              </w:rPr>
            </w:pPr>
            <w:r>
              <w:rPr>
                <w:rFonts w:ascii="Arial" w:cs="Arial" w:eastAsia="Arial" w:hAnsi="Arial"/>
                <w:sz w:val="18"/>
                <w:szCs w:val="18"/>
                <w:color w:val="auto"/>
                <w:w w:val="90"/>
              </w:rPr>
              <w:t>(unaudited)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20" w:type="dxa"/>
            <w:vAlign w:val="bottom"/>
            <w:gridSpan w:val="2"/>
          </w:tcPr>
          <w:p>
            <w:pPr>
              <w:ind w:left="2860"/>
              <w:spacing w:after="0"/>
              <w:rPr>
                <w:sz w:val="20"/>
                <w:szCs w:val="20"/>
                <w:color w:val="auto"/>
              </w:rPr>
            </w:pPr>
            <w:r>
              <w:rPr>
                <w:rFonts w:ascii="Arial" w:cs="Arial" w:eastAsia="Arial" w:hAnsi="Arial"/>
                <w:sz w:val="18"/>
                <w:szCs w:val="18"/>
                <w:color w:val="auto"/>
              </w:rPr>
              <w:t>Credit risk profile based on payment activity:</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8"/>
                <w:szCs w:val="18"/>
                <w:color w:val="auto"/>
              </w:rPr>
              <w:t>Leases</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459,713</w:t>
            </w:r>
          </w:p>
        </w:tc>
        <w:tc>
          <w:tcPr>
            <w:tcW w:w="14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Nonperforming</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80" w:type="dxa"/>
            <w:vAlign w:val="bottom"/>
          </w:tcPr>
          <w:p>
            <w:pPr>
              <w:spacing w:after="0"/>
              <w:rPr>
                <w:sz w:val="22"/>
                <w:szCs w:val="2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459,713</w:t>
            </w:r>
          </w:p>
        </w:tc>
        <w:tc>
          <w:tcPr>
            <w:tcW w:w="140" w:type="dxa"/>
            <w:vAlign w:val="bottom"/>
            <w:shd w:val="clear" w:color="auto" w:fill="CCEEFF"/>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9"/>
        </w:trPr>
        <w:tc>
          <w:tcPr>
            <w:tcW w:w="2880" w:type="dxa"/>
            <w:vAlign w:val="bottom"/>
            <w:tcBorders>
              <w:bottom w:val="single" w:sz="8" w:color="DCDCDC"/>
            </w:tcBorders>
          </w:tcPr>
          <w:p>
            <w:pPr>
              <w:spacing w:after="0"/>
              <w:rPr>
                <w:sz w:val="24"/>
                <w:szCs w:val="24"/>
                <w:color w:val="auto"/>
              </w:rPr>
            </w:pPr>
          </w:p>
        </w:tc>
        <w:tc>
          <w:tcPr>
            <w:tcW w:w="4040" w:type="dxa"/>
            <w:vAlign w:val="bottom"/>
            <w:tcBorders>
              <w:top w:val="single" w:sz="8" w:color="CCEEFF"/>
              <w:bottom w:val="single" w:sz="8" w:color="DCDCDC"/>
            </w:tcBorders>
          </w:tcPr>
          <w:p>
            <w:pPr>
              <w:jc w:val="center"/>
              <w:ind w:left="1530"/>
              <w:spacing w:after="0"/>
              <w:rPr>
                <w:sz w:val="20"/>
                <w:szCs w:val="20"/>
                <w:color w:val="auto"/>
              </w:rPr>
            </w:pPr>
            <w:r>
              <w:rPr>
                <w:rFonts w:ascii="Arial" w:cs="Arial" w:eastAsia="Arial" w:hAnsi="Arial"/>
                <w:sz w:val="18"/>
                <w:szCs w:val="18"/>
                <w:color w:val="auto"/>
                <w:w w:val="99"/>
              </w:rPr>
              <w:t>9</w:t>
            </w:r>
          </w:p>
        </w:tc>
        <w:tc>
          <w:tcPr>
            <w:tcW w:w="300" w:type="dxa"/>
            <w:vAlign w:val="bottom"/>
            <w:tcBorders>
              <w:top w:val="single" w:sz="8" w:color="CCEEFF"/>
              <w:bottom w:val="single" w:sz="8" w:color="DCDCDC"/>
            </w:tcBorders>
          </w:tcPr>
          <w:p>
            <w:pPr>
              <w:spacing w:after="0"/>
              <w:rPr>
                <w:sz w:val="24"/>
                <w:szCs w:val="24"/>
                <w:color w:val="auto"/>
              </w:rPr>
            </w:pPr>
          </w:p>
        </w:tc>
        <w:tc>
          <w:tcPr>
            <w:tcW w:w="220" w:type="dxa"/>
            <w:vAlign w:val="bottom"/>
            <w:tcBorders>
              <w:top w:val="single" w:sz="8" w:color="auto"/>
              <w:bottom w:val="single" w:sz="8" w:color="DCDCDC"/>
            </w:tcBorders>
          </w:tcPr>
          <w:p>
            <w:pPr>
              <w:spacing w:after="0"/>
              <w:rPr>
                <w:sz w:val="24"/>
                <w:szCs w:val="24"/>
                <w:color w:val="auto"/>
              </w:rPr>
            </w:pPr>
          </w:p>
        </w:tc>
        <w:tc>
          <w:tcPr>
            <w:tcW w:w="1000" w:type="dxa"/>
            <w:vAlign w:val="bottom"/>
            <w:tcBorders>
              <w:top w:val="single" w:sz="8" w:color="auto"/>
              <w:bottom w:val="single" w:sz="8" w:color="DCDCDC"/>
            </w:tcBorders>
          </w:tcPr>
          <w:p>
            <w:pPr>
              <w:spacing w:after="0"/>
              <w:rPr>
                <w:sz w:val="24"/>
                <w:szCs w:val="24"/>
                <w:color w:val="auto"/>
              </w:rPr>
            </w:pPr>
          </w:p>
        </w:tc>
        <w:tc>
          <w:tcPr>
            <w:tcW w:w="140" w:type="dxa"/>
            <w:vAlign w:val="bottom"/>
            <w:tcBorders>
              <w:top w:val="single" w:sz="8" w:color="CCEEFF"/>
              <w:bottom w:val="single" w:sz="8" w:color="DCDCDC"/>
            </w:tcBorders>
          </w:tcPr>
          <w:p>
            <w:pPr>
              <w:spacing w:after="0"/>
              <w:rPr>
                <w:sz w:val="24"/>
                <w:szCs w:val="24"/>
                <w:color w:val="auto"/>
              </w:rPr>
            </w:pPr>
          </w:p>
        </w:tc>
        <w:tc>
          <w:tcPr>
            <w:tcW w:w="28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gridSpan w:val="4"/>
          </w:tcPr>
          <w:p>
            <w:pPr>
              <w:spacing w:after="0"/>
              <w:rPr>
                <w:sz w:val="20"/>
                <w:szCs w:val="20"/>
                <w:color w:val="auto"/>
              </w:rPr>
            </w:pPr>
            <w:r>
              <w:rPr>
                <w:rFonts w:ascii="Arial" w:cs="Arial" w:eastAsia="Arial" w:hAnsi="Arial"/>
                <w:sz w:val="18"/>
                <w:szCs w:val="18"/>
                <w:b w:val="1"/>
                <w:bCs w:val="1"/>
                <w:color w:val="auto"/>
              </w:rPr>
              <w:t>2. FINANCE RECEIVABLES (CONTINUED)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80" w:type="dxa"/>
            <w:vAlign w:val="bottom"/>
            <w:gridSpan w:val="12"/>
          </w:tcPr>
          <w:p>
            <w:pPr>
              <w:jc w:val="center"/>
              <w:ind w:left="10"/>
              <w:spacing w:after="0"/>
              <w:rPr>
                <w:sz w:val="20"/>
                <w:szCs w:val="20"/>
                <w:color w:val="auto"/>
              </w:rPr>
            </w:pPr>
            <w:r>
              <w:rPr>
                <w:rFonts w:ascii="Arial" w:cs="Arial" w:eastAsia="Arial" w:hAnsi="Arial"/>
                <w:sz w:val="18"/>
                <w:szCs w:val="18"/>
                <w:color w:val="auto"/>
                <w:w w:val="90"/>
              </w:rPr>
              <w:t>Age Analysis of Past Due Finance Receivables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jc w:val="center"/>
              <w:spacing w:after="0"/>
              <w:rPr>
                <w:sz w:val="20"/>
                <w:szCs w:val="20"/>
                <w:color w:val="auto"/>
              </w:rPr>
            </w:pPr>
            <w:r>
              <w:rPr>
                <w:rFonts w:ascii="Arial" w:cs="Arial" w:eastAsia="Arial" w:hAnsi="Arial"/>
                <w:sz w:val="18"/>
                <w:szCs w:val="18"/>
                <w:color w:val="auto"/>
                <w:w w:val="90"/>
              </w:rPr>
              <w:t>As of December 31, 2013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3"/>
          </w:tcPr>
          <w:p>
            <w:pPr>
              <w:jc w:val="center"/>
              <w:ind w:left="27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Greater</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89"/>
              </w:rPr>
              <w:t>31 – 60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93"/>
              </w:rPr>
              <w:t>61 – 90</w:t>
            </w:r>
          </w:p>
        </w:tc>
        <w:tc>
          <w:tcPr>
            <w:tcW w:w="3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than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7"/>
              </w:rPr>
              <w:t>Days Past</w:t>
            </w:r>
          </w:p>
        </w:tc>
        <w:tc>
          <w:tcPr>
            <w:tcW w:w="30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Days Past</w:t>
            </w:r>
          </w:p>
        </w:tc>
        <w:tc>
          <w:tcPr>
            <w:tcW w:w="3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90 Days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70"/>
              <w:spacing w:after="0"/>
              <w:rPr>
                <w:sz w:val="20"/>
                <w:szCs w:val="20"/>
                <w:color w:val="auto"/>
              </w:rPr>
            </w:pPr>
            <w:r>
              <w:rPr>
                <w:rFonts w:ascii="Arial" w:cs="Arial" w:eastAsia="Arial" w:hAnsi="Arial"/>
                <w:sz w:val="18"/>
                <w:szCs w:val="18"/>
                <w:color w:val="auto"/>
                <w:w w:val="91"/>
              </w:rPr>
              <w:t>Total Past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Finance</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0"/>
              </w:rPr>
              <w:t>Due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Due</w:t>
            </w:r>
          </w:p>
        </w:tc>
        <w:tc>
          <w:tcPr>
            <w:tcW w:w="3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350"/>
              <w:spacing w:after="0"/>
              <w:rPr>
                <w:sz w:val="20"/>
                <w:szCs w:val="20"/>
                <w:color w:val="auto"/>
              </w:rPr>
            </w:pPr>
            <w:r>
              <w:rPr>
                <w:rFonts w:ascii="Arial" w:cs="Arial" w:eastAsia="Arial" w:hAnsi="Arial"/>
                <w:sz w:val="18"/>
                <w:szCs w:val="18"/>
                <w:color w:val="auto"/>
              </w:rPr>
              <w:t>Due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w w:val="99"/>
              </w:rPr>
              <w:t>Current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Receivables</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60" w:type="dxa"/>
            <w:vAlign w:val="bottom"/>
            <w:gridSpan w:val="2"/>
            <w:shd w:val="clear" w:color="auto" w:fill="CCEEFF"/>
          </w:tcPr>
          <w:p>
            <w:pPr>
              <w:jc w:val="center"/>
              <w:ind w:right="3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457,807</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2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943</w:t>
            </w:r>
          </w:p>
        </w:tc>
        <w:tc>
          <w:tcPr>
            <w:tcW w:w="1060" w:type="dxa"/>
            <w:vAlign w:val="bottom"/>
            <w:gridSpan w:val="2"/>
          </w:tcPr>
          <w:p>
            <w:pPr>
              <w:jc w:val="center"/>
              <w:ind w:right="31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1,906</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457,807</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459,713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ACCRUED EXPENSES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2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280" w:type="dxa"/>
            <w:vAlign w:val="bottom"/>
            <w:gridSpan w:val="2"/>
          </w:tcPr>
          <w:p>
            <w:pPr>
              <w:spacing w:after="0"/>
              <w:rPr>
                <w:sz w:val="20"/>
                <w:szCs w:val="20"/>
                <w:color w:val="auto"/>
              </w:rPr>
            </w:pPr>
            <w:r>
              <w:rPr>
                <w:rFonts w:ascii="Arial" w:cs="Arial" w:eastAsia="Arial" w:hAnsi="Arial"/>
                <w:sz w:val="18"/>
                <w:szCs w:val="18"/>
                <w:color w:val="auto"/>
                <w:w w:val="95"/>
              </w:rPr>
              <w:t>Accrued expenses consist of the following:</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gridSpan w:val="4"/>
          </w:tcPr>
          <w:p>
            <w:pPr>
              <w:jc w:val="center"/>
              <w:spacing w:after="0"/>
              <w:rPr>
                <w:sz w:val="20"/>
                <w:szCs w:val="20"/>
                <w:color w:val="auto"/>
              </w:rPr>
            </w:pPr>
            <w:r>
              <w:rPr>
                <w:rFonts w:ascii="Arial" w:cs="Arial" w:eastAsia="Arial" w:hAnsi="Arial"/>
                <w:sz w:val="18"/>
                <w:szCs w:val="18"/>
                <w:color w:val="auto"/>
                <w:w w:val="88"/>
              </w:rPr>
              <w:t>December 31,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89"/>
              </w:rPr>
              <w:t>2013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70"/>
              <w:spacing w:after="0"/>
              <w:rPr>
                <w:sz w:val="20"/>
                <w:szCs w:val="20"/>
                <w:color w:val="auto"/>
              </w:rPr>
            </w:pPr>
            <w:r>
              <w:rPr>
                <w:rFonts w:ascii="Arial" w:cs="Arial" w:eastAsia="Arial" w:hAnsi="Arial"/>
                <w:sz w:val="18"/>
                <w:szCs w:val="18"/>
                <w:color w:val="auto"/>
                <w:w w:val="92"/>
              </w:rPr>
              <w:t>(unaudited)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5"/>
              </w:rPr>
              <w:t>Accrued compensation and related sales commissions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215,707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176,968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Accrued taxes and filing fees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w w:val="94"/>
              </w:rPr>
              <w:t>Advanced customer billings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322,724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rent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Accrued other</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241,328</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1,349,453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1,834,969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LINE OF CREDIT</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September 2013, the Company and Avidbank Corporate Finance, a division of Avidbank (the “Bank”) entered into a Fifth Amendment (“Fifth Amendment”) to the Loan and Security Agreement (“Loan Documents”) to change the minimum Adjusted EBITDA for covenant calculations for the four fiscal quarters ending through June 30, 2014.</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Loan Documents also contain customary events of default, including, among other things, payment defaults, breaches of covenants, and bankruptcy and insolvency events, subject to grace periods in certain instances. Upon an event of default, the Bank may declare all of the outstanding obligations of the Company under the Line of Credit and Loan Documents to be immediately due and payable, and exercise any other rights provided for under the Loan Documents.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balance due on the Line of Credit was $4,000,000 and $3,000,000 at December 31, 2013 and June 30, 2013, respectively. At December 31, 2013, $1,000,000 was available.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5. LONG-TERM DEBT</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518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2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December 31,</w:t>
            </w: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June 30,</w:t>
            </w:r>
          </w:p>
        </w:tc>
      </w:tr>
      <w:tr>
        <w:trPr>
          <w:trHeight w:val="237"/>
        </w:trPr>
        <w:tc>
          <w:tcPr>
            <w:tcW w:w="2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r>
      <w:tr>
        <w:trPr>
          <w:trHeight w:val="216"/>
        </w:trPr>
        <w:tc>
          <w:tcPr>
            <w:tcW w:w="2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254,110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345,925</w:t>
            </w:r>
          </w:p>
        </w:tc>
      </w:tr>
      <w:tr>
        <w:trPr>
          <w:trHeight w:val="216"/>
        </w:trPr>
        <w:tc>
          <w:tcPr>
            <w:tcW w:w="23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Loan agreement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62,005</w:t>
            </w: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23,981</w:t>
            </w:r>
          </w:p>
        </w:tc>
      </w:tr>
      <w:tr>
        <w:trPr>
          <w:trHeight w:val="27"/>
        </w:trPr>
        <w:tc>
          <w:tcPr>
            <w:tcW w:w="23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30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316,115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369,906</w:t>
            </w:r>
          </w:p>
        </w:tc>
      </w:tr>
      <w:tr>
        <w:trPr>
          <w:trHeight w:val="216"/>
        </w:trPr>
        <w:tc>
          <w:tcPr>
            <w:tcW w:w="23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Less current portion</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252,614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247,152</w:t>
            </w:r>
          </w:p>
        </w:tc>
      </w:tr>
      <w:tr>
        <w:trPr>
          <w:trHeight w:val="27"/>
        </w:trPr>
        <w:tc>
          <w:tcPr>
            <w:tcW w:w="23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30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122,754</w:t>
            </w:r>
          </w:p>
        </w:tc>
      </w:tr>
      <w:tr>
        <w:trPr>
          <w:trHeight w:val="20"/>
        </w:trPr>
        <w:tc>
          <w:tcPr>
            <w:tcW w:w="2300" w:type="dxa"/>
            <w:vAlign w:val="bottom"/>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July 2013, the Company entered into a capital lease for office equipment totaling $22,036 due in 24 monthly installments of $1,033 through July 2015.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August 2013, the Company financed a portion of the premiums for various insurance policies totaling $101,850, due in nine monthly payments through April 2014 at an interest rate of 5.27%.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accordance with the fair value hierarchy described in Note 1, the following table shows the fair value of the Company’s financial instruments that are required to be measured at fair value as of December 31, 2013 and June 30, 2013:</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December 31, 2013 (unaudited)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1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spacing w:after="0" w:line="201" w:lineRule="exact"/>
              <w:rPr>
                <w:sz w:val="20"/>
                <w:szCs w:val="20"/>
                <w:color w:val="auto"/>
              </w:rPr>
            </w:pPr>
            <w:r>
              <w:rPr>
                <w:rFonts w:ascii="Arial" w:cs="Arial" w:eastAsia="Arial" w:hAnsi="Arial"/>
                <w:sz w:val="18"/>
                <w:szCs w:val="18"/>
                <w:color w:val="auto"/>
                <w:w w:val="94"/>
              </w:rPr>
              <w:t>Common stock warrant liability, warrants exercisable at $2.6058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from September 18, 2011 through September 18, 2016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469,437</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469,437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June 30, 2013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192,620</w:t>
            </w:r>
          </w:p>
        </w:tc>
        <w:tc>
          <w:tcPr>
            <w:tcW w:w="11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spacing w:after="0" w:line="201" w:lineRule="exact"/>
              <w:rPr>
                <w:sz w:val="20"/>
                <w:szCs w:val="20"/>
                <w:color w:val="auto"/>
              </w:rPr>
            </w:pPr>
            <w:r>
              <w:rPr>
                <w:rFonts w:ascii="Arial" w:cs="Arial" w:eastAsia="Arial" w:hAnsi="Arial"/>
                <w:sz w:val="18"/>
                <w:szCs w:val="18"/>
                <w:color w:val="auto"/>
                <w:w w:val="94"/>
              </w:rPr>
              <w:t>Common stock warrant liability, warrants exercisable at $2.6058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from September 18, 2011 through September 18, 2016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650,638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650,638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2013 and June 30, 2013, the fair values of the Company’s Level 1 financial instruments were $2,684 and $192,620, respectively. These financial instruments consist of cash equivalents, including money market accounts. As of December 31, 2013 and June 30, 2013, the Company held no Level 2 financial instruments.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2013 and June 30, 2013, the fair values of the Company’s Level 3 financial instruments totaled $469,437 and $650,638, respectively. The Level 3 financial instrument consists of common stock warrants issued by the Company in March 2011, which include features requiring liability treatment of the warrants. The fair value of warrants issued in March 2011 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changes in fair value of the Company’s Level 3 financial instruments for the six-months ended December 31, 2013 and 2012:</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right"/>
              <w:ind w:right="7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5"/>
          </w:tcPr>
          <w:p>
            <w:pPr>
              <w:jc w:val="right"/>
              <w:ind w:right="8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w w:val="94"/>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(650,638)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Gain due to change in fair value of warrant liabilities, net</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181,201</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59,498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(469,437)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 AND COMMON STOCK WARRANTS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2010 Stock Incentive Plan, the Company recorded stock compensation expense of $752 and $1,504 during the three and six-months ended December 31, 2013, respectively, related to shares granted to Directors of the Company in July 2012; no shares of Common stock were issued under this plan during the three and six-months ended December 31, 2013.</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2011 Stock Incentive Plan, the Company recorded stock compensation expense of $1,812 and $13,740 and issued 0 and 51,667 shares of Common stock during the three and six-months ended December 31, 2013, respectively, related to shares granted to employees and Directors of the Company in September 2011 and July 2012.</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2012 Stock Incentive Plan, the Company recorded stock compensation expense of $101,900 and $173,612 and issued 70,013 and 81,029 shares of Common stock during the three and six-months ended December 31, 2013, respectively. Of these amounts $57,499 and $114,999 related to vesting of shares for Directors in lieu of cash payment for services on the Board of Directors and 35,713 shares of Common Stock were issued for the three and six-months ended December 31, 2013, respectively. For the three and six-months ended December 31, 2013 the Company recorded stock compensation expense and an expense reduction of $0 and $5,527, respectively, related to non-executive employee incentives as certain performance targets were not achieved, and issued 13,300 shares of Common Stock the three and six-months ended December 31, 2013.</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7, 2013, at the recommendation of the Compensation Committee of the Board of Directors of the Company, the Board of Directors approved a stock bonus to the Company’s Chief Financial Officer (“CFO”). The CFO was awarded 21,000 vested shares of common stock of the Company as a bonus in recognition of his performance during the 2013 fiscal year. For the three and six-months ended December 31, 2013, $38,220 was recorded as expense on account of the stock bonus under the 2012 Stock Incentive Plan.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7, 2013, at the recommendation of the Compensation Committee of the Board of Directors of the Company, the Board of Directors approved the Fiscal Year 2014 Long-Term Stock Incentive Plan (the “2014 LTI Stock Plan”). The 2014 LTI Stock Plan provides that each executive officer would be awarded shares of common stock in the event that certain metrics relating to the Company’s 2014 fiscal year would result in specified ranges of year-over-year percentage growth.</w:t>
      </w:r>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none of the minimum threshold year-over-year percentage target goals are achieved, the executive officers would not be awarded any shares. If all of the year-over-year percentage target goals are achieved, the executive officers would be awarded shares having the following value: Chief Executive Officer (“CEO”) – $341,277 (100% of base salary); and CFO – $175,698 (75% of base salary). If all of the maximum distinguished year-over-year percentage target goals are achieved, the executive officers would be awarded shares having the following value: CEO – $682,554 (200% of base salary); and CFO – $351,396 (150% of base salary).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 shares awarded under the 2014 LTI Stock Plan would vest over a three year period following issuance as follows: one-third on the first anniversary; one-third on the second anniversary; and one-third on the third anniversary. The Company recorded stock compensation expense of $6,181 and $25,920 for the three and six-months ended December 31, 2013 on account of the 2014 LTI Stock Plan under the 2012 Stock Incentive Plan.</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and six-month periods ended December 31, 2013, executive officers exercised their rights to cancel shares of common stock awarded to them under prior employment agreements and the Special Equity Plan granted to an executive officer in September 2012 for the payment of payroll taxes, including 21,179 and 28,558 shares of the Company’s Common Stock to satisfy $33,429 and $47,375 of related payroll obligations,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 AND COMMON STOCK WARRANTS (CONTINUED)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and six-months ended December 31, 2012, the Company recorded stock compensation expense of $94,893 and $220,224, and issued 30,987 and 262,650 shares of Common Stock, respectively. $19,583 and $35,625 for grants to the executive officers in April and September 2011, respectively; $32,964 of expenses related to vesting of shares granted to employees in April 2012; $5,551, $4,396 and $23,561 of expenses related to vesting of shares granted to Directors of the Company in June 2011, March 2012 and July 2012, respectively; and $85,000 for shares issued to Company Directors in lieu of cash payment.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2012, the Company recorded a liability of $87,837, and expense for the three and six-months then ended of $43,969 and $87,837, respectively, for the 2013 Performance Plan.</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Warrants were exercised during the three and six-months ended December 31, 2013, resulting in the issuance of 1,972,085 and 2,090,226 shares of Common Stock, respectively, at $1.13 per share. The Company received cash proceeds of $1,712,863 and $1,812,462 during the three and six-months ended December 31, 2013, and $549,493 was included in accounts receivable at December 31, 2013 and was collected on January 7, 2014. On December 31, 2013, warrants to purchase 58,527 shares of Common stock, exercisable at $1.13 per share, expired unexercised.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On September 14, 2013 warrants to purchase 903,955 shares of Common Stock, exercisable at $5.90 per share, expired unexercised.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STI PLAN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7, 2013, at the recommendation of the Compensation Committee of the Board of Directors of the Company, the Board of Directors approved the Fiscal Year 2014 Short-Term Incentive Plan (the “2014 STI Plan”) covering its two executive officers – CEO and CFO. Upon the recommendation of the Compensation Committee, the Board also approved a stock bonus.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2014 STI Plan provides that each executive officer would earn a cash bonus in the event that the Company achieved during the 2014 fiscal year certain annual financial goals and certain annual specific performance goals relating to the executive officer which are to be established by the Compensation Committee.</w:t>
      </w:r>
    </w:p>
    <w:p>
      <w:pPr>
        <w:spacing w:after="0" w:line="20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none of the minimum threshold target goals are achieved, the executive officers would not earn a cash bonus. If all of the target goals are achieved, the executive officers would earn a cash bonus as follows: CEO – $51,184 (15% of base salary); and CFO – $29,283 (12.5% of base salary). If all of the maximum distinguished target goals are achieved, the executive officers would earn a cash bonus as follows: CEO – $102,368 (30% of base salary); and CFO</w:t>
      </w:r>
    </w:p>
    <w:p>
      <w:pPr>
        <w:ind w:right="20"/>
        <w:spacing w:after="0" w:line="290" w:lineRule="auto"/>
        <w:rPr>
          <w:sz w:val="20"/>
          <w:szCs w:val="20"/>
          <w:color w:val="auto"/>
        </w:rPr>
      </w:pPr>
      <w:r>
        <w:rPr>
          <w:rFonts w:ascii="Arial" w:cs="Arial" w:eastAsia="Arial" w:hAnsi="Arial"/>
          <w:sz w:val="17"/>
          <w:szCs w:val="17"/>
          <w:color w:val="auto"/>
        </w:rPr>
        <w:t>– $58,566 (25% of base salary). Assuming the minimum threshold target goal would be achieved for a particular metric, the amount of the cash bonus to be earned would be determined on a pro rata basis, provided that the bonus would not exceed the maximum distinguished award for that metric.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7, 2013, the Company and its CFO, Mr. DeMedio, entered into an additional amendment to the employment agreement. The amendment to Mr. DeMedio’s employment agreement (the “DeMedio Amendment”) provides that (i) if following a change in control of the Company (as defined in the DeMedio Amendment) Mr. DeMedio would terminate his employment with the Company for good reason (as defined in the DeMedio Amendment), or (ii) if the Company would terminate his employment at any time without cause (as defined in the DeMedio Amendment), or (iii) if the Company would provide Mr. DeMedio with a notice of non-renewal of his employment agreement, then the Company would pay to him a lump sum equal to one times his base salary on or before the termination of his employment and all restricted stock awards would become vested as of the date of termination.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2014, the Company entered into a capital lease for office equipment totaling $162,718 due in sixty monthly installments of $3,189 through January 2019.</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2014, the Company entered into a capital lease for network equipment totaling $182,217 due in 48 monthly installments of $4,690 through January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20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in order to sustain its operations if an unexpected or unusual event would occur;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rent or utilize ePort devices or our other products in the future at levels currently anticipated by our Company, including appropriate diversification resulting from sources other than our JumpStart Program;</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revenues are derived;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mobile payment and loyalty and prepaid programs;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USAT to operate without infringing the proprietary rights of others.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2013 compared to the three months ended December 31, 2012</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Results for the quarter ended December 31, 2013 continued to demonstrate growth and improvements in the Company’s operations as compared to the quarter ended December 31, 2012. Highlights of year over year improvements include:</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up 166% to $409,000 and earnings per share of $0.01;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up 19% to $10.6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Recurring license and transaction fee revenue up 17% to $8.7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connections to its ePort Connect service as of December 31, 2013 up 20% as compared to December 31, 2012.</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for the quarter ended December 31, 2013 were $10,570,514, consisting of $8,671,085 of license and transaction fees and $1,899,429 of equipment sales, compared to $8,884,321 for the quarter ended December 31, 2012, consisting of $7,403,241 of license and transaction fees and $1,481,080 of equipment sales. The increase in total revenue of $1,686,193, or 19%, was primarily due to an increase in license and transaction fees of $1,267,844, or 17%, and an increase in equipment sales of $418,349 or 28%, from the same period in the prior fiscal year.</w:t>
      </w:r>
    </w:p>
    <w:p>
      <w:pPr>
        <w:spacing w:after="0" w:line="19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Revenue from license and transaction fees, which represented 82% of total revenue for the quarter ended December 31, 2013, is primarily attributable to monthly ePort Connect® service fees and transaction processing fees. Highlights for the quarter ended December 31, 2013 included:</w:t>
      </w:r>
    </w:p>
    <w:p>
      <w:pPr>
        <w:spacing w:after="0" w:line="174" w:lineRule="exact"/>
        <w:rPr>
          <w:sz w:val="20"/>
          <w:szCs w:val="20"/>
          <w:color w:val="auto"/>
        </w:rPr>
      </w:pPr>
    </w:p>
    <w:p>
      <w:pPr>
        <w:ind w:left="1060" w:hanging="485"/>
        <w:spacing w:after="0" w:line="25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Adding 7,000 net connections to our service, consisting of 17,000 new connections to our ePort Connect service in the quarter, offset by 10,000 deactivations, compared to 12,000 net connections added in the same quarter of fiscal 2013;</w:t>
      </w:r>
    </w:p>
    <w:p>
      <w:pPr>
        <w:spacing w:after="0" w:line="1" w:lineRule="exact"/>
        <w:rPr>
          <w:rFonts w:ascii="Arial" w:cs="Arial" w:eastAsia="Arial" w:hAnsi="Arial"/>
          <w:sz w:val="18"/>
          <w:szCs w:val="18"/>
          <w:color w:val="auto"/>
        </w:rPr>
      </w:pPr>
    </w:p>
    <w:p>
      <w:pPr>
        <w:ind w:left="1060" w:hanging="485"/>
        <w:spacing w:after="0" w:line="250"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2013, the Company had approximately 224,000 connections to the ePort Connect service compared to approximately 186,000 connections to the ePort Connect service as of December 31, 2012, an increase of 20%;</w:t>
      </w:r>
    </w:p>
    <w:p>
      <w:pPr>
        <w:ind w:left="1060" w:right="20" w:hanging="485"/>
        <w:spacing w:after="0" w:line="250"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for the quarter ended December 31, 2013 of 30% and 35%, respectively, compared to the same period a year ago; and</w:t>
      </w: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ePort Connect customer base grew 48% from December 31, 2012.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license and transaction fees was due to the growth in ePort Connect service fees and transaction dollars that stems from the increased number of connections to our ePort Connect service. As of December 31, 2013, the Company had approximately 224,000 connections to the ePort Connect service as compared to approximately 186,000 connections to the ePort Connect service as of December 31, 2012. During the quarter ended December 31, 2013, the Company added approximately 7,000 net connections to our network compared to approximately 12,000 net connections added during the quarter ended December 31, 2012.</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its agreements with customers, in addition to ePort Connect service fees the Company earns transaction processing fees equal to a percentage of the dollar volume processed by the Company. During the quarter ended December 31, 2013, the Company processed approximately 40.2 million transactions totaling approximately $69.1 million compared to approximately 30.9 million transactions totaling approximately $51.3 million during the quarter ended December 31, 2012, an increase of approximately 30% in the number of transactions and approximately 35% in the value of transactions processed.</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New customers added to our ePort® Connect service during the quarter ended December 31, 2013 totaled 475, bringing the total number of such customers to approximately 6,075 as of December 31, 2013. The Company added approximately 375 new customers in the quarter ended December 31, 2012. By comparison, the Company had approximately 4,100 customers as of December 31, 2012, representing a 48% increase during the past twelve months. The Company views the total installed base of machines managed by its customers, that have yet to transition to cashless payment, as a key strategic opportunity.We count a customer as a new customer upon the signing of their ePort Connect service agreement. When a reseller sells our ePort, we count a customer as a new customer upon the signing of the applicable services agreement with the customer.</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$418,349 increase in equipment sales was mainly a result of approximately $300,000 of revenue recorded under our ISIS Marketing Agreement during the quarter compared to $0 recorded in the same quarter a year ago, an increase of approximately $252,000 in sales of ePort® products, offset by a decrease of approximately $117,000 in sales of Energy Misers and by a decrease of approximately $17,000 in other product sales.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sales consisted of license and transaction fee related costs of $5,495,385 and $4,363,212 and equipment costs of $1,244,996 and $920,928 for the quarters ended December 31, 2013 and 2012, respectively. The increase in total cost of sales of $1,456,241, or 28%, was primarily due to an increase in cost of services of $1,132,173 that stemmed from the greater number of connections to the Company’s ePort Connect service and increases in transaction dollars processed by those connections. The increase in total cost of sales was also attributable to an increase in cost of equipment sales of $324,068, or 35%, which was primarily due to work performed under the ISIS Marketing Agreement and an increase in sales of ePort® products, as a result of increased sales incentives offered during the quarter ended December 31, 2013 compared to December 31, 2012.</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5" w:name="page16"/>
    <w:bookmarkEnd w:id="15"/>
    <w:p>
      <w:pPr>
        <w:jc w:val="both"/>
        <w:spacing w:after="0" w:line="276" w:lineRule="auto"/>
        <w:rPr>
          <w:sz w:val="20"/>
          <w:szCs w:val="20"/>
          <w:color w:val="auto"/>
        </w:rPr>
      </w:pPr>
      <w:r>
        <w:rPr>
          <w:rFonts w:ascii="Arial" w:cs="Arial" w:eastAsia="Arial" w:hAnsi="Arial"/>
          <w:sz w:val="17"/>
          <w:szCs w:val="17"/>
          <w:color w:val="auto"/>
        </w:rPr>
        <w:t>Gross profit (“GP”) for the quarter ended December 31, 2013 was $3,830,133 compared to GP of $3,600,181 from the same quarter in the prior fiscal year, an increase of $229,952, or 6%, of which $135,671 represents increases attributable to license and transaction fees GP and $94,281 of greater equipment sales GP. Overall gross profit margins decreased from 41% to 36% due to a decrease in license and transaction fee margins to 37%, from 41% in the prior fiscal quarter and by a decrease in equipment sales margins to 34% from 38% in the prior fiscal quarter. The decrease in license and transaction fees margins is largely attributable to the 10,000 deactivations by our customers during the quarter, as well as certain sales incentives.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(“SG&amp;A”) expenses of $3,193,568 for the quarter ended December 31, 2013, increased by $493,893, or 18%, from the same quarter in the prior fiscal year. The overall increase in SG&amp;A is attributable to increases of approximately $243,000 in employee and director compensation and benefits expense; $120,000 in professional services expense; $99,000 in travel and entertainment expense; and, smaller increases in other expenses totaling $32,000 net.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and expense for the quarter ended December 31, 2013, primarily consisted of $60,405 of interest expense and $37,896 of non-cash expense for the change in the fair value of the Company’s warrant liabilities. The primary factor affecting the change in fair value is the increase in the Black-Scholes value of the warrants from September 30, 2013 to December 31, 2013, which factored in an increase in the Company’s stock price as well as a decrease in its volatility.</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quarter ended December 31, 2013 resulted in net income of $409,191 compared to net income of $153,758 for the quarter ended December 31, 2012, an improvement of $255,433 from the prior corresponding fiscal quarter. For the quarter ended December 31, 2013, net earnings per common share, basic and diluted, were $0.01, compared to $0.00 for the prior corresponding fiscal quarter.</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Non-GAAP net income was $447,087, compared to non-GAAP net income of $557,393 for the quarters ended December 31, 2013 and 2012, respectively. Management believes that non-GAAP net income and non-GAAP net earnings per common share are important measures of USAT’s business. Management uses the aforementioned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business and facilitate comparisons of our operating results over multiple periods, and when taken together with the corresponding GAAP (United States’ Generally Accepted Accounting Principles) financial measures and our reconciliations, enhance investors’ overall understanding of our current and future financial performance.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GAAP net income to Non-GAAP net income for the quarters ended December 31, 2013 and 2012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Three months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409,191</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153,758</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Non-GAAP adjustments: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warrant adjustment</w:t>
            </w:r>
          </w:p>
        </w:tc>
        <w:tc>
          <w:tcPr>
            <w:tcW w:w="9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37,896</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403,635</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Non-GAAP net income</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447,087</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557,393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409,191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153,758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447,087</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557,393</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Cumulative preferred dividends</w:t>
            </w:r>
          </w:p>
        </w:tc>
        <w:tc>
          <w:tcPr>
            <w:tcW w:w="9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applicable to common shares</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409,191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153,758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applicable to common shares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447,087</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557,393</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common share - basic</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Non-GAAP net earnings per common share - basic</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34,136,884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32,734,394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earnings per common share - diluted</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Non-GAAP net earnings per common share - diluted</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common shares outstanding</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34,222,731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33,468,336</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6760" w:type="dxa"/>
            <w:vAlign w:val="bottom"/>
            <w:tcBorders>
              <w:bottom w:val="single" w:sz="8" w:color="DCDCDC"/>
            </w:tcBorders>
            <w:gridSpan w:val="2"/>
          </w:tcPr>
          <w:p>
            <w:pPr>
              <w:jc w:val="right"/>
              <w:ind w:right="870"/>
              <w:spacing w:after="0"/>
              <w:rPr>
                <w:sz w:val="20"/>
                <w:szCs w:val="20"/>
                <w:color w:val="auto"/>
              </w:rPr>
            </w:pPr>
            <w:r>
              <w:rPr>
                <w:rFonts w:ascii="Arial" w:cs="Arial" w:eastAsia="Arial" w:hAnsi="Arial"/>
                <w:sz w:val="18"/>
                <w:szCs w:val="18"/>
                <w:color w:val="auto"/>
              </w:rPr>
              <w:t>16</w:t>
            </w:r>
          </w:p>
        </w:tc>
        <w:tc>
          <w:tcPr>
            <w:tcW w:w="9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2"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As used herein, non-GAAP net income represents GAAP net income excluding costs relating to any adjustment for fair value of warrant liabilities. As used herein, non-GAAP net earnings per common share is calculated by dividing non-GAAP net income applicable to common shares by the weighted average number of shares outstanding, and where diluted shares are required, adds back the preferred dividend since the conversion of the preferred shares are accounted for in the diluted share count.</w:t>
      </w:r>
    </w:p>
    <w:p>
      <w:pPr>
        <w:spacing w:after="0" w:line="21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the quarter ended December 31, 2013, the Company had Adjusted EBITDA of $1,892,672, compared to $1,752,721 for the quarter ended December 31, 2012. Reconciliation of GAAP net income to Adjusted EBITDA for the quarters ended December 31, 2013 and 2012 is as follows: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409,191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Less interest income</w:t>
            </w: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Plus interest expense</w:t>
            </w: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Plus depreciation expense</w:t>
            </w: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Plus amortization expense</w:t>
            </w: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Plus change in fair value of warrant liabilities</w:t>
            </w: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Plus stock-based compensation</w:t>
            </w:r>
          </w:p>
        </w:tc>
        <w:tc>
          <w:tcPr>
            <w:tcW w:w="2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104,464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94,891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1,892,672</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1,752,721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used herein, Adjusted EBITDA represents net income before interest income, interest expense, income taxes, depreciation, amortization, change in fair value of warrant liabilities and stock-based compensation expense. We have excluded the non-operating item, change in fair value of warrant liabilities, because it represents a non-cash charge that is not related to the Company’s operations. We have excluded the non-cash expense,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Six-months ended December 31, 2013 compared to six-months ended December 31, 2012</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Results for the six-month period ended December 31, 2013 continued to demonstrate growth and improvements in the Company’s operations as compared to the six-month period ended December 31, 2012. Highlights of year over year improvements include:</w:t>
      </w:r>
    </w:p>
    <w:p>
      <w:pPr>
        <w:spacing w:after="0" w:line="19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up 264% to $703,000 and earnings per share of $0.01;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 up 20% to $20.7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Recurring license and transaction fee revenue up 20% to $17.2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ePort Connect service base as of December 31, 2013 up 20% as compared to December 31, 2012.</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for the six-month period ended December 31, 2013 were $20,693,572, consisting of $17,178,129 of license and transaction fees and $3,515,443 of equipment sales, compared to $17,274,599 for the six-month period ended December 31, 2012, consisting of $14,309,598 of license and transaction fees and $2,965,001 of equipment sales. The increase in total revenue of $3,418,973, or 20%, was primarily due to an increase in license and transaction fees of $2,868,531, or 20%, and an increase in equipment sales of $550,442 or 19%, from the same period in the prior fiscal year.</w:t>
      </w:r>
    </w:p>
    <w:p>
      <w:pPr>
        <w:spacing w:after="0" w:line="19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Revenue from license and transaction fees, which represented 83% of total revenue for the six-month period ended December 31, 2013, is primarily attributable to monthly ePort Connect® service fees and transaction processing fees. Highlights for the six-month period ended December 31, 2013 included:</w:t>
      </w:r>
    </w:p>
    <w:p>
      <w:pPr>
        <w:spacing w:after="0" w:line="151" w:lineRule="exact"/>
        <w:rPr>
          <w:sz w:val="20"/>
          <w:szCs w:val="20"/>
          <w:color w:val="auto"/>
        </w:rPr>
      </w:pPr>
    </w:p>
    <w:p>
      <w:pPr>
        <w:jc w:val="both"/>
        <w:ind w:left="1060" w:hanging="485"/>
        <w:spacing w:after="0" w:line="256"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added 10,000 net connections to our service, consisting of 31,000 new connections to our ePort Connect service in the six-month period ended December 31, 2013, offset by 21,000 deactivations, compared to 22,000 net connections added in the same six-month period of fiscal 2013;</w:t>
      </w:r>
    </w:p>
    <w:p>
      <w:pPr>
        <w:ind w:left="1060" w:hanging="485"/>
        <w:spacing w:after="0" w:line="250"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for the six-month period ended December 31, 2013 of 31% and 35%, respectively, compared to the same period a year ago; and</w:t>
      </w:r>
    </w:p>
    <w:p>
      <w:pPr>
        <w:ind w:left="1060" w:right="20" w:hanging="485"/>
        <w:spacing w:after="0" w:line="261"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1,025 ePort Connect customers added in the first six-months, 28% more than were added in the same period a year ago, for 6,075 customers at December 31, 2013.</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license and transaction fees was due to the growth in ePort Connect service fees and transaction dollars that stems from the increased number of connections to our ePort Connect service. As of December 31, 2013, the Company had approximately 224,000 connections to the ePort Connect service as compared to approximately 186,000 connections to the ePort Connect service as of December 31, 2012. During the six-month period ended December 31, 2013, the Company added approximately 10,000 net connections to our network compared to approximately 22,000 net connections added during the six-month period ended December 31, 2012.</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its agreements with customers, in addition to ePort Connect service fees the Company earns transaction processing fees equal to a percentage of the dollar volume processed by the Company. During the six-month period ended December 31, 2013, the Company processed approximately 78.7 million transactions totaling approximately $137.0 million compared to approximately 60.2 million transactions totaling approximately $101.8 million during the six-month period ended December 31, 2012, an increase of approximately 31% in the number of transactions and approximately 35% in the value of transactions processed.</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New customers added to our ePort® Connect service during the six-month period ended December 31, 2013 totaled 1,025, bringing the total number of such customers to approximately 6,075 as of December 31, 2013. The Company added approximately 800 new customers in the six-month period ended December 31, 2012. By comparison, the Company had approximately 4,100 customers as of December 31, 2012, representing a 48% increase during the past twelve</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months. </w:t>
      </w:r>
      <w:r>
        <w:rPr>
          <w:rFonts w:ascii="Arial" w:cs="Arial" w:eastAsia="Arial" w:hAnsi="Arial"/>
          <w:sz w:val="21"/>
          <w:szCs w:val="21"/>
          <w:color w:val="auto"/>
        </w:rPr>
        <w:t>The Company views the total installed base of machines managed by its customers, that have yet to transition to cashless</w:t>
      </w:r>
      <w:r>
        <w:rPr>
          <w:rFonts w:ascii="Arial" w:cs="Arial" w:eastAsia="Arial" w:hAnsi="Arial"/>
          <w:sz w:val="18"/>
          <w:szCs w:val="18"/>
          <w:color w:val="auto"/>
        </w:rPr>
        <w:t xml:space="preserve"> </w:t>
      </w:r>
      <w:r>
        <w:rPr>
          <w:rFonts w:ascii="Arial" w:cs="Arial" w:eastAsia="Arial" w:hAnsi="Arial"/>
          <w:sz w:val="21"/>
          <w:szCs w:val="21"/>
          <w:color w:val="auto"/>
        </w:rPr>
        <w:t>payment, as a key strategic opportunity. We count a customer as a new customer upon the signing of their ePort Connect service agreement. When a reseller sells our ePort, we count a customer as a new customer upon the signing of the applicable services agreement with the customer.</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$550,442 increase in equipment sales was a result of $300,000 of revenue recorded under our Isis Marketing Agreement and an increase of approximately $289,000 in sales of ePort® products, offset by a decrease of approximately $29,000 in sales of eSuds products and by a decrease of approximately $10,000 in other product sales.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sales consisted of license and transaction fee related costs of $10,904,848 and $8,555,572 and equipment costs of $2,375,820 and $1,974,564 for the six-months ended December 31, 2013 and 2012, respectively. The increase in total cost of sales of $2,750,532, or 26%, was primarily due to an increase in cost of services of $2,349,276 that stemmed from the greater number of connections to the Company’s ePort Connect service and increases in transaction dollars processed by those connections. The increase in total cost of sales was also attributable to an increase in cost of equipment sales of $401,256, or 20%, was primarily due to an increase in sales of ePort® products, as a result of increased sales incentives offered during the six-month period ended December 31, 2013 compared to December 31, 2012.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8" w:name="page19"/>
    <w:bookmarkEnd w:id="18"/>
    <w:p>
      <w:pPr>
        <w:jc w:val="both"/>
        <w:spacing w:after="0" w:line="293" w:lineRule="auto"/>
        <w:rPr>
          <w:sz w:val="20"/>
          <w:szCs w:val="20"/>
          <w:color w:val="auto"/>
        </w:rPr>
      </w:pPr>
      <w:r>
        <w:rPr>
          <w:rFonts w:ascii="Arial" w:cs="Arial" w:eastAsia="Arial" w:hAnsi="Arial"/>
          <w:sz w:val="16"/>
          <w:szCs w:val="16"/>
          <w:color w:val="auto"/>
        </w:rPr>
        <w:t>GP for the six-month period ended December 31, 2013 was $7,412,904 compared to GP of $6,744,463 for the previous corresponding six-month period, an increase of $668,441, or 10%, of which $519,255 represents increases attributable to license and transaction fees GP and $149,186 of greater equipment sales GP. Overall gross profit margins decreased from 39% to 36% due to a decrease in license and transaction fees margins to 37%, from 40% in the previous corresponding six-month period and by a decrease in equipment sales margins to 32% from 33% in the previous corresponding six-month period. The decrease in license and transaction fees margins is largely attributable to the 21,000 deactivations by our customers during the six-month period as well as certain sales incentives, and cost benefits achieved with a supplier that did not take effect until towards the end of the first quarter.</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(“SG&amp;A”) expenses of $6,488,912 for the six-month period ended December 31, 2013, increased by $574,112, or 10%, from the same six-month period in the prior fiscal year. Included in the $5,914,800 for the six-month period ended December 31, 2012 was approximately $328,000 in charges related to the 2012 proxy contest, related litigation and settlement.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Exclusive of the proxy contest, SG&amp;A increased approximately $902,000, or 15%, in the six-month period ended December 31, 2013 compared to the same six-month period a year ago. The overall increase in SG&amp;A is attributable to increases of approximately $387,000 in employee and director compensation and benefits expense; $244,000 in professional services expense; $138,000 in travel and entertainment expense; and smaller increases in other expenses totaling $133,000, net.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and expense for the six-month period ended December 31, 2013, primarily consisted of $121,381 of interest expense and $181,201 of non-cash gain for the change in the fair value of the Company’s warrant liabilities. The primary factor affecting the change in fair value is the decrease in the Black-Scholes value of the warrants from June 30, 2013 to December 31, 2013, which factored in an increase in the Company’s stock price as well as a decrease in its volatility.</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six-month period ended December 31, 2013 resulted in net income of $702,845 compared to net income of $192,897 for the six-month period ended December 31, 2012, an improvement of $509,948. After preferred dividends of $332,226 in each six-month period, net income (loss) applicable to common shares was $370,619 and $(139,329) for the six-months ended December 31, 2013 and 2012, respectively. As a result, net earnings per common share, basic and diluted, were $0.01 for the six-month period ended December 31, 2013, compared to $0.00 for the prior corresponding six-month period.</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Non-GAAP net income was $521,644, compared to non-GAAP net income of $461,399 for the six-month periods ended December 31, 2013 and 2012, respectively. Management believes that non-GAAP net income and non-GAAP net earnings per common share are important measures of USAT’s business. Management uses the aforementioned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business and facilitate comparisons of our operating results over multiple periods, and when taken together with the corresponding GAAP (United States’ Generally Accepted Accounting Principles) financial measures and our reconciliations, enhance investors’ overall understanding of our current and future financial performance.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 reconciliation of GAAP net income to Non-GAAP net income for the six-months ended December 31, 2013 and 2012 is as follows:</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702,845</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Non-GAAP adjustments: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Proxy related costs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Fair value of warrant adjustment</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(181,201)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(59,498)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521,644</w:t>
            </w: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461,399</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702,845</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Non-GAAP net income</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521,644</w:t>
            </w:r>
          </w:p>
        </w:tc>
        <w:tc>
          <w:tcPr>
            <w:tcW w:w="1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461,399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(332,226)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(332,226)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applicable to common shares</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370,619</w:t>
            </w:r>
          </w:p>
        </w:tc>
        <w:tc>
          <w:tcPr>
            <w:tcW w:w="1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(139,329)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Non-GAAP net income applicable to common shares</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189,418</w:t>
            </w:r>
          </w:p>
        </w:tc>
        <w:tc>
          <w:tcPr>
            <w:tcW w:w="1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129,173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earnings (loss) per common share - basic</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Non-GAAP net earnings per common share - basic</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33,730,590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32,626,312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diluted</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Non-GAAP net earnings per common share - diluted</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Diluted weighted average number of common shares outstanding</w:t>
            </w: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33,816,437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32,626,312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used herein, non-GAAP net income represents GAAP net income excluding costs relating to the proxy contest and any adjustment for fair value of warrant liabilities. As used herein, non-GAAP net earnings per common share is calculated by dividing non-GAAP net income applicable to common shares by the weighted average number of shares outstanding, and where diluted shares are required, adds back the preferred dividend since the conversion of the preferred shares are accounted for in the diluted share count.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0" w:name="page21"/>
    <w:bookmarkEnd w:id="20"/>
    <w:p>
      <w:pPr>
        <w:jc w:val="both"/>
        <w:spacing w:after="0" w:line="342" w:lineRule="auto"/>
        <w:rPr>
          <w:sz w:val="20"/>
          <w:szCs w:val="20"/>
          <w:color w:val="auto"/>
        </w:rPr>
      </w:pPr>
      <w:r>
        <w:rPr>
          <w:rFonts w:ascii="Arial" w:cs="Arial" w:eastAsia="Arial" w:hAnsi="Arial"/>
          <w:sz w:val="16"/>
          <w:szCs w:val="16"/>
          <w:color w:val="auto"/>
        </w:rPr>
        <w:t>For the six-month period ended December 31, 2013, the Company had Adjusted EBITDA of $3,346,006, compared to $2,483,428 for the six-month period ended December 31, 2012. Reconciliation of GAAP net income to Adjusted EBITDA for the six-months ended December 31, 2013 and 2012 is as follows: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702,845</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interest income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(18,240)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Plus interest expense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121,381</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13,823</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Plus depreciation expense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2,496,589</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Plus amortization expense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21,953</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Plus change in fair value of warrant liabilities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(181,201)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Plus stock-based compensation</w:t>
            </w:r>
          </w:p>
        </w:tc>
        <w:tc>
          <w:tcPr>
            <w:tcW w:w="16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188,856</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3,346,006</w:t>
            </w:r>
          </w:p>
        </w:tc>
        <w:tc>
          <w:tcPr>
            <w:tcW w:w="1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2,483,428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used herein, Adjusted EBITDA represents net income before interest income, interest expense, income taxes, depreciation, amortization, change in fair value of warrant liabilities and stock-based compensation expense. We have excluded the non-operating item, change in fair value of warrant liabilities, because it represents a non-cash charge that is not related to the Company’s operations. We have excluded the non-cash expense,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six-month period ended December 31, 2013, net cash provided by operating activities was $2,655,176 as a result of a net income of $702,845, non-cash charges of $2,629,649 and net cash used in the change in operating assets and liabilities of $677,318. Of the $2,629,649 of non-cash charges, the most significant during the six-month period were depreciation and amortization of assets and charges for the vesting and issuance of common stock for employee and director compensation, offset by the decrease in the fair value of warrant liabilities. The cash used in the $677,318 change in the Company’s operating assets and liabilities was primarily the result of decreases in accounts payable and accrued expenses, offset by decreases in accounts and finance receivables, inventory and other assets.</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six-month period ended December 31, 2013, the Company used $4,568,587 for investing activities of which $4,568,222 related to the purchase of equipment for the JumpStart Program, including approximately $625,000 for the change in JumpStart equipment on hand in the six-month period ended December 31, 2013. Approximately 50% of gross new connections added during the six months ended December 31, 2013 were from our JumpStart program.</w:t>
      </w:r>
    </w:p>
    <w:p>
      <w:pPr>
        <w:spacing w:after="0" w:line="17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obtained net cash of $2,587,410 through financing activities, $1,000,000 of which are net proceeds from the Line of Credit and cash proceeds of $1,812,462 from warrant exercises, offset by $177,677 for the repayment of debt and $47,375 related to the cancellation of common stock by our executive officers to satisfy income tax liability due in connection with common stock awards.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We experienced losses from inception through June 30, 2012, with net income for the year ended June 30, 2013 and net income continuing through the six-months ended December 31, 2013. Our accumulated deficit through December 31, 2013 is composed of cumulative losses amounting to approximately $197,600,000, preferred dividends converted to common stock of approximately $2,690,000, and charges incurred for the open-market purchases of preferred stock of approximately $150,000.</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continued growth in connections to our ePort Connect service that has resulted in the strong growth in recurring revenue from license and transaction fees and the substantial improvement in GP dollars, the operating activities of the business are now providing cash to fund operations of the Company.</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for the six-month period ended December 31, 2013 was $3,346,006 compared to Adjusted EBITDA of $2,483,428 for the same six-month period a year ago. The Company reports Adjusted EBITDA to reflect the liquidity of operations and a measure of operational cash flow. Adjusted EBITDA excludes significant non-cash charges such as depreciation, amortization of intangibles, fair value warrant liability changes and stock-based compensation from net income. We believe that, provided there are no material unusual or unanticipated non-operational expenses, achieving positive Adjusted EBITDA is sustainable, and will continue to increase, as our connection base increases.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six-months ended December 31, 2013, cash provided by operating activities was $1,743,352 and $2,655,176, respectively. The Company believes it will continue to generate positive cash flow from operations during the remainder of the 2014 fiscal year, and into the 2015 fiscal year, as the Company adds connections to its existing base of connections, provided there are no material unanticipated or unusual non-operational events. The largest use of cash is for ePorts purchased for use in the Company’s JumpStart Program. During the three and six-months ended December 31, 2013, the Company used cash of $2,493,247 and $4,568,222, respectively, in its JumpStart Program.</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anticipates using the JumpStart Program for approximately 55% to 60% of its anticipated gross connections in fiscal 2014 as a result of the potential growth in connections from the kiosk market, where many customers only require our Quick Connect™ Web service. The Company has efforts under way in sales, marketing, development and partnering efforts that are focused on securing connections from sources other than JumpStart, such as QuickConnect Web service, ePort Mobile and direct sales of its ePort hardware device.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four sources of cash available to fund and grow the business: (1) cash and cash equivalents on hand of approximately $6.7 million at December 31, 2013; (2) the $549,000 from warrant exercises received subsequent to December 31, 2013; (3) the anticipated cash generated from operations; and (4) $1 million available on the line of credit with Avidbank, provided we continue to satisfy the various covenants set forth in the loan agreement. Although the line of credit matures on June 21, 2014, we anticipate that we will be able to extend the maturity date of line of credit or be able to procure a new line of credit to replace the existing line of credit.</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Therefore, the Company believes its existing cash and cash equivalents and available cash resources would provide sufficient funds through at least July 1, 2014 in order to meet its cash requirements, including payment of its accrued expenses and payables, any cash resources to be utilized for the JumpStart Program, other anticipated capital expenditures, and the repayment of long-term debt.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exposure to market risks for interest rate changes is not significant. Interest rates on its long-term debt are generally fixed and its investments in cash equivalents are not significant. The Company has no exposure to market risks related to Available-for-sale securities. Market risks related to fluctuations of foreign currencies are not significant and the Company has no derivative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executive officer and principal financial officer have evaluated the Company’s disclosure controls and procedures as of December 31, 2013.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during the quarter ended December 31, 2013 in the Company’s internal controls over financial reporting that have materially affected, or are reasonably likely to materially affect,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10500" w:type="dxa"/>
            <w:vAlign w:val="bottom"/>
            <w:gridSpan w:val="2"/>
            <w:vMerge w:val="restart"/>
          </w:tcPr>
          <w:p>
            <w:pPr>
              <w:ind w:left="34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Number</w:t>
            </w:r>
          </w:p>
        </w:tc>
        <w:tc>
          <w:tcPr>
            <w:tcW w:w="105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Certifications of Chief Executive Officer pursuant to Rule 13a-14(a) under the Securities Exchange Act of 1934.</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Certifications of Chief Financial Officer pursuant to Rule 13a-14(a) under the Securities Exchange Act of 1934.</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0"/>
              </w:rPr>
              <w:t>Certification of the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351"/>
        </w:trPr>
        <w:tc>
          <w:tcPr>
            <w:tcW w:w="9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9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644525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USA TECHNOLOGIES, INC.</w:t>
            </w:r>
          </w:p>
        </w:tc>
        <w:tc>
          <w:tcPr>
            <w:tcW w:w="258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February 12, 2014</w:t>
            </w:r>
          </w:p>
        </w:tc>
        <w:tc>
          <w:tcPr>
            <w:tcW w:w="2580" w:type="dxa"/>
            <w:vAlign w:val="bottom"/>
          </w:tcPr>
          <w:p>
            <w:pPr>
              <w:spacing w:after="0"/>
              <w:rPr>
                <w:sz w:val="24"/>
                <w:szCs w:val="24"/>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258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56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c>
          <w:tcPr>
            <w:tcW w:w="2580" w:type="dxa"/>
            <w:vAlign w:val="bottom"/>
          </w:tcPr>
          <w:p>
            <w:pPr>
              <w:spacing w:after="0"/>
              <w:rPr>
                <w:sz w:val="16"/>
                <w:szCs w:val="16"/>
                <w:color w:val="auto"/>
              </w:rPr>
            </w:pP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58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February 12, 2014</w:t>
            </w:r>
          </w:p>
        </w:tc>
        <w:tc>
          <w:tcPr>
            <w:tcW w:w="2580" w:type="dxa"/>
            <w:vAlign w:val="bottom"/>
          </w:tcPr>
          <w:p>
            <w:pPr>
              <w:spacing w:after="0"/>
              <w:rPr>
                <w:sz w:val="24"/>
                <w:szCs w:val="24"/>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DeMedio</w:t>
            </w:r>
          </w:p>
        </w:tc>
        <w:tc>
          <w:tcPr>
            <w:tcW w:w="258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560" w:type="dxa"/>
            <w:vAlign w:val="bottom"/>
          </w:tcPr>
          <w:p>
            <w:pPr>
              <w:spacing w:after="0" w:line="195" w:lineRule="exact"/>
              <w:rPr>
                <w:sz w:val="20"/>
                <w:szCs w:val="20"/>
                <w:color w:val="auto"/>
              </w:rPr>
            </w:pPr>
            <w:r>
              <w:rPr>
                <w:rFonts w:ascii="Arial" w:cs="Arial" w:eastAsia="Arial" w:hAnsi="Arial"/>
                <w:sz w:val="18"/>
                <w:szCs w:val="18"/>
                <w:color w:val="auto"/>
              </w:rPr>
              <w:t>David M. DeMedio</w:t>
            </w:r>
          </w:p>
        </w:tc>
        <w:tc>
          <w:tcPr>
            <w:tcW w:w="2580" w:type="dxa"/>
            <w:vAlign w:val="bottom"/>
          </w:tcPr>
          <w:p>
            <w:pPr>
              <w:spacing w:after="0"/>
              <w:rPr>
                <w:sz w:val="16"/>
                <w:szCs w:val="16"/>
                <w:color w:val="auto"/>
              </w:rPr>
            </w:pP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580" w:type="dxa"/>
            <w:vAlign w:val="bottom"/>
          </w:tcPr>
          <w:p>
            <w:pPr>
              <w:spacing w:after="0"/>
              <w:rPr>
                <w:sz w:val="20"/>
                <w:szCs w:val="20"/>
                <w:color w:val="auto"/>
              </w:rPr>
            </w:pPr>
          </w:p>
        </w:tc>
      </w:tr>
      <w:tr>
        <w:trPr>
          <w:trHeight w:val="675"/>
        </w:trPr>
        <w:tc>
          <w:tcPr>
            <w:tcW w:w="3700" w:type="dxa"/>
            <w:vAlign w:val="bottom"/>
            <w:tcBorders>
              <w:bottom w:val="single" w:sz="8" w:color="DCDCDC"/>
            </w:tcBorders>
          </w:tcPr>
          <w:p>
            <w:pPr>
              <w:spacing w:after="0"/>
              <w:rPr>
                <w:sz w:val="24"/>
                <w:szCs w:val="24"/>
                <w:color w:val="auto"/>
              </w:rPr>
            </w:pPr>
          </w:p>
        </w:tc>
        <w:tc>
          <w:tcPr>
            <w:tcW w:w="2580" w:type="dxa"/>
            <w:vAlign w:val="bottom"/>
            <w:tcBorders>
              <w:bottom w:val="single" w:sz="8" w:color="DCDCDC"/>
            </w:tcBorders>
          </w:tcPr>
          <w:p>
            <w:pPr>
              <w:jc w:val="right"/>
              <w:ind w:right="390"/>
              <w:spacing w:after="0"/>
              <w:rPr>
                <w:sz w:val="20"/>
                <w:szCs w:val="20"/>
                <w:color w:val="auto"/>
              </w:rPr>
            </w:pPr>
            <w:r>
              <w:rPr>
                <w:rFonts w:ascii="Arial" w:cs="Arial" w:eastAsia="Arial" w:hAnsi="Arial"/>
                <w:sz w:val="18"/>
                <w:szCs w:val="18"/>
                <w:color w:val="auto"/>
              </w:rPr>
              <w:t>24</w:t>
            </w:r>
          </w:p>
        </w:tc>
        <w:tc>
          <w:tcPr>
            <w:tcW w:w="2560" w:type="dxa"/>
            <w:vAlign w:val="bottom"/>
            <w:tcBorders>
              <w:bottom w:val="single" w:sz="8" w:color="DCDCDC"/>
            </w:tcBorders>
          </w:tcPr>
          <w:p>
            <w:pPr>
              <w:spacing w:after="0"/>
              <w:rPr>
                <w:sz w:val="24"/>
                <w:szCs w:val="24"/>
                <w:color w:val="auto"/>
              </w:rPr>
            </w:pPr>
          </w:p>
        </w:tc>
        <w:tc>
          <w:tcPr>
            <w:tcW w:w="25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138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52"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February 12, 2014</w:t>
      </w:r>
      <w:r>
        <w:rPr>
          <w:sz w:val="20"/>
          <w:szCs w:val="20"/>
          <w:color w:val="auto"/>
        </w:rPr>
        <w:tab/>
      </w:r>
      <w:r>
        <w:rPr>
          <w:rFonts w:ascii="Arial" w:cs="Arial" w:eastAsia="Arial" w:hAnsi="Arial"/>
          <w:sz w:val="15"/>
          <w:szCs w:val="15"/>
          <w:color w:val="auto"/>
        </w:rPr>
        <w:t>/s/ Stephen P. Herbert</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M. DeMedio, certify that:</w:t>
      </w:r>
    </w:p>
    <w:p>
      <w:pPr>
        <w:spacing w:after="0" w:line="252"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February 12, 2014</w:t>
      </w:r>
      <w:r>
        <w:rPr>
          <w:sz w:val="20"/>
          <w:szCs w:val="20"/>
          <w:color w:val="auto"/>
        </w:rPr>
        <w:tab/>
      </w:r>
      <w:r>
        <w:rPr>
          <w:rFonts w:ascii="Arial" w:cs="Arial" w:eastAsia="Arial" w:hAnsi="Arial"/>
          <w:sz w:val="16"/>
          <w:szCs w:val="16"/>
          <w:color w:val="auto"/>
        </w:rPr>
        <w:t>/s/ David M. DeMedio</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December 31, 2013 (the “Report”), I, Stephen P. Herbert., Chief Executive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February 12, 2014</w:t>
      </w:r>
      <w:r>
        <w:rPr>
          <w:sz w:val="20"/>
          <w:szCs w:val="20"/>
          <w:color w:val="auto"/>
        </w:rPr>
        <w:tab/>
      </w:r>
      <w:r>
        <w:rPr>
          <w:rFonts w:ascii="Arial" w:cs="Arial" w:eastAsia="Arial" w:hAnsi="Arial"/>
          <w:sz w:val="15"/>
          <w:szCs w:val="15"/>
          <w:color w:val="auto"/>
        </w:rPr>
        <w:t>/s/ Stephen P. Herbert</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December 31, 2013 (the “Report”), I, David M. DeMedio, Chief Financial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February 12, 2014</w:t>
      </w:r>
      <w:r>
        <w:rPr>
          <w:sz w:val="20"/>
          <w:szCs w:val="20"/>
          <w:color w:val="auto"/>
        </w:rPr>
        <w:tab/>
      </w:r>
      <w:r>
        <w:rPr>
          <w:rFonts w:ascii="Arial" w:cs="Arial" w:eastAsia="Arial" w:hAnsi="Arial"/>
          <w:sz w:val="16"/>
          <w:szCs w:val="16"/>
          <w:color w:val="auto"/>
        </w:rPr>
        <w:t>/s/ David M. DeMedio</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endash "/>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5"/>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5"/>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2019-12-06T07:34:48Z</dcterms:created>
  <dcterms:modified xsi:type="dcterms:W3CDTF">2019-12-06T07:34:48Z</dcterms:modified>
</cp:coreProperties>
</file>