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FORM 10-Q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QUARTERLY REPORT PURSUANT TO SECTION 13 OR 15 (d) OF THE SECURITIES EXCHANGE ACT OF 1934</w:t>
            </w:r>
          </w:p>
        </w:tc>
      </w:tr>
    </w:tbl>
    <w:p>
      <w:pPr>
        <w:pStyle w:val="TextBody"/>
        <w:bidi w:val="0"/>
        <w:spacing w:lineRule="auto" w:line="288" w:before="120" w:after="283"/>
        <w:jc w:val="center"/>
        <w:rPr/>
      </w:pPr>
      <w:r>
        <w:rPr>
          <w:rFonts w:ascii="Times New Roman;serif" w:hAnsi="Times New Roman;serif"/>
          <w:b/>
          <w:color w:val="000000"/>
          <w:sz w:val="20"/>
        </w:rPr>
        <w:t>For the quarterly period ended March 31, 2026</w:t>
      </w:r>
      <w:r>
        <w:rPr>
          <w:color w:val="000000"/>
        </w:rPr>
        <w:t xml:space="preserve">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162" w:type="dxa"/>
        <w:jc w:val="left"/>
        <w:tblInd w:w="0" w:type="dxa"/>
        <w:tblLayout w:type="fixed"/>
        <w:tblCellMar>
          <w:top w:w="28" w:type="dxa"/>
          <w:left w:w="28" w:type="dxa"/>
          <w:bottom w:w="28" w:type="dxa"/>
          <w:right w:w="28" w:type="dxa"/>
        </w:tblCellMar>
      </w:tblPr>
      <w:tblGrid>
        <w:gridCol w:w="124"/>
        <w:gridCol w:w="109"/>
        <w:gridCol w:w="109"/>
        <w:gridCol w:w="2583"/>
        <w:gridCol w:w="2583"/>
        <w:gridCol w:w="36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TRANSITION REPORT PURSUANT TO SECTION 13 OR 15 (d) OF THE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_________ to _________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001-33365 </w:t>
      </w:r>
    </w:p>
    <w:p>
      <w:pPr>
        <w:pStyle w:val="TextBody"/>
        <w:bidi w:val="0"/>
        <w:spacing w:before="40" w:after="283"/>
        <w:jc w:val="center"/>
        <w:rPr/>
      </w:pPr>
      <w:r>
        <w:rPr/>
        <w:drawing>
          <wp:inline distT="0" distB="0" distL="0" distR="0">
            <wp:extent cx="19050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542925"/>
                    </a:xfrm>
                    <a:prstGeom prst="rect">
                      <a:avLst/>
                    </a:prstGeom>
                  </pic:spPr>
                </pic:pic>
              </a:graphicData>
            </a:graphic>
          </wp:inline>
        </w:drawing>
      </w:r>
      <w:bookmarkStart w:id="0" w:name="i-1"/>
      <w:bookmarkEnd w:id="0"/>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 xml:space="preserve">Cantaloupe,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w:t>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9"/>
        <w:gridCol w:w="1579"/>
        <w:gridCol w:w="1587"/>
        <w:gridCol w:w="109"/>
        <w:gridCol w:w="109"/>
        <w:gridCol w:w="109"/>
        <w:gridCol w:w="884"/>
        <w:gridCol w:w="884"/>
        <w:gridCol w:w="1261"/>
      </w:tblGrid>
      <w:tr>
        <w:trPr/>
        <w:tc>
          <w:tcPr>
            <w:tcW w:w="179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23-2679963</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6414" w:type="dxa"/>
        <w:jc w:val="left"/>
        <w:tblInd w:w="0" w:type="dxa"/>
        <w:tblLayout w:type="fixed"/>
        <w:tblCellMar>
          <w:top w:w="28" w:type="dxa"/>
          <w:left w:w="28" w:type="dxa"/>
          <w:bottom w:w="28" w:type="dxa"/>
          <w:right w:w="28" w:type="dxa"/>
        </w:tblCellMar>
      </w:tblPr>
      <w:tblGrid>
        <w:gridCol w:w="542"/>
        <w:gridCol w:w="474"/>
        <w:gridCol w:w="474"/>
        <w:gridCol w:w="474"/>
        <w:gridCol w:w="474"/>
        <w:gridCol w:w="484"/>
        <w:gridCol w:w="294"/>
        <w:gridCol w:w="294"/>
        <w:gridCol w:w="296"/>
        <w:gridCol w:w="415"/>
        <w:gridCol w:w="415"/>
        <w:gridCol w:w="416"/>
        <w:gridCol w:w="109"/>
        <w:gridCol w:w="109"/>
        <w:gridCol w:w="109"/>
        <w:gridCol w:w="303"/>
        <w:gridCol w:w="303"/>
        <w:gridCol w:w="429"/>
      </w:tblGrid>
      <w:tr>
        <w:trPr/>
        <w:tc>
          <w:tcPr>
            <w:tcW w:w="54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101 Lindenwood Drive, Suite 405</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Malvern,</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19355</w:t>
            </w:r>
          </w:p>
        </w:tc>
      </w:tr>
      <w:tr>
        <w:trPr/>
        <w:tc>
          <w:tcPr>
            <w:tcW w:w="50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(610) 989-0340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w:t>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958" w:type="dxa"/>
        <w:jc w:val="left"/>
        <w:tblInd w:w="0" w:type="dxa"/>
        <w:tblLayout w:type="fixed"/>
        <w:tblCellMar>
          <w:top w:w="28" w:type="dxa"/>
          <w:left w:w="28" w:type="dxa"/>
          <w:bottom w:w="28" w:type="dxa"/>
          <w:right w:w="28" w:type="dxa"/>
        </w:tblCellMar>
      </w:tblPr>
      <w:tblGrid>
        <w:gridCol w:w="793"/>
        <w:gridCol w:w="694"/>
        <w:gridCol w:w="703"/>
        <w:gridCol w:w="419"/>
        <w:gridCol w:w="419"/>
        <w:gridCol w:w="421"/>
        <w:gridCol w:w="1028"/>
        <w:gridCol w:w="1028"/>
        <w:gridCol w:w="1453"/>
      </w:tblGrid>
      <w:tr>
        <w:trPr/>
        <w:tc>
          <w:tcPr>
            <w:tcW w:w="7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no par value</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CTLP</w:t>
            </w:r>
          </w:p>
        </w:tc>
        <w:tc>
          <w:tcPr>
            <w:tcW w:w="3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120" w:after="283"/>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righ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is a shell company (as defined in Rule 12b-2 of the Act). Yes </w:t>
      </w:r>
      <w:r>
        <w:rPr>
          <w:color w:val="000000"/>
        </w:rPr>
        <w:t xml:space="preserve">☐ </w:t>
      </w:r>
      <w:r>
        <w:rPr>
          <w:rFonts w:ascii="Times New Roman;serif" w:hAnsi="Times New Roman;serif"/>
          <w:b w:val="false"/>
          <w:color w:val="000000"/>
          <w:sz w:val="20"/>
        </w:rPr>
        <w:t xml:space="preserve">No </w:t>
      </w:r>
      <w:r>
        <w:rPr>
          <w:color w:val="000000"/>
        </w:rPr>
        <w:t>☑</w:t>
      </w:r>
      <w:r>
        <w:rPr>
          <w:rFonts w:ascii="Arial Unicode MS;sans-serif" w:hAnsi="Arial Unicode MS;sans-serif"/>
          <w:b w:val="false"/>
          <w:color w:val="000000"/>
          <w:sz w:val="18"/>
        </w:rPr>
        <w:br/>
        <w:br/>
      </w:r>
      <w:r>
        <w:rPr>
          <w:rFonts w:ascii="Times New Roman;serif" w:hAnsi="Times New Roman;serif"/>
          <w:b w:val="false"/>
          <w:color w:val="000000"/>
          <w:sz w:val="20"/>
          <w:shd w:fill="FFFFFF" w:val="clear"/>
        </w:rPr>
        <w:t>As of May 1, 2026, there were 73,733,567 outstand</w:t>
      </w:r>
      <w:r>
        <w:rPr>
          <w:rFonts w:ascii="Times New Roman;serif" w:hAnsi="Times New Roman;serif"/>
          <w:b w:val="false"/>
          <w:color w:val="000000"/>
          <w:sz w:val="20"/>
        </w:rPr>
        <w:t>ing shares of Common Stock, no par value ("Common Stock").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260"/>
        <w:jc w:val="center"/>
        <w:rPr>
          <w:rFonts w:ascii="Times New Roman;serif" w:hAnsi="Times New Roman;serif"/>
          <w:b/>
          <w:color w:val="000000"/>
          <w:sz w:val="20"/>
        </w:rPr>
      </w:pPr>
      <w:r>
        <w:rPr>
          <w:rFonts w:ascii="Times New Roman;serif" w:hAnsi="Times New Roman;serif"/>
          <w:b/>
          <w:color w:val="000000"/>
          <w:sz w:val="20"/>
        </w:rPr>
        <w:t>Cantaloupe, Inc.</w:t>
      </w:r>
    </w:p>
    <w:p>
      <w:pPr>
        <w:pStyle w:val="TextBody"/>
        <w:bidi w:val="0"/>
        <w:spacing w:before="0" w:after="0"/>
        <w:ind w:left="0" w:right="0" w:firstLine="1260"/>
        <w:jc w:val="center"/>
        <w:rPr/>
      </w:pPr>
      <w:r>
        <w:rPr/>
      </w:r>
    </w:p>
    <w:p>
      <w:pPr>
        <w:pStyle w:val="TextBody"/>
        <w:bidi w:val="0"/>
        <w:spacing w:lineRule="auto" w:line="288" w:before="0" w:after="0"/>
        <w:ind w:left="0" w:right="0" w:firstLine="12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tbl>
      <w:tblPr>
        <w:tblW w:w="10205" w:type="dxa"/>
        <w:jc w:val="left"/>
        <w:tblInd w:w="0" w:type="dxa"/>
        <w:tblLayout w:type="fixed"/>
        <w:tblCellMar>
          <w:top w:w="28" w:type="dxa"/>
          <w:left w:w="28" w:type="dxa"/>
          <w:bottom w:w="28" w:type="dxa"/>
          <w:right w:w="28" w:type="dxa"/>
        </w:tblCellMar>
      </w:tblPr>
      <w:tblGrid>
        <w:gridCol w:w="286"/>
        <w:gridCol w:w="221"/>
        <w:gridCol w:w="221"/>
        <w:gridCol w:w="226"/>
        <w:gridCol w:w="221"/>
        <w:gridCol w:w="221"/>
        <w:gridCol w:w="2824"/>
        <w:gridCol w:w="2749"/>
        <w:gridCol w:w="2859"/>
        <w:gridCol w:w="109"/>
        <w:gridCol w:w="109"/>
        <w:gridCol w:w="159"/>
      </w:tblGrid>
      <w:tr>
        <w:trPr/>
        <w:tc>
          <w:tcPr>
            <w:tcW w:w="2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828"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366a1ab2bdc4944a7ffacbdce2e28c5_10">
              <w:r>
                <w:rPr>
                  <w:rStyle w:val="InternetLink"/>
                  <w:rFonts w:ascii="Times New Roman;serif" w:hAnsi="Times New Roman;serif"/>
                  <w:b/>
                  <w:color w:val="0000EE"/>
                  <w:sz w:val="20"/>
                  <w:u w:val="single"/>
                </w:rPr>
                <w:t>Part I - Financial Information</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66a1ab2bdc4944a7ffacbdce2e28c5_13">
              <w:r>
                <w:rPr>
                  <w:rStyle w:val="InternetLink"/>
                  <w:rFonts w:ascii="Times New Roman;serif" w:hAnsi="Times New Roman;serif"/>
                  <w:b w:val="false"/>
                  <w:color w:val="0000EE"/>
                  <w:sz w:val="20"/>
                  <w:u w:val="single"/>
                </w:rPr>
                <w:t>Item</w:t>
              </w:r>
            </w:hyperlink>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66a1ab2bdc4944a7ffacbdce2e28c5_13">
              <w:r>
                <w:rPr>
                  <w:rStyle w:val="InternetLink"/>
                  <w:rFonts w:ascii="Times New Roman;serif" w:hAnsi="Times New Roman;serif"/>
                  <w:b w:val="false"/>
                  <w:color w:val="0000FF"/>
                  <w:sz w:val="20"/>
                  <w:u w:val="single"/>
                </w:rPr>
                <w:t>1.</w:t>
              </w:r>
            </w:hyperlink>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66a1ab2bdc4944a7ffacbdce2e28c5_13">
              <w:r>
                <w:rPr>
                  <w:rStyle w:val="InternetLink"/>
                  <w:rFonts w:ascii="Times New Roman;serif" w:hAnsi="Times New Roman;serif"/>
                  <w:b w:val="false"/>
                  <w:color w:val="0000FF"/>
                  <w:sz w:val="20"/>
                  <w:u w:val="single"/>
                </w:rPr>
                <w:t>Condensed Consolidated Financial Statements</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6366a1ab2bdc4944a7ffacbdce2e28c5_16">
              <w:r>
                <w:rPr>
                  <w:rStyle w:val="InternetLink"/>
                  <w:rFonts w:ascii="Times New Roman;serif" w:hAnsi="Times New Roman;serif"/>
                  <w:b w:val="false"/>
                  <w:color w:val="000080"/>
                  <w:sz w:val="20"/>
                  <w:u w:val="single"/>
                </w:rPr>
                <w:t>Condensed Consolidated Balance Sheets - March 31, 202</w:t>
              </w:r>
            </w:hyperlink>
            <w:hyperlink w:anchor="i6366a1ab2bdc4944a7ffacbdce2e28c5_16">
              <w:r>
                <w:rPr>
                  <w:rStyle w:val="InternetLink"/>
                  <w:rFonts w:ascii="Times New Roman;serif" w:hAnsi="Times New Roman;serif"/>
                  <w:b w:val="false"/>
                  <w:color w:val="000080"/>
                  <w:sz w:val="20"/>
                  <w:u w:val="single"/>
                </w:rPr>
                <w:t>6</w:t>
              </w:r>
            </w:hyperlink>
            <w:hyperlink w:anchor="i6366a1ab2bdc4944a7ffacbdce2e28c5_16">
              <w:r>
                <w:rPr>
                  <w:rStyle w:val="InternetLink"/>
                  <w:rFonts w:ascii="Times New Roman;serif" w:hAnsi="Times New Roman;serif"/>
                  <w:b w:val="false"/>
                  <w:color w:val="000080"/>
                  <w:sz w:val="20"/>
                  <w:u w:val="single"/>
                </w:rPr>
                <w:t xml:space="preserve"> (unaudited) and June 30, 20</w:t>
              </w:r>
            </w:hyperlink>
            <w:hyperlink w:anchor="i6366a1ab2bdc4944a7ffacbdce2e28c5_16">
              <w:r>
                <w:rPr>
                  <w:rStyle w:val="InternetLink"/>
                  <w:rFonts w:ascii="Times New Roman;serif" w:hAnsi="Times New Roman;serif"/>
                  <w:b w:val="false"/>
                  <w:color w:val="000080"/>
                  <w:sz w:val="20"/>
                  <w:u w:val="single"/>
                </w:rPr>
                <w:t>25</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66a1ab2bdc4944a7ffacbdce2e28c5_16">
              <w:r>
                <w:rPr>
                  <w:rStyle w:val="InternetLink"/>
                  <w:rFonts w:ascii="Times New Roman;serif" w:hAnsi="Times New Roman;serif"/>
                  <w:b w:val="false"/>
                  <w:strike w:val="false"/>
                  <w:dstrike w:val="false"/>
                  <w:color w:val="000000"/>
                  <w:sz w:val="20"/>
                  <w:u w:val="none"/>
                  <w:effect w:val="none"/>
                </w:rPr>
                <w:t>3</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66a1ab2bdc4944a7ffacbdce2e28c5_19">
              <w:r>
                <w:rPr>
                  <w:rStyle w:val="InternetLink"/>
                  <w:rFonts w:ascii="Times New Roman;serif" w:hAnsi="Times New Roman;serif"/>
                  <w:b w:val="false"/>
                  <w:color w:val="000080"/>
                  <w:sz w:val="20"/>
                  <w:u w:val="single"/>
                </w:rPr>
                <w:t>Condensed Consolidated Statements of Operations - Three and Nine Months ended March 31, 202</w:t>
              </w:r>
            </w:hyperlink>
            <w:hyperlink w:anchor="i6366a1ab2bdc4944a7ffacbdce2e28c5_19">
              <w:r>
                <w:rPr>
                  <w:rStyle w:val="InternetLink"/>
                  <w:rFonts w:ascii="Times New Roman;serif" w:hAnsi="Times New Roman;serif"/>
                  <w:b w:val="false"/>
                  <w:color w:val="000080"/>
                  <w:sz w:val="20"/>
                  <w:u w:val="single"/>
                </w:rPr>
                <w:t>6</w:t>
              </w:r>
            </w:hyperlink>
            <w:hyperlink w:anchor="i6366a1ab2bdc4944a7ffacbdce2e28c5_19">
              <w:r>
                <w:rPr>
                  <w:rStyle w:val="InternetLink"/>
                  <w:rFonts w:ascii="Times New Roman;serif" w:hAnsi="Times New Roman;serif"/>
                  <w:b w:val="false"/>
                  <w:color w:val="000080"/>
                  <w:sz w:val="20"/>
                  <w:u w:val="single"/>
                </w:rPr>
                <w:t xml:space="preserve"> and 202</w:t>
              </w:r>
            </w:hyperlink>
            <w:hyperlink w:anchor="i6366a1ab2bdc4944a7ffacbdce2e28c5_19">
              <w:r>
                <w:rPr>
                  <w:rStyle w:val="InternetLink"/>
                  <w:rFonts w:ascii="Times New Roman;serif" w:hAnsi="Times New Roman;serif"/>
                  <w:b w:val="false"/>
                  <w:color w:val="000080"/>
                  <w:sz w:val="20"/>
                  <w:u w:val="single"/>
                </w:rPr>
                <w:t>5</w:t>
              </w:r>
            </w:hyperlink>
            <w:hyperlink w:anchor="i6366a1ab2bdc4944a7ffacbdce2e28c5_19">
              <w:r>
                <w:rPr>
                  <w:rStyle w:val="InternetLink"/>
                  <w:rFonts w:ascii="Times New Roman;serif" w:hAnsi="Times New Roman;serif"/>
                  <w:b w:val="false"/>
                  <w:color w:val="000080"/>
                  <w:sz w:val="20"/>
                  <w:u w:val="single"/>
                </w:rPr>
                <w:t xml:space="preserve"> (unaudited)</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66a1ab2bdc4944a7ffacbdce2e28c5_19">
              <w:r>
                <w:rPr>
                  <w:rStyle w:val="InternetLink"/>
                  <w:rFonts w:ascii="Times New Roman;serif" w:hAnsi="Times New Roman;serif"/>
                  <w:b w:val="false"/>
                  <w:strike w:val="false"/>
                  <w:dstrike w:val="false"/>
                  <w:color w:val="000000"/>
                  <w:sz w:val="20"/>
                  <w:u w:val="none"/>
                  <w:effect w:val="none"/>
                </w:rPr>
                <w:t>4</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66a1ab2bdc4944a7ffacbdce2e28c5_22">
              <w:r>
                <w:rPr>
                  <w:rStyle w:val="InternetLink"/>
                  <w:rFonts w:ascii="Times New Roman;serif" w:hAnsi="Times New Roman;serif"/>
                  <w:b w:val="false"/>
                  <w:color w:val="0000FF"/>
                  <w:sz w:val="20"/>
                  <w:u w:val="single"/>
                </w:rPr>
                <w:t>Condensed Consolidated Statements of Comprehensive (Loss) Income - Three and Nine Months ended March 31, 2026 and 2025 (unaudited)</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66a1ab2bdc4944a7ffacbdce2e28c5_22">
              <w:r>
                <w:rPr>
                  <w:rStyle w:val="InternetLink"/>
                  <w:rFonts w:ascii="Times New Roman;serif" w:hAnsi="Times New Roman;serif"/>
                  <w:b w:val="false"/>
                  <w:strike w:val="false"/>
                  <w:dstrike w:val="false"/>
                  <w:color w:val="000000"/>
                  <w:sz w:val="20"/>
                  <w:u w:val="none"/>
                  <w:effect w:val="none"/>
                </w:rPr>
                <w:t>5</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66a1ab2bdc4944a7ffacbdce2e28c5_25">
              <w:r>
                <w:rPr>
                  <w:rStyle w:val="InternetLink"/>
                  <w:rFonts w:ascii="Times New Roman;serif" w:hAnsi="Times New Roman;serif"/>
                  <w:b w:val="false"/>
                  <w:color w:val="000080"/>
                  <w:sz w:val="20"/>
                  <w:u w:val="single"/>
                </w:rPr>
                <w:t>Condensed Consolidated Statements of Convertible Preferred Stock and Shareholders’ Equity - Three and Nine Months ended March 31, 202</w:t>
              </w:r>
            </w:hyperlink>
            <w:hyperlink w:anchor="i6366a1ab2bdc4944a7ffacbdce2e28c5_25">
              <w:r>
                <w:rPr>
                  <w:rStyle w:val="InternetLink"/>
                  <w:rFonts w:ascii="Times New Roman;serif" w:hAnsi="Times New Roman;serif"/>
                  <w:b w:val="false"/>
                  <w:color w:val="000080"/>
                  <w:sz w:val="20"/>
                  <w:u w:val="single"/>
                </w:rPr>
                <w:t>6</w:t>
              </w:r>
            </w:hyperlink>
            <w:hyperlink w:anchor="i6366a1ab2bdc4944a7ffacbdce2e28c5_25">
              <w:r>
                <w:rPr>
                  <w:rStyle w:val="InternetLink"/>
                  <w:rFonts w:ascii="Times New Roman;serif" w:hAnsi="Times New Roman;serif"/>
                  <w:b w:val="false"/>
                  <w:color w:val="000080"/>
                  <w:sz w:val="20"/>
                  <w:u w:val="single"/>
                </w:rPr>
                <w:t xml:space="preserve"> and 202</w:t>
              </w:r>
            </w:hyperlink>
            <w:hyperlink w:anchor="i6366a1ab2bdc4944a7ffacbdce2e28c5_25">
              <w:r>
                <w:rPr>
                  <w:rStyle w:val="InternetLink"/>
                  <w:rFonts w:ascii="Times New Roman;serif" w:hAnsi="Times New Roman;serif"/>
                  <w:b w:val="false"/>
                  <w:color w:val="000080"/>
                  <w:sz w:val="20"/>
                  <w:u w:val="single"/>
                </w:rPr>
                <w:t>5</w:t>
              </w:r>
            </w:hyperlink>
            <w:hyperlink w:anchor="i6366a1ab2bdc4944a7ffacbdce2e28c5_25">
              <w:r>
                <w:rPr>
                  <w:rStyle w:val="InternetLink"/>
                  <w:rFonts w:ascii="Times New Roman;serif" w:hAnsi="Times New Roman;serif"/>
                  <w:b w:val="false"/>
                  <w:color w:val="000080"/>
                  <w:sz w:val="20"/>
                  <w:u w:val="single"/>
                </w:rPr>
                <w:t xml:space="preserve"> (unaudited)</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66a1ab2bdc4944a7ffacbdce2e28c5_25">
              <w:r>
                <w:rPr>
                  <w:rStyle w:val="InternetLink"/>
                  <w:rFonts w:ascii="Times New Roman;serif" w:hAnsi="Times New Roman;serif"/>
                  <w:b w:val="false"/>
                  <w:strike w:val="false"/>
                  <w:dstrike w:val="false"/>
                  <w:color w:val="000000"/>
                  <w:sz w:val="20"/>
                  <w:u w:val="none"/>
                  <w:effect w:val="none"/>
                </w:rPr>
                <w:t>6</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66a1ab2bdc4944a7ffacbdce2e28c5_28">
              <w:r>
                <w:rPr>
                  <w:rStyle w:val="InternetLink"/>
                  <w:rFonts w:ascii="Times New Roman;serif" w:hAnsi="Times New Roman;serif"/>
                  <w:b w:val="false"/>
                  <w:color w:val="000080"/>
                  <w:sz w:val="20"/>
                  <w:u w:val="single"/>
                </w:rPr>
                <w:t>Condensed Consolidated Statements of Cash Flows - Nine Months ended March 31, 202</w:t>
              </w:r>
            </w:hyperlink>
            <w:hyperlink w:anchor="i6366a1ab2bdc4944a7ffacbdce2e28c5_28">
              <w:r>
                <w:rPr>
                  <w:rStyle w:val="InternetLink"/>
                  <w:rFonts w:ascii="Times New Roman;serif" w:hAnsi="Times New Roman;serif"/>
                  <w:b w:val="false"/>
                  <w:color w:val="000080"/>
                  <w:sz w:val="20"/>
                  <w:u w:val="single"/>
                </w:rPr>
                <w:t>6</w:t>
              </w:r>
            </w:hyperlink>
            <w:hyperlink w:anchor="i6366a1ab2bdc4944a7ffacbdce2e28c5_28">
              <w:r>
                <w:rPr>
                  <w:rStyle w:val="InternetLink"/>
                  <w:rFonts w:ascii="Times New Roman;serif" w:hAnsi="Times New Roman;serif"/>
                  <w:b w:val="false"/>
                  <w:color w:val="000080"/>
                  <w:sz w:val="20"/>
                  <w:u w:val="single"/>
                </w:rPr>
                <w:t xml:space="preserve"> and 202</w:t>
              </w:r>
            </w:hyperlink>
            <w:hyperlink w:anchor="i6366a1ab2bdc4944a7ffacbdce2e28c5_28">
              <w:r>
                <w:rPr>
                  <w:rStyle w:val="InternetLink"/>
                  <w:rFonts w:ascii="Times New Roman;serif" w:hAnsi="Times New Roman;serif"/>
                  <w:b w:val="false"/>
                  <w:color w:val="000080"/>
                  <w:sz w:val="20"/>
                  <w:u w:val="single"/>
                </w:rPr>
                <w:t>5</w:t>
              </w:r>
            </w:hyperlink>
            <w:hyperlink w:anchor="i6366a1ab2bdc4944a7ffacbdce2e28c5_28">
              <w:r>
                <w:rPr>
                  <w:rStyle w:val="InternetLink"/>
                  <w:rFonts w:ascii="Times New Roman;serif" w:hAnsi="Times New Roman;serif"/>
                  <w:b w:val="false"/>
                  <w:color w:val="000080"/>
                  <w:sz w:val="20"/>
                  <w:u w:val="single"/>
                </w:rPr>
                <w:t xml:space="preserve"> (unaudited)</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66a1ab2bdc4944a7ffacbdce2e28c5_28">
              <w:r>
                <w:rPr>
                  <w:rStyle w:val="InternetLink"/>
                  <w:rFonts w:ascii="Times New Roman;serif" w:hAnsi="Times New Roman;serif"/>
                  <w:b w:val="false"/>
                  <w:strike w:val="false"/>
                  <w:dstrike w:val="false"/>
                  <w:color w:val="000000"/>
                  <w:sz w:val="20"/>
                  <w:u w:val="none"/>
                  <w:effect w:val="none"/>
                </w:rPr>
                <w:t>8</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66a1ab2bdc4944a7ffacbdce2e28c5_31">
              <w:r>
                <w:rPr>
                  <w:rStyle w:val="InternetLink"/>
                  <w:rFonts w:ascii="Times New Roman;serif" w:hAnsi="Times New Roman;serif"/>
                  <w:b w:val="false"/>
                  <w:color w:val="0000FF"/>
                  <w:sz w:val="20"/>
                  <w:u w:val="single"/>
                </w:rPr>
                <w:t>Notes to Condensed Consolidated Financial Statements (unaudited)</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66a1ab2bdc4944a7ffacbdce2e28c5_31">
              <w:r>
                <w:rPr>
                  <w:rStyle w:val="InternetLink"/>
                  <w:rFonts w:ascii="Times New Roman;serif" w:hAnsi="Times New Roman;serif"/>
                  <w:b w:val="false"/>
                  <w:strike w:val="false"/>
                  <w:dstrike w:val="false"/>
                  <w:color w:val="000000"/>
                  <w:sz w:val="20"/>
                  <w:u w:val="none"/>
                  <w:effect w:val="none"/>
                </w:rPr>
                <w:t>9</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66a1ab2bdc4944a7ffacbdce2e28c5_82">
              <w:r>
                <w:rPr>
                  <w:rStyle w:val="InternetLink"/>
                  <w:rFonts w:ascii="Times New Roman;serif" w:hAnsi="Times New Roman;serif"/>
                  <w:b w:val="false"/>
                  <w:color w:val="0000FF"/>
                  <w:sz w:val="20"/>
                  <w:u w:val="single"/>
                </w:rPr>
                <w:t>2.</w:t>
              </w:r>
            </w:hyperlink>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66a1ab2bdc4944a7ffacbdce2e28c5_82">
              <w:r>
                <w:rPr>
                  <w:rStyle w:val="InternetLink"/>
                  <w:rFonts w:ascii="Times New Roman;serif" w:hAnsi="Times New Roman;serif"/>
                  <w:b w:val="false"/>
                  <w:color w:val="0000EE"/>
                  <w:sz w:val="20"/>
                  <w:u w:val="single"/>
                </w:rPr>
                <w:t>Management’s Discussion and Analysis of Financial Condition and Results of Operations</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66a1ab2bdc4944a7ffacbdce2e28c5_82">
              <w:r>
                <w:rPr>
                  <w:rStyle w:val="InternetLink"/>
                  <w:rFonts w:ascii="Times New Roman;serif" w:hAnsi="Times New Roman;serif"/>
                  <w:b w:val="false"/>
                  <w:strike w:val="false"/>
                  <w:dstrike w:val="false"/>
                  <w:color w:val="000000"/>
                  <w:sz w:val="20"/>
                  <w:u w:val="none"/>
                  <w:effect w:val="none"/>
                </w:rPr>
                <w:t>25</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66a1ab2bdc4944a7ffacbdce2e28c5_100">
              <w:r>
                <w:rPr>
                  <w:rStyle w:val="InternetLink"/>
                  <w:rFonts w:ascii="Times New Roman;serif" w:hAnsi="Times New Roman;serif"/>
                  <w:b w:val="false"/>
                  <w:color w:val="0000FF"/>
                  <w:sz w:val="20"/>
                  <w:u w:val="single"/>
                </w:rPr>
                <w:t>3.</w:t>
              </w:r>
            </w:hyperlink>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66a1ab2bdc4944a7ffacbdce2e28c5_100">
              <w:r>
                <w:rPr>
                  <w:rStyle w:val="InternetLink"/>
                  <w:rFonts w:ascii="Times New Roman;serif" w:hAnsi="Times New Roman;serif"/>
                  <w:b w:val="false"/>
                  <w:color w:val="0000EE"/>
                  <w:sz w:val="20"/>
                  <w:u w:val="single"/>
                </w:rPr>
                <w:t>Quantitative and Qualitative Disclosures About Market Risk</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66a1ab2bdc4944a7ffacbdce2e28c5_100">
              <w:r>
                <w:rPr>
                  <w:rStyle w:val="InternetLink"/>
                  <w:rFonts w:ascii="Times New Roman;serif" w:hAnsi="Times New Roman;serif"/>
                  <w:b w:val="false"/>
                  <w:strike w:val="false"/>
                  <w:dstrike w:val="false"/>
                  <w:color w:val="000000"/>
                  <w:sz w:val="20"/>
                  <w:u w:val="none"/>
                  <w:effect w:val="none"/>
                </w:rPr>
                <w:t>37</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66a1ab2bdc4944a7ffacbdce2e28c5_103">
              <w:r>
                <w:rPr>
                  <w:rStyle w:val="InternetLink"/>
                  <w:rFonts w:ascii="Times New Roman;serif" w:hAnsi="Times New Roman;serif"/>
                  <w:b w:val="false"/>
                  <w:color w:val="0000FF"/>
                  <w:sz w:val="20"/>
                  <w:u w:val="single"/>
                </w:rPr>
                <w:t>4.</w:t>
              </w:r>
            </w:hyperlink>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66a1ab2bdc4944a7ffacbdce2e28c5_103">
              <w:r>
                <w:rPr>
                  <w:rStyle w:val="InternetLink"/>
                  <w:rFonts w:ascii="Times New Roman;serif" w:hAnsi="Times New Roman;serif"/>
                  <w:b w:val="false"/>
                  <w:color w:val="0000EE"/>
                  <w:sz w:val="20"/>
                  <w:u w:val="single"/>
                </w:rPr>
                <w:t>Controls and Procedures</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66a1ab2bdc4944a7ffacbdce2e28c5_103">
              <w:r>
                <w:rPr>
                  <w:rStyle w:val="InternetLink"/>
                  <w:rFonts w:ascii="Times New Roman;serif" w:hAnsi="Times New Roman;serif"/>
                  <w:b w:val="false"/>
                  <w:strike w:val="false"/>
                  <w:dstrike w:val="false"/>
                  <w:color w:val="000000"/>
                  <w:sz w:val="20"/>
                  <w:u w:val="none"/>
                  <w:effect w:val="none"/>
                </w:rPr>
                <w:t>37</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8" w:type="dxa"/>
            <w:gridSpan w:val="9"/>
            <w:tcBorders/>
            <w:tcMar>
              <w:top w:w="0" w:type="dxa"/>
              <w:left w:w="0" w:type="dxa"/>
              <w:bottom w:w="0" w:type="dxa"/>
              <w:right w:w="0" w:type="dxa"/>
            </w:tcMar>
            <w:vAlign w:val="center"/>
          </w:tcPr>
          <w:p>
            <w:pPr>
              <w:pStyle w:val="TableContents"/>
              <w:bidi w:val="0"/>
              <w:spacing w:lineRule="auto" w:line="240" w:before="0" w:after="0"/>
              <w:jc w:val="both"/>
              <w:rPr/>
            </w:pPr>
            <w:hyperlink w:anchor="i6366a1ab2bdc4944a7ffacbdce2e28c5_106">
              <w:r>
                <w:rPr>
                  <w:rStyle w:val="InternetLink"/>
                  <w:rFonts w:ascii="Times New Roman;serif" w:hAnsi="Times New Roman;serif"/>
                  <w:b/>
                  <w:color w:val="0000EE"/>
                  <w:sz w:val="20"/>
                  <w:u w:val="single"/>
                </w:rPr>
                <w:t>Part II - Other Information</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66a1ab2bdc4944a7ffacbdce2e28c5_109">
              <w:r>
                <w:rPr>
                  <w:rStyle w:val="InternetLink"/>
                  <w:rFonts w:ascii="Times New Roman;serif" w:hAnsi="Times New Roman;serif"/>
                  <w:b w:val="false"/>
                  <w:color w:val="0000EE"/>
                  <w:sz w:val="20"/>
                  <w:u w:val="single"/>
                </w:rPr>
                <w:t>Item</w:t>
              </w:r>
            </w:hyperlink>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1.</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66a1ab2bdc4944a7ffacbdce2e28c5_109">
              <w:r>
                <w:rPr>
                  <w:rStyle w:val="InternetLink"/>
                  <w:rFonts w:ascii="Times New Roman;serif" w:hAnsi="Times New Roman;serif"/>
                  <w:b w:val="false"/>
                  <w:color w:val="0000EE"/>
                  <w:sz w:val="20"/>
                  <w:u w:val="single"/>
                </w:rPr>
                <w:t>Legal Proceedings</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66a1ab2bdc4944a7ffacbdce2e28c5_109">
              <w:r>
                <w:rPr>
                  <w:rStyle w:val="InternetLink"/>
                  <w:rFonts w:ascii="Times New Roman;serif" w:hAnsi="Times New Roman;serif"/>
                  <w:b w:val="false"/>
                  <w:strike w:val="false"/>
                  <w:dstrike w:val="false"/>
                  <w:color w:val="000000"/>
                  <w:sz w:val="20"/>
                  <w:u w:val="none"/>
                  <w:effect w:val="none"/>
                </w:rPr>
                <w:t>39</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1A.</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66a1ab2bdc4944a7ffacbdce2e28c5_112">
              <w:r>
                <w:rPr>
                  <w:rStyle w:val="InternetLink"/>
                  <w:rFonts w:ascii="Times New Roman;serif" w:hAnsi="Times New Roman;serif"/>
                  <w:b w:val="false"/>
                  <w:color w:val="0000FF"/>
                  <w:sz w:val="20"/>
                  <w:u w:val="single"/>
                </w:rPr>
                <w:t>Risk Factors</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66a1ab2bdc4944a7ffacbdce2e28c5_112">
              <w:r>
                <w:rPr>
                  <w:rStyle w:val="InternetLink"/>
                  <w:rFonts w:ascii="Times New Roman;serif" w:hAnsi="Times New Roman;serif"/>
                  <w:b w:val="false"/>
                  <w:strike w:val="false"/>
                  <w:dstrike w:val="false"/>
                  <w:color w:val="000000"/>
                  <w:sz w:val="20"/>
                  <w:u w:val="none"/>
                  <w:effect w:val="none"/>
                </w:rPr>
                <w:t>39</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2.</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66a1ab2bdc4944a7ffacbdce2e28c5_115">
              <w:r>
                <w:rPr>
                  <w:rStyle w:val="InternetLink"/>
                  <w:rFonts w:ascii="Times New Roman;serif" w:hAnsi="Times New Roman;serif"/>
                  <w:b w:val="false"/>
                  <w:color w:val="0000FF"/>
                  <w:sz w:val="20"/>
                  <w:u w:val="single"/>
                </w:rPr>
                <w:t>Unregistered Sales of Equity Securities and Use of Proceeds</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66a1ab2bdc4944a7ffacbdce2e28c5_115">
              <w:r>
                <w:rPr>
                  <w:rStyle w:val="InternetLink"/>
                  <w:rFonts w:ascii="Times New Roman;serif" w:hAnsi="Times New Roman;serif"/>
                  <w:b w:val="false"/>
                  <w:strike w:val="false"/>
                  <w:dstrike w:val="false"/>
                  <w:color w:val="000000"/>
                  <w:sz w:val="20"/>
                  <w:u w:val="none"/>
                  <w:effect w:val="none"/>
                </w:rPr>
                <w:t>39</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3.</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66a1ab2bdc4944a7ffacbdce2e28c5_118">
              <w:r>
                <w:rPr>
                  <w:rStyle w:val="InternetLink"/>
                  <w:rFonts w:ascii="Times New Roman;serif" w:hAnsi="Times New Roman;serif"/>
                  <w:b w:val="false"/>
                  <w:color w:val="0000FF"/>
                  <w:sz w:val="20"/>
                  <w:u w:val="single"/>
                </w:rPr>
                <w:t>Defaults Upon Senior Securities</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66a1ab2bdc4944a7ffacbdce2e28c5_118">
              <w:r>
                <w:rPr>
                  <w:rStyle w:val="InternetLink"/>
                  <w:rFonts w:ascii="Times New Roman;serif" w:hAnsi="Times New Roman;serif"/>
                  <w:b w:val="false"/>
                  <w:strike w:val="false"/>
                  <w:dstrike w:val="false"/>
                  <w:color w:val="000000"/>
                  <w:sz w:val="20"/>
                  <w:u w:val="none"/>
                  <w:effect w:val="none"/>
                </w:rPr>
                <w:t>39</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4.</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66a1ab2bdc4944a7ffacbdce2e28c5_121">
              <w:r>
                <w:rPr>
                  <w:rStyle w:val="InternetLink"/>
                  <w:rFonts w:ascii="Times New Roman;serif" w:hAnsi="Times New Roman;serif"/>
                  <w:b w:val="false"/>
                  <w:color w:val="0000FF"/>
                  <w:sz w:val="20"/>
                  <w:u w:val="single"/>
                </w:rPr>
                <w:t>Mine Safety Disclosures</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66a1ab2bdc4944a7ffacbdce2e28c5_121">
              <w:r>
                <w:rPr>
                  <w:rStyle w:val="InternetLink"/>
                  <w:rFonts w:ascii="Times New Roman;serif" w:hAnsi="Times New Roman;serif"/>
                  <w:b w:val="false"/>
                  <w:strike w:val="false"/>
                  <w:dstrike w:val="false"/>
                  <w:color w:val="000000"/>
                  <w:sz w:val="20"/>
                  <w:u w:val="none"/>
                  <w:effect w:val="none"/>
                </w:rPr>
                <w:t>39</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5.</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66a1ab2bdc4944a7ffacbdce2e28c5_124">
              <w:r>
                <w:rPr>
                  <w:rStyle w:val="InternetLink"/>
                  <w:rFonts w:ascii="Times New Roman;serif" w:hAnsi="Times New Roman;serif"/>
                  <w:b w:val="false"/>
                  <w:color w:val="0000FF"/>
                  <w:sz w:val="20"/>
                  <w:u w:val="single"/>
                </w:rPr>
                <w:t>Other Information</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66a1ab2bdc4944a7ffacbdce2e28c5_124">
              <w:r>
                <w:rPr>
                  <w:rStyle w:val="InternetLink"/>
                  <w:rFonts w:ascii="Times New Roman;serif" w:hAnsi="Times New Roman;serif"/>
                  <w:b w:val="false"/>
                  <w:strike w:val="false"/>
                  <w:dstrike w:val="false"/>
                  <w:color w:val="000000"/>
                  <w:sz w:val="20"/>
                  <w:u w:val="none"/>
                  <w:effect w:val="none"/>
                </w:rPr>
                <w:t>39</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6.</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Exhibits</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66a1ab2bdc4944a7ffacbdce2e28c5_127">
              <w:r>
                <w:rPr>
                  <w:rStyle w:val="InternetLink"/>
                  <w:rFonts w:ascii="Times New Roman;serif" w:hAnsi="Times New Roman;serif"/>
                  <w:b w:val="false"/>
                  <w:strike w:val="false"/>
                  <w:dstrike w:val="false"/>
                  <w:color w:val="000000"/>
                  <w:sz w:val="20"/>
                  <w:u w:val="none"/>
                  <w:effect w:val="none"/>
                </w:rPr>
                <w:t>40</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66a1ab2bdc4944a7ffacbdce2e28c5_130">
              <w:r>
                <w:rPr>
                  <w:rStyle w:val="InternetLink"/>
                  <w:rFonts w:ascii="Times New Roman;serif" w:hAnsi="Times New Roman;serif"/>
                  <w:b w:val="false"/>
                  <w:color w:val="0000EE"/>
                  <w:sz w:val="20"/>
                  <w:u w:val="single"/>
                </w:rPr>
                <w:t>Signatures</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66a1ab2bdc4944a7ffacbdce2e28c5_130">
              <w:r>
                <w:rPr>
                  <w:rStyle w:val="InternetLink"/>
                  <w:rFonts w:ascii="Times New Roman;serif" w:hAnsi="Times New Roman;serif"/>
                  <w:b w:val="false"/>
                  <w:strike w:val="false"/>
                  <w:dstrike w:val="false"/>
                  <w:color w:val="000000"/>
                  <w:sz w:val="20"/>
                  <w:u w:val="none"/>
                  <w:effect w:val="none"/>
                </w:rPr>
                <w:t>41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Cantaloupe,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bl>
      <w:tblPr>
        <w:tblW w:w="10205" w:type="dxa"/>
        <w:jc w:val="left"/>
        <w:tblInd w:w="0" w:type="dxa"/>
        <w:tblLayout w:type="fixed"/>
        <w:tblCellMar>
          <w:top w:w="28" w:type="dxa"/>
          <w:left w:w="28" w:type="dxa"/>
          <w:bottom w:w="28" w:type="dxa"/>
          <w:right w:w="28" w:type="dxa"/>
        </w:tblCellMar>
      </w:tblPr>
      <w:tblGrid>
        <w:gridCol w:w="2800"/>
        <w:gridCol w:w="2180"/>
        <w:gridCol w:w="2189"/>
        <w:gridCol w:w="279"/>
        <w:gridCol w:w="1092"/>
        <w:gridCol w:w="143"/>
        <w:gridCol w:w="109"/>
        <w:gridCol w:w="109"/>
        <w:gridCol w:w="109"/>
        <w:gridCol w:w="211"/>
        <w:gridCol w:w="826"/>
        <w:gridCol w:w="158"/>
      </w:tblGrid>
      <w:tr>
        <w:trPr/>
        <w:tc>
          <w:tcPr>
            <w:tcW w:w="280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7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 except share data)</w:t>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60,413 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39,799 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receivables, net</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50,828 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171,374 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152,925 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receivables, net</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40,442 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18,971 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102,939 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217,629 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228,933 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389,003 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381,858 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convertible preferred stock, and shareholders’ equity</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57,268 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30,607 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obligations under long-term debt</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93,395 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82,396 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liabilities</w:t>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42,466 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45,711 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135,861 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128,107 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Commitments and contingencies (Note 14)</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Convertible preferred stock:</w:t>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Series A convertible preferred stock, 900,000 shares authorized, 383,782 and 385,782 issued and outstanding, with liquidation preferences of $23,860 and $23,301 at March 31, 2026 and June 30, 2025, respectively</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no par value, 640,000,000 shares authorized, 73,733,567 and 73,289,054 shares issued and outstanding at March 31, 2026 and June 30, 2025, respectively</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489,629 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486,759 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(239,073)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(235,926)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Accumulated other comprehensive income (loss)</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250,436 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251,031 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convertible preferred stock, and shareholders’ equity</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389,003 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381,858 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Cantaloupe,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23"/>
        <w:gridCol w:w="1426"/>
        <w:gridCol w:w="1428"/>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62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44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transaction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219,985 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of sales (exclusive of certain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and transaction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equipment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Merger, acquisition, and integration (benefits)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on debt and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(Loss)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applicable to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before="200" w:after="283"/>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Cantaloupe,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8891" w:type="dxa"/>
        <w:jc w:val="center"/>
        <w:tblInd w:w="0" w:type="dxa"/>
        <w:tblLayout w:type="fixed"/>
        <w:tblCellMar>
          <w:top w:w="28" w:type="dxa"/>
          <w:left w:w="28" w:type="dxa"/>
          <w:bottom w:w="28" w:type="dxa"/>
          <w:right w:w="28" w:type="dxa"/>
        </w:tblCellMar>
      </w:tblPr>
      <w:tblGrid>
        <w:gridCol w:w="1242"/>
        <w:gridCol w:w="1094"/>
        <w:gridCol w:w="1098"/>
        <w:gridCol w:w="109"/>
        <w:gridCol w:w="109"/>
        <w:gridCol w:w="109"/>
        <w:gridCol w:w="211"/>
        <w:gridCol w:w="691"/>
        <w:gridCol w:w="109"/>
        <w:gridCol w:w="109"/>
        <w:gridCol w:w="109"/>
        <w:gridCol w:w="109"/>
        <w:gridCol w:w="211"/>
        <w:gridCol w:w="721"/>
        <w:gridCol w:w="109"/>
        <w:gridCol w:w="109"/>
        <w:gridCol w:w="109"/>
        <w:gridCol w:w="109"/>
        <w:gridCol w:w="211"/>
        <w:gridCol w:w="691"/>
        <w:gridCol w:w="109"/>
        <w:gridCol w:w="109"/>
        <w:gridCol w:w="109"/>
        <w:gridCol w:w="109"/>
        <w:gridCol w:w="211"/>
        <w:gridCol w:w="721"/>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3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comprehensive (loss)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Cantaloupe,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Convertible Preferred Stock and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March 31, 2026</w:t>
      </w:r>
    </w:p>
    <w:tbl>
      <w:tblPr>
        <w:tblW w:w="12969" w:type="dxa"/>
        <w:jc w:val="center"/>
        <w:tblInd w:w="0" w:type="dxa"/>
        <w:tblLayout w:type="fixed"/>
        <w:tblCellMar>
          <w:top w:w="28" w:type="dxa"/>
          <w:left w:w="28" w:type="dxa"/>
          <w:bottom w:w="28" w:type="dxa"/>
          <w:right w:w="28" w:type="dxa"/>
        </w:tblCellMar>
      </w:tblPr>
      <w:tblGrid>
        <w:gridCol w:w="786"/>
        <w:gridCol w:w="282"/>
        <w:gridCol w:w="283"/>
        <w:gridCol w:w="109"/>
        <w:gridCol w:w="109"/>
        <w:gridCol w:w="109"/>
        <w:gridCol w:w="413"/>
        <w:gridCol w:w="413"/>
        <w:gridCol w:w="196"/>
        <w:gridCol w:w="109"/>
        <w:gridCol w:w="109"/>
        <w:gridCol w:w="109"/>
        <w:gridCol w:w="211"/>
        <w:gridCol w:w="616"/>
        <w:gridCol w:w="109"/>
        <w:gridCol w:w="109"/>
        <w:gridCol w:w="109"/>
        <w:gridCol w:w="109"/>
        <w:gridCol w:w="109"/>
        <w:gridCol w:w="109"/>
        <w:gridCol w:w="109"/>
        <w:gridCol w:w="540"/>
        <w:gridCol w:w="541"/>
        <w:gridCol w:w="196"/>
        <w:gridCol w:w="109"/>
        <w:gridCol w:w="109"/>
        <w:gridCol w:w="109"/>
        <w:gridCol w:w="211"/>
        <w:gridCol w:w="406"/>
        <w:gridCol w:w="109"/>
        <w:gridCol w:w="109"/>
        <w:gridCol w:w="109"/>
        <w:gridCol w:w="109"/>
        <w:gridCol w:w="211"/>
        <w:gridCol w:w="826"/>
        <w:gridCol w:w="109"/>
        <w:gridCol w:w="109"/>
        <w:gridCol w:w="109"/>
        <w:gridCol w:w="109"/>
        <w:gridCol w:w="211"/>
        <w:gridCol w:w="841"/>
        <w:gridCol w:w="109"/>
        <w:gridCol w:w="109"/>
        <w:gridCol w:w="109"/>
        <w:gridCol w:w="109"/>
        <w:gridCol w:w="320"/>
        <w:gridCol w:w="730"/>
        <w:gridCol w:w="166"/>
        <w:gridCol w:w="109"/>
        <w:gridCol w:w="109"/>
        <w:gridCol w:w="109"/>
        <w:gridCol w:w="211"/>
        <w:gridCol w:w="826"/>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385,782 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73,716,860 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D9D9D9"/>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D9D9D9"/>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D9D9D9"/>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D9D9D9"/>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D9D9D9"/>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D9D9D9"/>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D9D9D9"/>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D9D9D9"/>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383,782 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73,733,567 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489,629 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Three Months Ended March 31, 2025</w:t>
      </w:r>
    </w:p>
    <w:tbl>
      <w:tblPr>
        <w:tblW w:w="12969" w:type="dxa"/>
        <w:jc w:val="center"/>
        <w:tblInd w:w="0" w:type="dxa"/>
        <w:tblLayout w:type="fixed"/>
        <w:tblCellMar>
          <w:top w:w="28" w:type="dxa"/>
          <w:left w:w="28" w:type="dxa"/>
          <w:bottom w:w="28" w:type="dxa"/>
          <w:right w:w="28" w:type="dxa"/>
        </w:tblCellMar>
      </w:tblPr>
      <w:tblGrid>
        <w:gridCol w:w="786"/>
        <w:gridCol w:w="282"/>
        <w:gridCol w:w="283"/>
        <w:gridCol w:w="109"/>
        <w:gridCol w:w="109"/>
        <w:gridCol w:w="109"/>
        <w:gridCol w:w="413"/>
        <w:gridCol w:w="413"/>
        <w:gridCol w:w="196"/>
        <w:gridCol w:w="109"/>
        <w:gridCol w:w="109"/>
        <w:gridCol w:w="109"/>
        <w:gridCol w:w="211"/>
        <w:gridCol w:w="616"/>
        <w:gridCol w:w="109"/>
        <w:gridCol w:w="109"/>
        <w:gridCol w:w="109"/>
        <w:gridCol w:w="109"/>
        <w:gridCol w:w="109"/>
        <w:gridCol w:w="109"/>
        <w:gridCol w:w="109"/>
        <w:gridCol w:w="540"/>
        <w:gridCol w:w="541"/>
        <w:gridCol w:w="196"/>
        <w:gridCol w:w="109"/>
        <w:gridCol w:w="109"/>
        <w:gridCol w:w="109"/>
        <w:gridCol w:w="211"/>
        <w:gridCol w:w="406"/>
        <w:gridCol w:w="109"/>
        <w:gridCol w:w="109"/>
        <w:gridCol w:w="109"/>
        <w:gridCol w:w="109"/>
        <w:gridCol w:w="211"/>
        <w:gridCol w:w="826"/>
        <w:gridCol w:w="109"/>
        <w:gridCol w:w="109"/>
        <w:gridCol w:w="109"/>
        <w:gridCol w:w="109"/>
        <w:gridCol w:w="211"/>
        <w:gridCol w:w="841"/>
        <w:gridCol w:w="109"/>
        <w:gridCol w:w="109"/>
        <w:gridCol w:w="109"/>
        <w:gridCol w:w="109"/>
        <w:gridCol w:w="269"/>
        <w:gridCol w:w="806"/>
        <w:gridCol w:w="141"/>
        <w:gridCol w:w="109"/>
        <w:gridCol w:w="109"/>
        <w:gridCol w:w="109"/>
        <w:gridCol w:w="211"/>
        <w:gridCol w:w="826"/>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385,782 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73,034,575 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385,782 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73,040,575 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pPr>
      <w:r>
        <w:rPr>
          <w:rFonts w:ascii="Times New Roman;serif" w:hAnsi="Times New Roman;serif"/>
          <w:b w:val="false"/>
          <w:color w:val="000000"/>
          <w:sz w:val="10"/>
        </w:rPr>
        <w:t>1    </w:t>
      </w:r>
      <w:r>
        <w:rPr>
          <w:rFonts w:ascii="Times New Roman;serif" w:hAnsi="Times New Roman;serif"/>
          <w:b w:val="false"/>
          <w:color w:val="000000"/>
          <w:sz w:val="16"/>
        </w:rPr>
        <w:t>Includes shares withheld to satisfy tax withholding obligations in connection with restricted stock vesting and conversion of convertible preferred shares into common shares.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before="100" w:after="283"/>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Cantaloupe,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Convertible Preferred Stock and Shareholders’ Equity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Nine Months Ended March 31, 2026</w:t>
      </w:r>
    </w:p>
    <w:tbl>
      <w:tblPr>
        <w:tblW w:w="12969" w:type="dxa"/>
        <w:jc w:val="center"/>
        <w:tblInd w:w="0" w:type="dxa"/>
        <w:tblLayout w:type="fixed"/>
        <w:tblCellMar>
          <w:top w:w="28" w:type="dxa"/>
          <w:left w:w="28" w:type="dxa"/>
          <w:bottom w:w="28" w:type="dxa"/>
          <w:right w:w="28" w:type="dxa"/>
        </w:tblCellMar>
      </w:tblPr>
      <w:tblGrid>
        <w:gridCol w:w="786"/>
        <w:gridCol w:w="282"/>
        <w:gridCol w:w="283"/>
        <w:gridCol w:w="109"/>
        <w:gridCol w:w="109"/>
        <w:gridCol w:w="109"/>
        <w:gridCol w:w="413"/>
        <w:gridCol w:w="413"/>
        <w:gridCol w:w="196"/>
        <w:gridCol w:w="109"/>
        <w:gridCol w:w="109"/>
        <w:gridCol w:w="109"/>
        <w:gridCol w:w="211"/>
        <w:gridCol w:w="616"/>
        <w:gridCol w:w="109"/>
        <w:gridCol w:w="109"/>
        <w:gridCol w:w="109"/>
        <w:gridCol w:w="109"/>
        <w:gridCol w:w="109"/>
        <w:gridCol w:w="109"/>
        <w:gridCol w:w="109"/>
        <w:gridCol w:w="540"/>
        <w:gridCol w:w="541"/>
        <w:gridCol w:w="196"/>
        <w:gridCol w:w="109"/>
        <w:gridCol w:w="109"/>
        <w:gridCol w:w="109"/>
        <w:gridCol w:w="211"/>
        <w:gridCol w:w="406"/>
        <w:gridCol w:w="109"/>
        <w:gridCol w:w="109"/>
        <w:gridCol w:w="109"/>
        <w:gridCol w:w="109"/>
        <w:gridCol w:w="211"/>
        <w:gridCol w:w="826"/>
        <w:gridCol w:w="109"/>
        <w:gridCol w:w="109"/>
        <w:gridCol w:w="109"/>
        <w:gridCol w:w="109"/>
        <w:gridCol w:w="211"/>
        <w:gridCol w:w="841"/>
        <w:gridCol w:w="109"/>
        <w:gridCol w:w="109"/>
        <w:gridCol w:w="109"/>
        <w:gridCol w:w="109"/>
        <w:gridCol w:w="320"/>
        <w:gridCol w:w="730"/>
        <w:gridCol w:w="166"/>
        <w:gridCol w:w="109"/>
        <w:gridCol w:w="109"/>
        <w:gridCol w:w="109"/>
        <w:gridCol w:w="211"/>
        <w:gridCol w:w="826"/>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385,782 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73,289,054 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220,968 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383,782 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73,733,567 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Nine Months Ended March 31, 2025</w:t>
      </w:r>
    </w:p>
    <w:tbl>
      <w:tblPr>
        <w:tblW w:w="12969" w:type="dxa"/>
        <w:jc w:val="center"/>
        <w:tblInd w:w="0" w:type="dxa"/>
        <w:tblLayout w:type="fixed"/>
        <w:tblCellMar>
          <w:top w:w="28" w:type="dxa"/>
          <w:left w:w="28" w:type="dxa"/>
          <w:bottom w:w="28" w:type="dxa"/>
          <w:right w:w="28" w:type="dxa"/>
        </w:tblCellMar>
      </w:tblPr>
      <w:tblGrid>
        <w:gridCol w:w="786"/>
        <w:gridCol w:w="282"/>
        <w:gridCol w:w="283"/>
        <w:gridCol w:w="109"/>
        <w:gridCol w:w="109"/>
        <w:gridCol w:w="109"/>
        <w:gridCol w:w="413"/>
        <w:gridCol w:w="413"/>
        <w:gridCol w:w="196"/>
        <w:gridCol w:w="109"/>
        <w:gridCol w:w="109"/>
        <w:gridCol w:w="109"/>
        <w:gridCol w:w="211"/>
        <w:gridCol w:w="616"/>
        <w:gridCol w:w="109"/>
        <w:gridCol w:w="109"/>
        <w:gridCol w:w="109"/>
        <w:gridCol w:w="109"/>
        <w:gridCol w:w="109"/>
        <w:gridCol w:w="109"/>
        <w:gridCol w:w="109"/>
        <w:gridCol w:w="540"/>
        <w:gridCol w:w="541"/>
        <w:gridCol w:w="196"/>
        <w:gridCol w:w="109"/>
        <w:gridCol w:w="109"/>
        <w:gridCol w:w="109"/>
        <w:gridCol w:w="211"/>
        <w:gridCol w:w="406"/>
        <w:gridCol w:w="109"/>
        <w:gridCol w:w="109"/>
        <w:gridCol w:w="109"/>
        <w:gridCol w:w="109"/>
        <w:gridCol w:w="211"/>
        <w:gridCol w:w="826"/>
        <w:gridCol w:w="109"/>
        <w:gridCol w:w="109"/>
        <w:gridCol w:w="109"/>
        <w:gridCol w:w="109"/>
        <w:gridCol w:w="211"/>
        <w:gridCol w:w="841"/>
        <w:gridCol w:w="109"/>
        <w:gridCol w:w="109"/>
        <w:gridCol w:w="109"/>
        <w:gridCol w:w="109"/>
        <w:gridCol w:w="269"/>
        <w:gridCol w:w="806"/>
        <w:gridCol w:w="141"/>
        <w:gridCol w:w="109"/>
        <w:gridCol w:w="109"/>
        <w:gridCol w:w="109"/>
        <w:gridCol w:w="211"/>
        <w:gridCol w:w="826"/>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385,782 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72,935,497 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141,564 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385,782 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73,040,575 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pPr>
      <w:r>
        <w:rPr>
          <w:rFonts w:ascii="Times New Roman;serif" w:hAnsi="Times New Roman;serif"/>
          <w:b w:val="false"/>
          <w:color w:val="000000"/>
          <w:sz w:val="10"/>
        </w:rPr>
        <w:t>1    </w:t>
      </w:r>
      <w:r>
        <w:rPr>
          <w:rFonts w:ascii="Times New Roman;serif" w:hAnsi="Times New Roman;serif"/>
          <w:b w:val="false"/>
          <w:color w:val="000000"/>
          <w:sz w:val="16"/>
        </w:rPr>
        <w:t>Includes shares withheld to satisfy tax withholding obligations in connection with restricted stock vesting and conversion of convertible preferred shares into common shares.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Cantaloupe,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654" w:type="dxa"/>
        <w:jc w:val="left"/>
        <w:tblInd w:w="0" w:type="dxa"/>
        <w:tblLayout w:type="fixed"/>
        <w:tblCellMar>
          <w:top w:w="28" w:type="dxa"/>
          <w:left w:w="28" w:type="dxa"/>
          <w:bottom w:w="28" w:type="dxa"/>
          <w:right w:w="28" w:type="dxa"/>
        </w:tblCellMar>
      </w:tblPr>
      <w:tblGrid>
        <w:gridCol w:w="2603"/>
        <w:gridCol w:w="2293"/>
        <w:gridCol w:w="2304"/>
        <w:gridCol w:w="211"/>
        <w:gridCol w:w="721"/>
        <w:gridCol w:w="109"/>
        <w:gridCol w:w="109"/>
        <w:gridCol w:w="109"/>
        <w:gridCol w:w="109"/>
        <w:gridCol w:w="211"/>
        <w:gridCol w:w="721"/>
        <w:gridCol w:w="154"/>
      </w:tblGrid>
      <w:tr>
        <w:trPr/>
        <w:tc>
          <w:tcPr>
            <w:tcW w:w="2603"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7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expected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items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businesses, net of 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debt, net of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consideration on the acquisition of a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common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employee taxes related to stock-based compensation</w:t>
            </w:r>
          </w:p>
        </w:tc>
        <w:tc>
          <w:tcPr>
            <w:tcW w:w="932" w:type="dxa"/>
            <w:gridSpan w:val="2"/>
            <w:tcBorders>
              <w:left w:val="single" w:sz="8" w:space="0" w:color="D9D9D9"/>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9D9D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currency exchange rate changes on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in cash</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in 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left"/>
        <w:rPr/>
      </w:pPr>
      <w:r>
        <w:rPr/>
      </w:r>
    </w:p>
    <w:p>
      <w:pPr>
        <w:pStyle w:val="TextBody"/>
        <w:bidi w:val="0"/>
        <w:spacing w:lineRule="auto" w:line="288" w:before="40" w:after="283"/>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Cantaloupe,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1.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Cantaloupe, Inc., is organized under the laws of the Commonwealth of Pennsylvania. We are a digital payments and software services company that provides end-to-end technology solutions for self-service commerce. We offer a single platform for self-service commerce which includes integrated payments processing and software solutions that handle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Our customers range from vending machine companies to operators of micro-markets and smart retail, laundromats, metered parking terminals, amusement and entertainment venues, IoT services and more.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Cantaloupe, Inc. and its consolidated subsidiaries are referred to herein collectively as “Cantaloupe,” the “Company,” “we,” “our” or “us,” unless the context requires otherwise.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Merger with 365 Retail Markets, LLC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15, 2025, we entered into an Agreement and Plan of Merger (the “Merger Agreement”) with 365 Retail Markets, LLC (“365 Retail Markets”), Catalyst Holdco I, Inc. (“Holdco”), Catalyst Holdco II, Inc. (“Holdco II”) and Catalyst MergerSub Inc. (“Merger Sub”). Subject to the terms and conditions of the Merger Agreement, 365 Retail Markets has agreed to acquire the Company in an all-cash transaction for $11.20 per share of Common Stock, without interest (the “Merger Consideration”). Pursuant to the Merger Agreement, and subject to the terms and conditions thereof, Merger Sub will merge with and into the Company (the “Merger”), with the Company surviving the Merger as a wholly-owned, indirect subsidiary of 365 Retail Markets. Upon the consummation of the Merger, we will cease to be a publicly traded company, and our Common Stock will be delisted from The NASDAQ Stock Market LLC (“Nasdaq”) and deregistered under Section 12(b) of the Securities Exchange Act of 1934, as amended (the “Exchange Act”). We have agreed to various customary covenants and agreements, including, among others, agreements to conduct our business in the ordinary course during the period between the execution of the Merger Agreement and the effective time of the Merger. We do not believe these restrictions will prevent us from meeting our debt service obligations, ongoing costs of operations, working capital needs, or capital expenditure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respective obligations of Cantaloupe and 365 Retail Markets to consummate the Merger are subject to the satisfaction or waiver of several closing conditions specified in the Merger Agreement, including the expiration or termination of any waiting period applicable under the Hart-Scott-Rodino Antitrust Improvements Act of 1976, as amended (the “HSR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4, 2025, the Company held a special meeting of shareholders, where shareholders approved a proposal to approve and adopt the Merger Agreement, including the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17, 2025, each of Cantaloupe and 365 Retail Markets received a request for additional information and documentary material (a “Second Request”) from the U.S. Federal Trade Commission (the “FTC”) pursuant to the HSR Act in connection with the Merger. The effect of a Second Request is to extend the applicable waiting period relating to the Merger until 30 days after each of Cantaloupe and 365 Retail Markets has substantially complied with the Second Request issued to it, unless the waiting period is terminated earlier by the FTC.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1, 2026, the waiting period under the HSR Act terminated. As a result of the termination of the waiting period under the HSR Act, the parties to the Merger Agreement currently expect to complete the Merger on or about May 8, 2026, subject to the satisfaction or waiver (to the extent permitted by applicable law) of the remaining closing conditions to the Merger.</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2. SUMMARY OF SIGNIFICANT ACCOUNTING POLICIES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Basis of Presentation and Preparation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include the accounts of the Company and its wholly-owned subsidiaries. All intercompany transactions and balances have been eliminated in consolidation.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have been prepared in accordance with generally accepted accounting principles in the United States of America ("U.S. GAAP")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June 30, 2025 Annual Report on Form 10-K.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through legal entities in several countries, primarily conducting its business activities in the United States, Mexico, and the United Kingdom. The functional currencies of our foreign wholly-owned subsidiaries are the local currencies. We translate the financial statements of these subsidiaries into U.S. dollars each reporting period for purposes of consolidation.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Use of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the financial statements in conformity with U.S. GAAP requires management to make estimates, assumptions and judgments that affect the amounts reported in the Condensed Consolidated Financial Statements and accompanying notes. The Company evaluates these estimates on an ongoing basis.</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0"/>
        </w:rPr>
        <w:t xml:space="preserve">Estimates, judgments, and assumptions in these Condensed Consolidated Financial Statements include, but are not limited to, those related to revenue recognition, capitalization of internal-use software and cloud computing arrangements, fair value of acquired assets and liabilities including goodwill through purchase accounting, income taxes and sales tax reserves. See the Company’s Annual Report, </w:t>
      </w:r>
      <w:r>
        <w:rPr>
          <w:rFonts w:ascii="Times New Roman;serif" w:hAnsi="Times New Roman;serif"/>
          <w:b w:val="false"/>
          <w:i/>
          <w:color w:val="000000"/>
          <w:sz w:val="20"/>
        </w:rPr>
        <w:t>Item 7. Management's Discussion and Analysis of Financial Condition and Results of Operations, section Critical Accounting Estimates</w:t>
      </w:r>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quarter ended March 31, 2025, the Company determined that certain capitalized internal use software projects are no longer expected to provide future economic benefits as a result of changes in business strategy and evolving technology initiatives. As a result, the Company recognized additional charges of $3.0 million during the quarter ended March 31, 2025, within Depreciation and amortization in the Condensed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Reclassification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reclassifications have been made to prior year's reported amounts in order to conform to the current year presentation. These reclassifications did not impact our previously reported net income or stockholders’ equity.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 Accounting Pronouncements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ASU 2023-09, Income Taxes (Topic 740): Improvements to Income Tax Disclosures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December 2023, the FASB issued ASU 2023-09, which expands income tax disclosure requirements to include additional information related to the rate reconciliation of effective tax rates to statutory rates as well as additional disaggregation of taxes paid. The amendments in the ASU also remove disclosures related to certain unrecognized tax benefits and deferred taxes. ASU 2023-09 is effective for fiscal years beginning after December 15, 2024, which is the Company's fiscal year ended June 30, 2026. The amendments may be applied prospectively or retrospectively, and early adoption is permitted. We are currently assessing the impact of the requirements on our consolidated financial statements and disclosures.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ASU 2024-03, </w:t>
      </w:r>
      <w:r>
        <w:rPr>
          <w:rFonts w:ascii="Times New Roman;serif" w:hAnsi="Times New Roman;serif"/>
          <w:b w:val="false"/>
          <w:i/>
          <w:color w:val="000000"/>
          <w:sz w:val="20"/>
          <w:shd w:fill="FFFFFF" w:val="clear"/>
        </w:rPr>
        <w:t>Disaggregation of Income Statement Expenses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2024, the FASB issued ASU 2024-03, which requires disclosures about specific types of expenses included in the expense captions presented on the face of the income statement as well as disclosures about selling expenses. The new guidance is effective for annual reporting periods beginning after December 15, 2026, and interim periods within annual reporting periods beginning after December 15, 2027. The requirements will be applied prospectively with the option for retrospective application. The Company is currently evaluating the impact that the adoption of this accounting standard will have on its financial disclosures. The ASU introduces a practical expedient to calculating current expected credit loss by assuming that the current conditions as of the balance sheet date will not change for the remaining life of the asset. This update is effective for annual reporting periods beginning after December 15, 2025, and interim periods within those annual periods, and this update is applied prospectively. Early adoption is permitted in both interim and annual periods in which financials have not been issued. The Company is evaluating the impact the adoption of this guidance will have on its consolidated financial statements and related disclosures.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ASU 2025-06, </w:t>
      </w:r>
      <w:r>
        <w:rPr>
          <w:rFonts w:ascii="Times New Roman;serif" w:hAnsi="Times New Roman;serif"/>
          <w:b w:val="false"/>
          <w:i/>
          <w:color w:val="000000"/>
          <w:sz w:val="20"/>
          <w:shd w:fill="FFFFFF" w:val="clear"/>
        </w:rPr>
        <w:t>Intangibles—Goodwill and Other—Internal-Use Software (Subtopic 350-40): Targeted Improvements to the Accounting for Internal-Use Software</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In September 2025, the Financial Accounting Standards Board (“FASB”) issued ASU 2025-06, </w:t>
      </w:r>
      <w:r>
        <w:rPr>
          <w:rFonts w:ascii="Times New Roman;serif" w:hAnsi="Times New Roman;serif"/>
          <w:b w:val="false"/>
          <w:i/>
          <w:color w:val="000000"/>
          <w:sz w:val="20"/>
          <w:shd w:fill="FFFFFF" w:val="clear"/>
        </w:rPr>
        <w:t>Intangibles—Goodwill and Other—Internal-Use Software (Subtopic 350-40): Targeted Improvements to the Accounting for Internal-Use Software</w:t>
      </w:r>
      <w:r>
        <w:rPr>
          <w:rFonts w:ascii="Times New Roman;serif" w:hAnsi="Times New Roman;serif"/>
          <w:b w:val="false"/>
          <w:color w:val="000000"/>
          <w:sz w:val="20"/>
          <w:shd w:fill="FFFFFF" w:val="clear"/>
        </w:rPr>
        <w:t>. ASU 2025-06 modernizes accounting for internal-use software by eliminating stage-based rules in favor of a more principles-based framework, enhancing guidance for the “probable-to-complete” threshold. The standard requires all capitalized internal-use software costs to follow the disclosure rules for property and equipment rather than intangibles. The ASU is effective for annual periods starting after December 15, 2027, with early adoption permitted. The Company is evaluating the impact the adoption of this guidance will have on its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No other new accounting pronouncements, issued or effective during the nine months ended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have had or are expected to have a significant impact on the Company’s financial statements.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ACCOUNTS RECEIVABLE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Accounts receivable includes amounts due to the Company for sales of equipment and subscription fees, settlement receivables for amounts due from third-party payment processors, receivables from contract manufacturers and unbilled amounts due from customers, net of the allowance for credit losses. Accounts receivable, net of the allowance credit losses were </w:t>
      </w:r>
      <w:r>
        <w:rPr>
          <w:rFonts w:ascii="Times New Roman;serif" w:hAnsi="Times New Roman;serif"/>
          <w:b w:val="false"/>
          <w:color w:val="000000"/>
          <w:sz w:val="20"/>
          <w:shd w:fill="FFFFFF" w:val="clear"/>
        </w:rPr>
        <w:t>$39.8 million</w:t>
      </w:r>
      <w:r>
        <w:rPr>
          <w:color w:val="000000"/>
        </w:rPr>
        <w:t xml:space="preserve"> </w:t>
      </w:r>
      <w:r>
        <w:rPr>
          <w:rFonts w:ascii="Times New Roman;serif" w:hAnsi="Times New Roman;serif"/>
          <w:b w:val="false"/>
          <w:color w:val="000000"/>
          <w:sz w:val="20"/>
        </w:rPr>
        <w:t>as of March 31, 2026, and $37.9 million as of June 30, 2025. The change in accounts receivable, net of allowance for credit losses is primarily related to the timing of settlements associated with payment processors and overall cash collections.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a rollforward of the allowance for credit losses for the nine months ended March 31, 2026 and 2025:</w:t>
      </w:r>
    </w:p>
    <w:tbl>
      <w:tblPr>
        <w:tblW w:w="5540" w:type="dxa"/>
        <w:jc w:val="left"/>
        <w:tblInd w:w="0" w:type="dxa"/>
        <w:tblLayout w:type="fixed"/>
        <w:tblCellMar>
          <w:top w:w="28" w:type="dxa"/>
          <w:left w:w="28" w:type="dxa"/>
          <w:bottom w:w="28" w:type="dxa"/>
          <w:right w:w="28" w:type="dxa"/>
        </w:tblCellMar>
      </w:tblPr>
      <w:tblGrid>
        <w:gridCol w:w="997"/>
        <w:gridCol w:w="878"/>
        <w:gridCol w:w="884"/>
        <w:gridCol w:w="109"/>
        <w:gridCol w:w="109"/>
        <w:gridCol w:w="109"/>
        <w:gridCol w:w="211"/>
        <w:gridCol w:w="721"/>
        <w:gridCol w:w="109"/>
        <w:gridCol w:w="109"/>
        <w:gridCol w:w="109"/>
        <w:gridCol w:w="109"/>
        <w:gridCol w:w="211"/>
        <w:gridCol w:w="721"/>
        <w:gridCol w:w="154"/>
      </w:tblGrid>
      <w:tr>
        <w:trPr/>
        <w:tc>
          <w:tcPr>
            <w:tcW w:w="9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68" w:before="0" w:after="283"/>
              <w:ind w:left="0" w:right="0" w:firstLine="20"/>
              <w:jc w:val="center"/>
              <w:rPr>
                <w:rFonts w:ascii="Times New Roman;serif" w:hAnsi="Times New Roman;serif"/>
                <w:b/>
                <w:color w:val="000000"/>
                <w:sz w:val="16"/>
              </w:rPr>
            </w:pPr>
            <w:r>
              <w:rPr>
                <w:rFonts w:ascii="Times New Roman;serif" w:hAnsi="Times New Roman;serif"/>
                <w:b/>
                <w:color w:val="000000"/>
                <w:sz w:val="16"/>
              </w:rPr>
              <w:t>Nine months ended March 31,</w:t>
            </w:r>
          </w:p>
        </w:tc>
      </w:tr>
      <w:tr>
        <w:trPr/>
        <w:tc>
          <w:tcPr>
            <w:tcW w:w="27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ind w:left="0" w:right="0" w:firstLine="2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13,442 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and 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13,646 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and 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(3,559)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11,151 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and 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16,786 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11,986 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4. FINANCE RECEIVABLES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finance receivables consist of devices under its financing program. Substantially all of the Company’s finance receivables agreements are classified as non-cancellable sixty-month sales-type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collects lease payments from customers primarily as part of the flow of funds from our transaction processing services. Balances are considered past due if customers do not have sufficient transaction revenue to cover the monthly lease payment by the end of the monthly billing period.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At March 31, 2026, the gross lease receivable by current payment performance on a contractual basis and year of origination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511"/>
        <w:gridCol w:w="286"/>
        <w:gridCol w:w="288"/>
        <w:gridCol w:w="109"/>
        <w:gridCol w:w="109"/>
        <w:gridCol w:w="109"/>
        <w:gridCol w:w="218"/>
        <w:gridCol w:w="482"/>
        <w:gridCol w:w="112"/>
        <w:gridCol w:w="109"/>
        <w:gridCol w:w="109"/>
        <w:gridCol w:w="109"/>
        <w:gridCol w:w="222"/>
        <w:gridCol w:w="650"/>
        <w:gridCol w:w="115"/>
        <w:gridCol w:w="109"/>
        <w:gridCol w:w="109"/>
        <w:gridCol w:w="109"/>
        <w:gridCol w:w="222"/>
        <w:gridCol w:w="650"/>
        <w:gridCol w:w="115"/>
        <w:gridCol w:w="109"/>
        <w:gridCol w:w="109"/>
        <w:gridCol w:w="109"/>
        <w:gridCol w:w="222"/>
        <w:gridCol w:w="650"/>
        <w:gridCol w:w="115"/>
        <w:gridCol w:w="109"/>
        <w:gridCol w:w="109"/>
        <w:gridCol w:w="109"/>
        <w:gridCol w:w="222"/>
        <w:gridCol w:w="650"/>
        <w:gridCol w:w="115"/>
        <w:gridCol w:w="109"/>
        <w:gridCol w:w="109"/>
        <w:gridCol w:w="109"/>
        <w:gridCol w:w="219"/>
        <w:gridCol w:w="642"/>
        <w:gridCol w:w="113"/>
        <w:gridCol w:w="109"/>
        <w:gridCol w:w="109"/>
        <w:gridCol w:w="109"/>
        <w:gridCol w:w="211"/>
        <w:gridCol w:w="721"/>
        <w:gridCol w:w="165"/>
      </w:tblGrid>
      <w:tr>
        <w:trPr/>
        <w:tc>
          <w:tcPr>
            <w:tcW w:w="5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4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Leases by Origination</w:t>
            </w:r>
          </w:p>
        </w:tc>
      </w:tr>
      <w:tr>
        <w:trPr/>
        <w:tc>
          <w:tcPr>
            <w:tcW w:w="1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Up to 1 Year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Between 1 and 2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Between 2 and 3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Between 3 and 4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Between 4 and 5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More than 5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30 days and under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31 - 60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61 - 90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90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10,426 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2025, the gross lease receivable by current payment performance on a contractual basis and year of origination consisted of the following:</w:t>
      </w:r>
    </w:p>
    <w:tbl>
      <w:tblPr>
        <w:tblW w:w="10205" w:type="dxa"/>
        <w:jc w:val="left"/>
        <w:tblInd w:w="0" w:type="dxa"/>
        <w:tblLayout w:type="fixed"/>
        <w:tblCellMar>
          <w:top w:w="28" w:type="dxa"/>
          <w:left w:w="28" w:type="dxa"/>
          <w:bottom w:w="28" w:type="dxa"/>
          <w:right w:w="28" w:type="dxa"/>
        </w:tblCellMar>
      </w:tblPr>
      <w:tblGrid>
        <w:gridCol w:w="506"/>
        <w:gridCol w:w="278"/>
        <w:gridCol w:w="279"/>
        <w:gridCol w:w="109"/>
        <w:gridCol w:w="109"/>
        <w:gridCol w:w="109"/>
        <w:gridCol w:w="213"/>
        <w:gridCol w:w="623"/>
        <w:gridCol w:w="110"/>
        <w:gridCol w:w="109"/>
        <w:gridCol w:w="109"/>
        <w:gridCol w:w="109"/>
        <w:gridCol w:w="217"/>
        <w:gridCol w:w="635"/>
        <w:gridCol w:w="112"/>
        <w:gridCol w:w="109"/>
        <w:gridCol w:w="109"/>
        <w:gridCol w:w="109"/>
        <w:gridCol w:w="217"/>
        <w:gridCol w:w="635"/>
        <w:gridCol w:w="112"/>
        <w:gridCol w:w="109"/>
        <w:gridCol w:w="109"/>
        <w:gridCol w:w="109"/>
        <w:gridCol w:w="217"/>
        <w:gridCol w:w="635"/>
        <w:gridCol w:w="112"/>
        <w:gridCol w:w="109"/>
        <w:gridCol w:w="109"/>
        <w:gridCol w:w="109"/>
        <w:gridCol w:w="217"/>
        <w:gridCol w:w="635"/>
        <w:gridCol w:w="112"/>
        <w:gridCol w:w="109"/>
        <w:gridCol w:w="109"/>
        <w:gridCol w:w="109"/>
        <w:gridCol w:w="215"/>
        <w:gridCol w:w="630"/>
        <w:gridCol w:w="111"/>
        <w:gridCol w:w="109"/>
        <w:gridCol w:w="109"/>
        <w:gridCol w:w="109"/>
        <w:gridCol w:w="211"/>
        <w:gridCol w:w="721"/>
        <w:gridCol w:w="163"/>
      </w:tblGrid>
      <w:tr>
        <w:trPr/>
        <w:tc>
          <w:tcPr>
            <w:tcW w:w="50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4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Leases by Origination</w:t>
            </w:r>
          </w:p>
        </w:tc>
      </w:tr>
      <w:tr>
        <w:trPr/>
        <w:tc>
          <w:tcPr>
            <w:tcW w:w="10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Up to 1 Year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Between 1 and 2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Between 2 and 3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Between 3 and 4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Between 4 and 5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More than 5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30 days and under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31 - 60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61 - 90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90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13,573 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56" w:before="0" w:after="0"/>
        <w:jc w:val="both"/>
        <w:rPr/>
      </w:pPr>
      <w:r>
        <w:rPr>
          <w:rFonts w:ascii="Times New Roman;serif" w:hAnsi="Times New Roman;serif"/>
          <w:b w:val="false"/>
          <w:color w:val="000000"/>
          <w:sz w:val="20"/>
          <w:shd w:fill="FFFFFF" w:val="clear"/>
        </w:rPr>
        <w:t xml:space="preserve">The following table represents a rollforward of the allowance for finance receivables for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March 31, 2026 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pStyle w:val="TextBody"/>
        <w:bidi w:val="0"/>
        <w:spacing w:before="0" w:after="0"/>
        <w:jc w:val="both"/>
        <w:rPr/>
      </w:pPr>
      <w:r>
        <w:rPr/>
      </w:r>
    </w:p>
    <w:tbl>
      <w:tblPr>
        <w:tblW w:w="4570"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217"/>
        <w:gridCol w:w="634"/>
        <w:gridCol w:w="112"/>
        <w:gridCol w:w="112"/>
        <w:gridCol w:w="112"/>
        <w:gridCol w:w="112"/>
        <w:gridCol w:w="217"/>
        <w:gridCol w:w="634"/>
        <w:gridCol w:w="158"/>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March 31,</w:t>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4"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material write-offs of finance receivables for the nine months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44" w:before="0" w:after="0"/>
        <w:jc w:val="both"/>
        <w:rPr>
          <w:rFonts w:ascii="Times New Roman;serif" w:hAnsi="Times New Roman;serif"/>
          <w:b w:val="false"/>
          <w:color w:val="000000"/>
          <w:sz w:val="20"/>
        </w:rPr>
      </w:pPr>
      <w:r>
        <w:rPr>
          <w:rFonts w:ascii="Times New Roman;serif" w:hAnsi="Times New Roman;serif"/>
          <w:b w:val="false"/>
          <w:color w:val="000000"/>
          <w:sz w:val="20"/>
        </w:rPr>
        <w:t>Cash to be collected on our performing finance receivables due for each of the fiscal years is as follows:</w:t>
      </w:r>
    </w:p>
    <w:tbl>
      <w:tblPr>
        <w:tblW w:w="3696" w:type="dxa"/>
        <w:jc w:val="left"/>
        <w:tblInd w:w="0" w:type="dxa"/>
        <w:tblLayout w:type="fixed"/>
        <w:tblCellMar>
          <w:top w:w="28" w:type="dxa"/>
          <w:left w:w="28" w:type="dxa"/>
          <w:bottom w:w="28" w:type="dxa"/>
          <w:right w:w="28" w:type="dxa"/>
        </w:tblCellMar>
      </w:tblPr>
      <w:tblGrid>
        <w:gridCol w:w="982"/>
        <w:gridCol w:w="864"/>
        <w:gridCol w:w="869"/>
        <w:gridCol w:w="211"/>
        <w:gridCol w:w="616"/>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7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fiscal year 2026</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amounts to be collected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receivables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5. LEASES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Lessee Accounting</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have operating leases which are real estate leases used for corporate functions, product development, sales, and other purposes. The following table provides supplemental balance sheet information related to the Company’s operating leases:</w:t>
      </w:r>
    </w:p>
    <w:tbl>
      <w:tblPr>
        <w:tblW w:w="7593" w:type="dxa"/>
        <w:jc w:val="left"/>
        <w:tblInd w:w="0" w:type="dxa"/>
        <w:tblLayout w:type="fixed"/>
        <w:tblCellMar>
          <w:top w:w="28" w:type="dxa"/>
          <w:left w:w="28" w:type="dxa"/>
          <w:bottom w:w="28" w:type="dxa"/>
          <w:right w:w="28" w:type="dxa"/>
        </w:tblCellMar>
      </w:tblPr>
      <w:tblGrid>
        <w:gridCol w:w="662"/>
        <w:gridCol w:w="583"/>
        <w:gridCol w:w="585"/>
        <w:gridCol w:w="109"/>
        <w:gridCol w:w="109"/>
        <w:gridCol w:w="109"/>
        <w:gridCol w:w="954"/>
        <w:gridCol w:w="954"/>
        <w:gridCol w:w="957"/>
        <w:gridCol w:w="109"/>
        <w:gridCol w:w="109"/>
        <w:gridCol w:w="109"/>
        <w:gridCol w:w="211"/>
        <w:gridCol w:w="616"/>
        <w:gridCol w:w="109"/>
        <w:gridCol w:w="109"/>
        <w:gridCol w:w="109"/>
        <w:gridCol w:w="109"/>
        <w:gridCol w:w="211"/>
        <w:gridCol w:w="616"/>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Supplemental cash flow information and non-cash activity related to our leases are as follows:</w:t>
      </w:r>
    </w:p>
    <w:tbl>
      <w:tblPr>
        <w:tblW w:w="8874" w:type="dxa"/>
        <w:jc w:val="left"/>
        <w:tblInd w:w="0" w:type="dxa"/>
        <w:tblLayout w:type="fixed"/>
        <w:tblCellMar>
          <w:top w:w="28" w:type="dxa"/>
          <w:left w:w="28" w:type="dxa"/>
          <w:bottom w:w="28" w:type="dxa"/>
          <w:right w:w="28" w:type="dxa"/>
        </w:tblCellMar>
      </w:tblPr>
      <w:tblGrid>
        <w:gridCol w:w="2395"/>
        <w:gridCol w:w="2109"/>
        <w:gridCol w:w="2126"/>
        <w:gridCol w:w="211"/>
        <w:gridCol w:w="616"/>
        <w:gridCol w:w="109"/>
        <w:gridCol w:w="109"/>
        <w:gridCol w:w="109"/>
        <w:gridCol w:w="109"/>
        <w:gridCol w:w="211"/>
        <w:gridCol w:w="616"/>
        <w:gridCol w:w="154"/>
      </w:tblGrid>
      <w:tr>
        <w:trPr/>
        <w:tc>
          <w:tcPr>
            <w:tcW w:w="2395"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March 31,</w:t>
            </w:r>
          </w:p>
        </w:tc>
      </w:tr>
      <w:tr>
        <w:trPr/>
        <w:tc>
          <w:tcPr>
            <w:tcW w:w="6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activity: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lease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Maturities of lease liabilities by fiscal year for our leases as of March 31, 2026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ind w:left="0" w:right="0" w:firstLine="720"/>
        <w:jc w:val="left"/>
        <w:rPr/>
      </w:pPr>
      <w:r>
        <w:rPr/>
      </w:r>
    </w:p>
    <w:tbl>
      <w:tblPr>
        <w:tblW w:w="3666" w:type="dxa"/>
        <w:jc w:val="left"/>
        <w:tblInd w:w="0" w:type="dxa"/>
        <w:tblLayout w:type="fixed"/>
        <w:tblCellMar>
          <w:top w:w="28" w:type="dxa"/>
          <w:left w:w="28" w:type="dxa"/>
          <w:bottom w:w="28" w:type="dxa"/>
          <w:right w:w="28" w:type="dxa"/>
        </w:tblCellMar>
      </w:tblPr>
      <w:tblGrid>
        <w:gridCol w:w="971"/>
        <w:gridCol w:w="855"/>
        <w:gridCol w:w="859"/>
        <w:gridCol w:w="211"/>
        <w:gridCol w:w="61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w:t>
              <w:br/>
              <w:t>Leases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fiscal year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Lessor Accounting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and equipment used for the Cantaloupe One operating lease rental program consisted of the following:</w:t>
      </w:r>
    </w:p>
    <w:tbl>
      <w:tblPr>
        <w:tblW w:w="5046"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211"/>
        <w:gridCol w:w="721"/>
        <w:gridCol w:w="109"/>
        <w:gridCol w:w="109"/>
        <w:gridCol w:w="109"/>
        <w:gridCol w:w="109"/>
        <w:gridCol w:w="211"/>
        <w:gridCol w:w="721"/>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(26,818)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both"/>
        <w:rPr/>
      </w:pPr>
      <w:r>
        <w:rPr>
          <w:rFonts w:ascii="Times New Roman;serif" w:hAnsi="Times New Roman;serif"/>
          <w:b w:val="false"/>
          <w:color w:val="000000"/>
          <w:sz w:val="20"/>
        </w:rPr>
        <w:t>For the three months ended March 31, 2026 and 2025, the Company recognize</w:t>
      </w:r>
      <w:r>
        <w:rPr>
          <w:rFonts w:ascii="Times New Roman;serif" w:hAnsi="Times New Roman;serif"/>
          <w:b w:val="false"/>
          <w:color w:val="000000"/>
          <w:sz w:val="20"/>
          <w:shd w:fill="FFFFFF" w:val="clear"/>
        </w:rPr>
        <w:t xml:space="preserve">d $2.3 million and $2.3 million of revenue from its device rental program, respectively, which is included in the Subscription and Transaction fees on its Condensed Consolidated Statements of Operations.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For the nine months ended March 31, 2026 and 2025, the Company recognized $6.9 million and $6.8 million of revenue from its device rental program, respectively, which is included in the Subscription and Trans</w:t>
      </w:r>
      <w:r>
        <w:rPr>
          <w:rFonts w:ascii="Times New Roman;serif" w:hAnsi="Times New Roman;serif"/>
          <w:b w:val="false"/>
          <w:color w:val="000000"/>
          <w:sz w:val="20"/>
        </w:rPr>
        <w:t>action fees on its Condensed Consolidated Statements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Company’s net investment in sales-type leases (carrying value of lease receivables) and the future minimum amounts to be collected on these lease receivables as of March 31, 2026 are disclosed within </w:t>
      </w:r>
      <w:r>
        <w:rPr>
          <w:rFonts w:ascii="Times New Roman;serif" w:hAnsi="Times New Roman;serif"/>
          <w:b w:val="false"/>
          <w:i/>
          <w:color w:val="000000"/>
          <w:sz w:val="20"/>
        </w:rPr>
        <w:t>Note 4 - Finance Receivables</w:t>
      </w:r>
      <w:r>
        <w:rPr>
          <w:rFonts w:ascii="Times New Roman;serif" w:hAnsi="Times New Roman;serif"/>
          <w:b w:val="false"/>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DEBT AND OTHER FINANCING ARRANGEMENTS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debt and other financing arrangements as of March 31, 2026 and June 30, 2025 consisted of the following:</w:t>
      </w:r>
    </w:p>
    <w:tbl>
      <w:tblPr>
        <w:tblW w:w="7477" w:type="dxa"/>
        <w:jc w:val="center"/>
        <w:tblInd w:w="0" w:type="dxa"/>
        <w:tblLayout w:type="fixed"/>
        <w:tblCellMar>
          <w:top w:w="28" w:type="dxa"/>
          <w:left w:w="28" w:type="dxa"/>
          <w:bottom w:w="28" w:type="dxa"/>
          <w:right w:w="28" w:type="dxa"/>
        </w:tblCellMar>
      </w:tblPr>
      <w:tblGrid>
        <w:gridCol w:w="1578"/>
        <w:gridCol w:w="1390"/>
        <w:gridCol w:w="1396"/>
        <w:gridCol w:w="109"/>
        <w:gridCol w:w="109"/>
        <w:gridCol w:w="109"/>
        <w:gridCol w:w="258"/>
        <w:gridCol w:w="883"/>
        <w:gridCol w:w="133"/>
        <w:gridCol w:w="109"/>
        <w:gridCol w:w="109"/>
        <w:gridCol w:w="109"/>
        <w:gridCol w:w="230"/>
        <w:gridCol w:w="787"/>
        <w:gridCol w:w="168"/>
      </w:tblGrid>
      <w:tr>
        <w:trPr/>
        <w:tc>
          <w:tcPr>
            <w:tcW w:w="157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Credit Facility/2022 Amended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and other financing arrangements,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and other financing arrangements,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Details of interest expense, net on debt and tax liabilities presented on the Condensed Consolidated Statements of Operations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ind w:left="0" w:right="0" w:firstLine="720"/>
        <w:jc w:val="left"/>
        <w:rPr/>
      </w:pPr>
      <w:r>
        <w:rPr/>
      </w:r>
    </w:p>
    <w:tbl>
      <w:tblPr>
        <w:tblW w:w="9071" w:type="dxa"/>
        <w:jc w:val="center"/>
        <w:tblInd w:w="0" w:type="dxa"/>
        <w:tblLayout w:type="fixed"/>
        <w:tblCellMar>
          <w:top w:w="28" w:type="dxa"/>
          <w:left w:w="28" w:type="dxa"/>
          <w:bottom w:w="28" w:type="dxa"/>
          <w:right w:w="28" w:type="dxa"/>
        </w:tblCellMar>
      </w:tblPr>
      <w:tblGrid>
        <w:gridCol w:w="1584"/>
        <w:gridCol w:w="1394"/>
        <w:gridCol w:w="1401"/>
        <w:gridCol w:w="109"/>
        <w:gridCol w:w="109"/>
        <w:gridCol w:w="109"/>
        <w:gridCol w:w="211"/>
        <w:gridCol w:w="466"/>
        <w:gridCol w:w="109"/>
        <w:gridCol w:w="109"/>
        <w:gridCol w:w="109"/>
        <w:gridCol w:w="109"/>
        <w:gridCol w:w="211"/>
        <w:gridCol w:w="361"/>
        <w:gridCol w:w="109"/>
        <w:gridCol w:w="109"/>
        <w:gridCol w:w="109"/>
        <w:gridCol w:w="109"/>
        <w:gridCol w:w="211"/>
        <w:gridCol w:w="616"/>
        <w:gridCol w:w="109"/>
        <w:gridCol w:w="109"/>
        <w:gridCol w:w="109"/>
        <w:gridCol w:w="109"/>
        <w:gridCol w:w="211"/>
        <w:gridCol w:w="616"/>
        <w:gridCol w:w="154"/>
      </w:tblGrid>
      <w:tr>
        <w:trPr/>
        <w:tc>
          <w:tcPr>
            <w:tcW w:w="158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Credit Facility/JPMorgan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income on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 net on debt and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2025 Credit Facility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31, 2025 (the “Closing Date”), the Company entered into a second amended and restated credit agreement (the “2025 Credit Facility”) among the Company, as the borrower, certain of its subsidiaries, as guarantors, and JPMorgan Chase Bank, N.A., as a lender and the administrative agent, and Capital One, National Association as a lender.</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2025 Credit Facility provides for a $40 million secured term loan facility (the “2025 Term Loan Facility”), a $30 million secured revolving credit facility (the “2025 Revolving Facility”) and a $30 million secured delayed draw term loan facility (the “Delayed Draw Term Loan Facility”). Proceeds from the 2025 Term Loan Facility were used to repay borrowings under the Company’s 2022 Amended JPMorgan Credit Facility (described below), which had total remaining net borrowings of $37.3 million, inclusive of accrued interest on these facilities. The remaining proceeds from the 2025 Credit Facility were used to finance working capital needs and for general corporate purposes including permitted acquisitions and investments.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2025 Delayed Draw Facility is available for a period of up to 24 months following the Closing Date. The Company has not borrowed against the 2025 Revolving Facility or the Delayed Draw Term Loan Facility.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ASC 470, the Company evaluated the 2025 Credit Facility on a lender-by-lender basis. The Company accounted for the 2025 Term Loan Facility and 2025 Revolving Facility as debt modifications. As such, previously unamortized debt issuance costs will be amortized over the term of the new credit agreement. The Company paid $1.0 million in lender fees and legal expenses in connection with the execution of the 2025 Credit Facility.</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0"/>
        </w:rPr>
        <w:t>Interest on the 2025 Credit Facility is based, at the Company’s option, on a base rate or SOFR plus an applicable margin tied to the Company’s total net leverage ratio and having ranges between 1.75% and 2.50% for base rate loans and between 2.75% to 3.50% for SOFR loans. The 2025 Revolving Facility also carries an unused commitment fee tied to the Company’s total net leverage ratio between 0.25% to 0.40% per annum. In an event of default, the interest rate may be increased by 2.00%. As of March 31, 2026, the weighted average interest rate for the 2025 Credit Facility is approximatel</w:t>
      </w:r>
      <w:r>
        <w:rPr>
          <w:rFonts w:ascii="Times New Roman;serif" w:hAnsi="Times New Roman;serif"/>
          <w:b w:val="false"/>
          <w:color w:val="000000"/>
          <w:sz w:val="20"/>
          <w:shd w:fill="FFFFFF" w:val="clear"/>
        </w:rPr>
        <w:t>y 6.69%</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2025 Term Loan Facility, the 2025 Revolving Facility and the Delayed Draw Term Loan Facility all mature on January 31, 2030. Principal in respect of the 2025 Term Loan Facility is payable quarterly with 5.0% due in year one and year two, 7.5% due in year three and year 4, 10% due in year 5, and the remainder payable upon maturity. To the extent funded, principal in respect of the Delayed Draw Term Loan Facility will be payable on the same terms as the 2025 Term Loan Facility. Principal on 2025 Revolving Facility is due at maturity.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obligations under the 2025 Credit Facility is unconditionally guaranteed, jointly and severally, by the Company’s material direct and indirect wholly-owned domestic subsidiaries (the “Guarantors”). All obligations of the Company and the Guarantors under the 2025 Credit Facility are secured by first priority security interests in substantially all of the assets of the Company and the Guarantors.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2025 Credit Facility includes customary representations, warranties and covenants, and acceleration, indemnity and events of default provisions, including, among other things, two financial covenants. The first financial covenant requires the Company to maintain a total leverage ratio of not more than 3.50 to 1.00 on the last day of any fiscal quarter. However, if a material acquisition occurs, the Company is required to maintain a total leverage ratio not greater than 4.00 to 1.00 on the last day of the fiscal quarter for the next four fiscal quarters following the material acquisition. The second financial covenant does not permit the Company to have a fixed charge coverage ratio of less than 1.15 to 1.00 for four consecutive fiscal quarters. The Company was in compliance with its financial covenants for the 2025 Credit Facility as of March 31, 2026.</w:t>
      </w:r>
    </w:p>
    <w:p>
      <w:pPr>
        <w:pStyle w:val="TextBody"/>
        <w:bidi w:val="0"/>
        <w:spacing w:before="0" w:after="0"/>
        <w:jc w:val="both"/>
        <w:rPr/>
      </w:pPr>
      <w:r>
        <w:rPr/>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2022 Amended JPMorgan Credit Facility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17, 2022, the Company entered into an amended and restated credit agreement with JPMorgan Chase Bank, N.A. which provides for a $15 million secured revolving credit facility (the “2022 Amended Revolving Facility”) and a $15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secured term facility (the “2022 Amended Secured Term Facility” and together with the 2022 Amended Revolving Facility, the “2022 Amended JPMorgan Credit Facility”), and a $10 million delayed draw term facility, and fully replaced our previous 2021 credit facility with JPMorgan Chase Bank, N.A.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 2022, the Company entered into an amendment to the 2022 Amended JPMorgan Credit Facility, dated as of March 17, 2022, which, among other things, amended the definition of the Company’s EBITDA under the Credit Agreement. On December 1, 2022, the Company borrowed an additional $25 million under the 2022 Amended JPMorgan Credit Facility, including $15 million from the revolving credit facility and exercised the delayed draw term facility of $10 million increasing the 2022 Amended Secured Term Facility to $25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above, proceeds from the 2025 Term Loan Facility were used to repay borrowings under the 2022 Amended Credit JPMorgan Facility, which had total remaining net borrowings of $37.3 million, inclusive of accrued interest on the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on the 2022 Amended JPMorgan Credit Facility was based, at the Company’s option, on a base rate or SOFR plus an applicable margin tied to the Company’s total leverage ratio and having ranges of between 2.50% and 3.00% for base rate loans and between 3.50% and 4.00% for SOFR loans. Subject to the occurrence of a material acquisition and the Company’s total leverage ratio exceeding 3.00 to 1.00, the interest rate on the loans may increase by 0.25%. In an event of default, the interest rate may be increased by 2.00%. The 2022 Amended JPMorgan Credit Facility also carried a commitment fee of 0.50% per annum on the unused portion.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Expected Maturities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expected maturities for each fiscal year associated with the Company’s outstanding debt and other financing arrangements as of March 31, 2026, were as follows:</w:t>
      </w:r>
    </w:p>
    <w:p>
      <w:pPr>
        <w:pStyle w:val="TextBody"/>
        <w:bidi w:val="0"/>
        <w:spacing w:before="0" w:after="0"/>
        <w:jc w:val="both"/>
        <w:rPr/>
      </w:pPr>
      <w:r>
        <w:rPr/>
      </w:r>
    </w:p>
    <w:tbl>
      <w:tblPr>
        <w:tblW w:w="3636" w:type="dxa"/>
        <w:jc w:val="center"/>
        <w:tblInd w:w="0" w:type="dxa"/>
        <w:tblLayout w:type="fixed"/>
        <w:tblCellMar>
          <w:top w:w="28" w:type="dxa"/>
          <w:left w:w="28" w:type="dxa"/>
          <w:bottom w:w="28" w:type="dxa"/>
          <w:right w:w="28" w:type="dxa"/>
        </w:tblCellMar>
      </w:tblPr>
      <w:tblGrid>
        <w:gridCol w:w="922"/>
        <w:gridCol w:w="812"/>
        <w:gridCol w:w="816"/>
        <w:gridCol w:w="211"/>
        <w:gridCol w:w="721"/>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fiscal year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amounts payable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outstanding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7. ACCRUED EXPENSES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 as of March 31, 2026 and June 30, 2025:</w:t>
      </w:r>
    </w:p>
    <w:tbl>
      <w:tblPr>
        <w:tblW w:w="7568" w:type="dxa"/>
        <w:jc w:val="left"/>
        <w:tblInd w:w="0" w:type="dxa"/>
        <w:tblLayout w:type="fixed"/>
        <w:tblCellMar>
          <w:top w:w="28" w:type="dxa"/>
          <w:left w:w="28" w:type="dxa"/>
          <w:bottom w:w="28" w:type="dxa"/>
          <w:right w:w="28" w:type="dxa"/>
        </w:tblCellMar>
      </w:tblPr>
      <w:tblGrid>
        <w:gridCol w:w="1611"/>
        <w:gridCol w:w="1419"/>
        <w:gridCol w:w="1425"/>
        <w:gridCol w:w="109"/>
        <w:gridCol w:w="109"/>
        <w:gridCol w:w="109"/>
        <w:gridCol w:w="258"/>
        <w:gridCol w:w="883"/>
        <w:gridCol w:w="133"/>
        <w:gridCol w:w="109"/>
        <w:gridCol w:w="109"/>
        <w:gridCol w:w="109"/>
        <w:gridCol w:w="230"/>
        <w:gridCol w:w="787"/>
        <w:gridCol w:w="168"/>
      </w:tblGrid>
      <w:tr>
        <w:trPr/>
        <w:tc>
          <w:tcPr>
            <w:tcW w:w="161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related sales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Consideration withheld for acquisitions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19,748 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556" w:before="100" w:after="283"/>
        <w:jc w:val="both"/>
        <w:rPr/>
      </w:pPr>
      <w:r>
        <w:rPr>
          <w:rFonts w:ascii="Times New Roman;serif" w:hAnsi="Times New Roman;serif"/>
          <w:b w:val="false"/>
          <w:i/>
          <w:color w:val="000000"/>
          <w:sz w:val="18"/>
        </w:rPr>
        <w:t xml:space="preserve">* </w:t>
      </w:r>
      <w:r>
        <w:rPr>
          <w:rFonts w:ascii="Times New Roman;serif" w:hAnsi="Times New Roman;serif"/>
          <w:b w:val="false"/>
          <w:color w:val="000000"/>
          <w:sz w:val="18"/>
        </w:rPr>
        <w:t>See</w:t>
      </w:r>
      <w:r>
        <w:rPr>
          <w:color w:val="000000"/>
        </w:rPr>
        <w:t xml:space="preserve"> </w:t>
      </w:r>
      <w:r>
        <w:rPr>
          <w:rFonts w:ascii="Times New Roman;serif" w:hAnsi="Times New Roman;serif"/>
          <w:b w:val="false"/>
          <w:i/>
          <w:color w:val="000000"/>
          <w:sz w:val="18"/>
        </w:rPr>
        <w:t>Note 9 - Acquisitions</w:t>
      </w:r>
      <w:r>
        <w:rPr>
          <w:color w:val="000000"/>
        </w:rPr>
        <w:t xml:space="preserve"> </w:t>
      </w:r>
      <w:r>
        <w:rPr>
          <w:rFonts w:ascii="Times New Roman;serif" w:hAnsi="Times New Roman;serif"/>
          <w:b w:val="false"/>
          <w:color w:val="000000"/>
          <w:sz w:val="18"/>
        </w:rPr>
        <w:t>for a description of the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GOODWILL AND INTANGIBLES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Intangible asset balances and goodwill consisted of the following:</w:t>
      </w:r>
    </w:p>
    <w:tbl>
      <w:tblPr>
        <w:tblW w:w="10205" w:type="dxa"/>
        <w:jc w:val="left"/>
        <w:tblInd w:w="0" w:type="dxa"/>
        <w:tblLayout w:type="fixed"/>
        <w:tblCellMar>
          <w:top w:w="28" w:type="dxa"/>
          <w:left w:w="28" w:type="dxa"/>
          <w:bottom w:w="28" w:type="dxa"/>
          <w:right w:w="28" w:type="dxa"/>
        </w:tblCellMar>
      </w:tblPr>
      <w:tblGrid>
        <w:gridCol w:w="704"/>
        <w:gridCol w:w="566"/>
        <w:gridCol w:w="568"/>
        <w:gridCol w:w="211"/>
        <w:gridCol w:w="826"/>
        <w:gridCol w:w="109"/>
        <w:gridCol w:w="109"/>
        <w:gridCol w:w="109"/>
        <w:gridCol w:w="109"/>
        <w:gridCol w:w="357"/>
        <w:gridCol w:w="1342"/>
        <w:gridCol w:w="184"/>
        <w:gridCol w:w="109"/>
        <w:gridCol w:w="109"/>
        <w:gridCol w:w="109"/>
        <w:gridCol w:w="211"/>
        <w:gridCol w:w="826"/>
        <w:gridCol w:w="109"/>
        <w:gridCol w:w="109"/>
        <w:gridCol w:w="109"/>
        <w:gridCol w:w="109"/>
        <w:gridCol w:w="939"/>
        <w:gridCol w:w="936"/>
        <w:gridCol w:w="1336"/>
      </w:tblGrid>
      <w:tr>
        <w:trPr/>
        <w:tc>
          <w:tcPr>
            <w:tcW w:w="70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Useful Life (Years)</w:t>
            </w:r>
          </w:p>
        </w:tc>
      </w:tr>
      <w:tr>
        <w:trPr/>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 and trade names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(34,031)</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Indefinite</w:t>
            </w:r>
          </w:p>
        </w:tc>
      </w:tr>
    </w:tbl>
    <w:tbl>
      <w:tblPr>
        <w:tblW w:w="10205" w:type="dxa"/>
        <w:jc w:val="left"/>
        <w:tblInd w:w="0" w:type="dxa"/>
        <w:tblLayout w:type="fixed"/>
        <w:tblCellMar>
          <w:top w:w="28" w:type="dxa"/>
          <w:left w:w="28" w:type="dxa"/>
          <w:bottom w:w="28" w:type="dxa"/>
          <w:right w:w="28" w:type="dxa"/>
        </w:tblCellMar>
      </w:tblPr>
      <w:tblGrid>
        <w:gridCol w:w="720"/>
        <w:gridCol w:w="631"/>
        <w:gridCol w:w="633"/>
        <w:gridCol w:w="211"/>
        <w:gridCol w:w="826"/>
        <w:gridCol w:w="109"/>
        <w:gridCol w:w="109"/>
        <w:gridCol w:w="109"/>
        <w:gridCol w:w="109"/>
        <w:gridCol w:w="388"/>
        <w:gridCol w:w="1468"/>
        <w:gridCol w:w="200"/>
        <w:gridCol w:w="109"/>
        <w:gridCol w:w="109"/>
        <w:gridCol w:w="109"/>
        <w:gridCol w:w="211"/>
        <w:gridCol w:w="826"/>
        <w:gridCol w:w="109"/>
        <w:gridCol w:w="109"/>
        <w:gridCol w:w="109"/>
        <w:gridCol w:w="109"/>
        <w:gridCol w:w="845"/>
        <w:gridCol w:w="844"/>
        <w:gridCol w:w="1203"/>
      </w:tblGrid>
      <w:tr>
        <w:trPr/>
        <w:tc>
          <w:tcPr>
            <w:tcW w:w="72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r>
      <w:tr>
        <w:trPr/>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Useful Life (Years)</w:t>
            </w:r>
          </w:p>
        </w:tc>
      </w:tr>
      <w:tr>
        <w:trPr/>
        <w:tc>
          <w:tcPr>
            <w:tcW w:w="1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 and trade names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(29,791)</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Indefinite</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During the three and nine months ended March 31, 2026, the Company recogniz</w:t>
      </w:r>
      <w:r>
        <w:rPr>
          <w:rFonts w:ascii="Times New Roman;serif" w:hAnsi="Times New Roman;serif"/>
          <w:b w:val="false"/>
          <w:color w:val="000000"/>
          <w:sz w:val="20"/>
          <w:shd w:fill="FFFFFF" w:val="clear"/>
        </w:rPr>
        <w:t>ed $1.4 million and $4.3 million, re</w:t>
      </w:r>
      <w:r>
        <w:rPr>
          <w:rFonts w:ascii="Times New Roman;serif" w:hAnsi="Times New Roman;serif"/>
          <w:b w:val="false"/>
          <w:color w:val="000000"/>
          <w:sz w:val="20"/>
        </w:rPr>
        <w:t xml:space="preserve">spectively, in amortization expense related to intangible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March 31, 2025, the Company recognized $1.6 million and $4.4 million, respectively, in amortization expense related to intangible assets.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performs an annual goodwill impairment test during the fourth quarter and more frequently if events and circumstances indicate that the asset might be impaired. The Company has determined that there is one single reporting unit for purposes of testing goodwill for impairment. During the nine months ended March 31, 2026 and March 31, 2025, the Company did not recognize any impairment charges related to goodwill.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9. ACQUISITIONS </w:t>
      </w:r>
    </w:p>
    <w:p>
      <w:pPr>
        <w:pStyle w:val="TextBody"/>
        <w:bidi w:val="0"/>
        <w:spacing w:lineRule="auto" w:line="276"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SB Software</w:t>
      </w:r>
    </w:p>
    <w:p>
      <w:pPr>
        <w:pStyle w:val="TextBody"/>
        <w:bidi w:val="0"/>
        <w:spacing w:before="240" w:after="283"/>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5, 2024, the Company acquired all of the equity interests of SB Software Limited (“SB Software”), a United Kingdom private limited company. SB Software is in the business of vending and coffee machine management in the United Kingdom. The acquisition enhances Cantaloupe’s operational capabilities and market reach in Europe.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 SB Software, the Company paid a purchase price of approximately $11.4 million which includes cash paid of $10.0 million and the estimated fair value of contingent consideration of $1.4 million. The acquisition was funded by the Company’s cash on hand.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$1.4 million fair value of the contingent consideration represented the present value of up to $3.3 million in contingent consideration based on a Monte Carlo simulation as of the acquisition date should SB Software achieve certain revenue growth targets over a three-year period as defined in the share purchase agreement. During the nine months ended March 31, 2026, the company paid $0.9 million in deferred cash consideration, based on SB Software's revenue growth for the first 12 months following the closing date. Should the second and third year targets be achieved, approximately $1.0 million, denominated in British Pounds, will be payable after both September 2026 and September 2027. Additionally, the Company may choose to pay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contingent consideration in either cash or Common Stock valued based on the average stock price for the 10 trading days preceding the release of these shares.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During nine months ended March 31, 2026, </w:t>
      </w:r>
      <w:r>
        <w:rPr>
          <w:rFonts w:ascii="Times New Roman;serif" w:hAnsi="Times New Roman;serif"/>
          <w:b w:val="false"/>
          <w:color w:val="000000"/>
          <w:sz w:val="20"/>
        </w:rPr>
        <w:t xml:space="preserve">the Company recognized a $0.8 million loss due to the increase in the fair value of the contingent consideration which was included in Integration, acquisition, due diligence, license application expenses on the Condensed Consolidated Statement of Operations. During the previous year, the Company recognized a $0.6 million gain related to the adjusted fair value of contingent consideration.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 xml:space="preserve">March 31, 2026, </w:t>
      </w:r>
      <w:r>
        <w:rPr>
          <w:rFonts w:ascii="Times New Roman;serif" w:hAnsi="Times New Roman;serif"/>
          <w:b w:val="false"/>
          <w:color w:val="000000"/>
          <w:sz w:val="20"/>
          <w:shd w:fill="FFFFFF" w:val="clear"/>
        </w:rPr>
        <w:t>the fair value current and noncurrent portions of the fair value of the conti</w:t>
      </w:r>
      <w:r>
        <w:rPr>
          <w:rFonts w:ascii="Times New Roman;serif" w:hAnsi="Times New Roman;serif"/>
          <w:b w:val="false"/>
          <w:color w:val="000000"/>
          <w:sz w:val="20"/>
        </w:rPr>
        <w:t xml:space="preserve">ngent consideration of $0.3 million and $0.4 million are included in Accrued expenses and Other noncurrent liabilities on the Condensed Consolidated Balance Sheet, respectively.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estimated fair value assigned to the assets acquired and liabilities assumed:</w:t>
      </w:r>
    </w:p>
    <w:p>
      <w:pPr>
        <w:pStyle w:val="TextBody"/>
        <w:bidi w:val="0"/>
        <w:spacing w:before="0" w:after="0"/>
        <w:jc w:val="both"/>
        <w:rPr/>
      </w:pPr>
      <w:r>
        <w:rPr/>
      </w:r>
    </w:p>
    <w:tbl>
      <w:tblPr>
        <w:tblW w:w="4776" w:type="dxa"/>
        <w:jc w:val="left"/>
        <w:tblInd w:w="0" w:type="dxa"/>
        <w:tblLayout w:type="fixed"/>
        <w:tblCellMar>
          <w:top w:w="28" w:type="dxa"/>
          <w:left w:w="28" w:type="dxa"/>
          <w:bottom w:w="28" w:type="dxa"/>
          <w:right w:w="28" w:type="dxa"/>
        </w:tblCellMar>
      </w:tblPr>
      <w:tblGrid>
        <w:gridCol w:w="1334"/>
        <w:gridCol w:w="1175"/>
        <w:gridCol w:w="1181"/>
        <w:gridCol w:w="211"/>
        <w:gridCol w:w="721"/>
        <w:gridCol w:w="154"/>
      </w:tblGrid>
      <w:tr>
        <w:trPr/>
        <w:tc>
          <w:tcPr>
            <w:tcW w:w="133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Amount</w:t>
            </w:r>
          </w:p>
        </w:tc>
      </w:tr>
      <w:tr>
        <w:trPr/>
        <w:tc>
          <w:tcPr>
            <w:tcW w:w="3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assets acquired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total considerations transferred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the estimated fair value of the identifiable intangible assets acquired with the assistance of third-party valuation consultants. Amounts allocated to identifiable intangible assets included $3.0 million related to developed technology, $0.2 million related to customer relationships, and $0.1 million related to trade names. The estimated fair value of the acquired developed technology was determined using a multi-period excess earnings method. The estimated fair value of the acquired customer relationships was determined using the distributor method which estimates the value using the cash flow impact in a scenario where the customer relationships are not in place. The estimated fair value of the acquired trade names was determined using the relief from royalty method which estimates the value using the discounted value of the royalties that a company would pay to license the trade name. The recognized intangible assets will be amortized on a straight-line basis over the estimated useful lives of the respective assets. The estimated useful lives for developed technology, customer relationship and trade names were 5, 3 and 3 years, respectively.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of $7.8 million arising from the acquisition includes the expected synergies between SB Software and the Company. Goodwill, which is not deductible for income tax purposes, was assigned to the Company’s only reporting unit.</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above table represents the final allocation of the purchase price. Pro forma financial information of the acquisition and revenue and net income since acquisition are not presented due to the immaterial impact of the financial results of SB Software in the Company’s Consolidated Financial Statements.</w:t>
      </w:r>
    </w:p>
    <w:p>
      <w:pPr>
        <w:pStyle w:val="TextBody"/>
        <w:bidi w:val="0"/>
        <w:spacing w:lineRule="auto" w:line="276"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Cheq</w:t>
      </w:r>
    </w:p>
    <w:p>
      <w:pPr>
        <w:pStyle w:val="TextBody"/>
        <w:bidi w:val="0"/>
        <w:spacing w:before="240" w:after="283"/>
        <w:jc w:val="both"/>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On February 1, 2024, the Company acquired all of the equity interests of Cheq. This investment positioned the Company for expansion into the sports, entertainment, and restaurant sectors with a comprehensive suite of self-service solutions. Cheq was acquired for</w:t>
      </w:r>
      <w:r>
        <w:rPr>
          <w:color w:val="000000"/>
        </w:rPr>
        <w:t xml:space="preserve"> </w:t>
      </w:r>
      <w:r>
        <w:rPr>
          <w:rFonts w:ascii="Times New Roman;serif" w:hAnsi="Times New Roman;serif"/>
          <w:b w:val="false"/>
          <w:color w:val="000000"/>
          <w:sz w:val="20"/>
        </w:rPr>
        <w:t xml:space="preserve">$4.5 million, including $1.1 million in accounts payable paid concurrently with the acquisition. The acquisition was funded by the Company’s cash on hand. The original terms included $0.9 million in deferred cash consideration for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working capital and other post-closing adjustments. In third quarter fiscal year 2025, the Company paid $0.7 million in deferred cash consideration, which was net of $0.2 million in other liabilities recognized as a measurement period adjustment.</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adjusted fair value assigned to the assets acquired and liabilities assumed:</w:t>
      </w:r>
    </w:p>
    <w:p>
      <w:pPr>
        <w:pStyle w:val="TextBody"/>
        <w:bidi w:val="0"/>
        <w:spacing w:before="0" w:after="0"/>
        <w:jc w:val="both"/>
        <w:rPr/>
      </w:pPr>
      <w:r>
        <w:rPr/>
      </w:r>
    </w:p>
    <w:tbl>
      <w:tblPr>
        <w:tblW w:w="4671" w:type="dxa"/>
        <w:jc w:val="left"/>
        <w:tblInd w:w="0" w:type="dxa"/>
        <w:tblLayout w:type="fixed"/>
        <w:tblCellMar>
          <w:top w:w="28" w:type="dxa"/>
          <w:left w:w="28" w:type="dxa"/>
          <w:bottom w:w="28" w:type="dxa"/>
          <w:right w:w="28" w:type="dxa"/>
        </w:tblCellMar>
      </w:tblPr>
      <w:tblGrid>
        <w:gridCol w:w="1334"/>
        <w:gridCol w:w="1175"/>
        <w:gridCol w:w="1181"/>
        <w:gridCol w:w="211"/>
        <w:gridCol w:w="616"/>
        <w:gridCol w:w="154"/>
      </w:tblGrid>
      <w:tr>
        <w:trPr/>
        <w:tc>
          <w:tcPr>
            <w:tcW w:w="133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Amount</w:t>
            </w:r>
          </w:p>
        </w:tc>
      </w:tr>
      <w:tr>
        <w:trPr/>
        <w:tc>
          <w:tcPr>
            <w:tcW w:w="3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assets acquired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total considerations transferred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the fair value of the identifiable intangible assets acquired with the assistance of third-party valuation consultants. Amounts allocated to identifiable intangible assets included $1.4 million related to developed technology, $0.2 million related to customer relationships, and $0.2 million related to trade names. The fair value of the acquired developed technology was determined using a multi-period excess earnings method. The fair value of the acquired customer relationships was determined using the distributor method which estimates the value using the cash flow impact in a scenario where the customer relationships are not in place. The fair value of the acquired trade names was determined using the relief from royalty method which estimates the value using the discounted value of the royalties that a company would pay to license the trade name. The recognized intangible assets will be amortized on a straight-line basis over the estimated useful lives of the respective assets. The estimated useful lives for developed technology, customer relationships, and trade names were 5, 3 and 3 years, respectively.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of $2.0 million arising from the acquisition includes the expected synergies between Cheq and the Company. Goodwill, which is not deductible for income tax purposes, was assigned to the Company’s only reporting unit.</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above table represents the final allocation of the purchase price. Pro forma financial information of the acquisition and revenue and net income since acquisition are not presented due to the immaterial impact of the financial results of Cheq in the Company’s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10. REVENUES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Based on similar operational characteristics, the Company’s revenues are disaggregated as follows: </w:t>
      </w:r>
    </w:p>
    <w:tbl>
      <w:tblPr>
        <w:tblW w:w="8613" w:type="dxa"/>
        <w:jc w:val="left"/>
        <w:tblInd w:w="0" w:type="dxa"/>
        <w:tblLayout w:type="fixed"/>
        <w:tblCellMar>
          <w:top w:w="28" w:type="dxa"/>
          <w:left w:w="28" w:type="dxa"/>
          <w:bottom w:w="28" w:type="dxa"/>
          <w:right w:w="28" w:type="dxa"/>
        </w:tblCellMar>
      </w:tblPr>
      <w:tblGrid>
        <w:gridCol w:w="1014"/>
        <w:gridCol w:w="892"/>
        <w:gridCol w:w="898"/>
        <w:gridCol w:w="109"/>
        <w:gridCol w:w="109"/>
        <w:gridCol w:w="135"/>
        <w:gridCol w:w="135"/>
        <w:gridCol w:w="261"/>
        <w:gridCol w:w="893"/>
        <w:gridCol w:w="135"/>
        <w:gridCol w:w="109"/>
        <w:gridCol w:w="109"/>
        <w:gridCol w:w="109"/>
        <w:gridCol w:w="211"/>
        <w:gridCol w:w="721"/>
        <w:gridCol w:w="109"/>
        <w:gridCol w:w="211"/>
        <w:gridCol w:w="826"/>
        <w:gridCol w:w="109"/>
        <w:gridCol w:w="109"/>
        <w:gridCol w:w="109"/>
        <w:gridCol w:w="109"/>
        <w:gridCol w:w="211"/>
        <w:gridCol w:w="826"/>
        <w:gridCol w:w="154"/>
      </w:tblGrid>
      <w:tr>
        <w:trPr/>
        <w:tc>
          <w:tcPr>
            <w:tcW w:w="10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transaction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70,730 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78,693 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 portion of the Company’s revenues relate to rental lease arrangements. The Company leases equipment to customers under the Cantaloupe One program which is accounted for as operating leases in accordance with ASC 842. Lease revenue is recognized on a straight-line basis over the term of the lease and is included in Subscription and transaction fees in the Consolidated Statement of Operations and Subscription fees in the table above. As described in </w:t>
      </w:r>
      <w:r>
        <w:rPr>
          <w:rFonts w:ascii="Times New Roman;serif" w:hAnsi="Times New Roman;serif"/>
          <w:b w:val="false"/>
          <w:i/>
          <w:color w:val="000000"/>
          <w:sz w:val="20"/>
        </w:rPr>
        <w:t>Note 4 - Finance Receivables</w:t>
      </w:r>
      <w:r>
        <w:rPr>
          <w:rFonts w:ascii="Times New Roman;serif" w:hAnsi="Times New Roman;serif"/>
          <w:b w:val="false"/>
          <w:color w:val="000000"/>
          <w:sz w:val="20"/>
        </w:rPr>
        <w:t>, the Company leases equipment under sales-type finance leases in accordance with ASC 842.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revenues earned under ASC Topic 842 are as follows:</w:t>
      </w:r>
    </w:p>
    <w:tbl>
      <w:tblPr>
        <w:tblW w:w="7054" w:type="dxa"/>
        <w:jc w:val="left"/>
        <w:tblInd w:w="0" w:type="dxa"/>
        <w:tblLayout w:type="fixed"/>
        <w:tblCellMar>
          <w:top w:w="28" w:type="dxa"/>
          <w:left w:w="28" w:type="dxa"/>
          <w:bottom w:w="28" w:type="dxa"/>
          <w:right w:w="28" w:type="dxa"/>
        </w:tblCellMar>
      </w:tblPr>
      <w:tblGrid>
        <w:gridCol w:w="640"/>
        <w:gridCol w:w="564"/>
        <w:gridCol w:w="566"/>
        <w:gridCol w:w="109"/>
        <w:gridCol w:w="109"/>
        <w:gridCol w:w="147"/>
        <w:gridCol w:w="147"/>
        <w:gridCol w:w="285"/>
        <w:gridCol w:w="833"/>
        <w:gridCol w:w="147"/>
        <w:gridCol w:w="109"/>
        <w:gridCol w:w="109"/>
        <w:gridCol w:w="109"/>
        <w:gridCol w:w="211"/>
        <w:gridCol w:w="616"/>
        <w:gridCol w:w="109"/>
        <w:gridCol w:w="211"/>
        <w:gridCol w:w="616"/>
        <w:gridCol w:w="109"/>
        <w:gridCol w:w="109"/>
        <w:gridCol w:w="109"/>
        <w:gridCol w:w="109"/>
        <w:gridCol w:w="211"/>
        <w:gridCol w:w="61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Sales-type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lease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leases are included in Subscription and transaction fees in the Consolidated Statement of Operations and Subscription fees in the disaggregated revenue table above. Sales-type finance leases are included in Equipment sales in the Consolidated Statement of Operations and in the disaggregated revenue table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Contract Assets</w:t>
      </w:r>
    </w:p>
    <w:p>
      <w:pPr>
        <w:pStyle w:val="TextBody"/>
        <w:bidi w:val="0"/>
        <w:spacing w:lineRule="auto" w:line="288" w:before="240" w:after="283"/>
        <w:jc w:val="both"/>
        <w:rPr/>
      </w:pPr>
      <w:r>
        <w:rPr>
          <w:rFonts w:ascii="Times New Roman;serif" w:hAnsi="Times New Roman;serif"/>
          <w:b w:val="false"/>
          <w:color w:val="000000"/>
          <w:sz w:val="20"/>
        </w:rPr>
        <w:t xml:space="preserve">Contract assets represent revenues earned from customers that are not yet billable to customers, generally due to the timing of when equipment and services are delivered to customers on bundled contracts, or as a result of contract costs as described below. Contract assets that will be billed within the next 12 months are included in Prepaid expenses and other current assets and all others are included in Other assets on the Condensed Consolidated Balance Sheets. Contract assets were </w:t>
      </w:r>
      <w:r>
        <w:rPr>
          <w:rFonts w:ascii="Times New Roman;serif" w:hAnsi="Times New Roman;serif"/>
          <w:b w:val="false"/>
          <w:color w:val="000000"/>
          <w:sz w:val="20"/>
          <w:shd w:fill="FFFFFF" w:val="clear"/>
        </w:rPr>
        <w:t xml:space="preserve">$4.0 </w:t>
      </w:r>
      <w:r>
        <w:rPr>
          <w:rFonts w:ascii="Times New Roman;serif" w:hAnsi="Times New Roman;serif"/>
          <w:b w:val="false"/>
          <w:color w:val="000000"/>
          <w:sz w:val="20"/>
        </w:rPr>
        <w:t>million and $3.3 million, as of March 31, 2026 and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Contract Liabilities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change in the contract liability balances, presented as Deferred revenue on the Condensed Consolidated Balance Sheets, is primarily the result of timing difference between the Company’s satisfaction of a performance obligation and payment from the customer.</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contract liability (i.e., deferred revenue) balances are as follows:</w:t>
      </w:r>
    </w:p>
    <w:tbl>
      <w:tblPr>
        <w:tblW w:w="10205" w:type="dxa"/>
        <w:jc w:val="left"/>
        <w:tblInd w:w="0" w:type="dxa"/>
        <w:tblLayout w:type="fixed"/>
        <w:tblCellMar>
          <w:top w:w="28" w:type="dxa"/>
          <w:left w:w="28" w:type="dxa"/>
          <w:bottom w:w="28" w:type="dxa"/>
          <w:right w:w="28" w:type="dxa"/>
        </w:tblCellMar>
      </w:tblPr>
      <w:tblGrid>
        <w:gridCol w:w="2891"/>
        <w:gridCol w:w="2529"/>
        <w:gridCol w:w="2540"/>
        <w:gridCol w:w="211"/>
        <w:gridCol w:w="616"/>
        <w:gridCol w:w="109"/>
        <w:gridCol w:w="109"/>
        <w:gridCol w:w="109"/>
        <w:gridCol w:w="109"/>
        <w:gridCol w:w="211"/>
        <w:gridCol w:w="616"/>
        <w:gridCol w:w="155"/>
      </w:tblGrid>
      <w:tr>
        <w:trPr/>
        <w:tc>
          <w:tcPr>
            <w:tcW w:w="2891"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7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in the period from amounts included in deferred revenue at the beginning of the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(reversals)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891"/>
        <w:gridCol w:w="2529"/>
        <w:gridCol w:w="2540"/>
        <w:gridCol w:w="211"/>
        <w:gridCol w:w="616"/>
        <w:gridCol w:w="109"/>
        <w:gridCol w:w="109"/>
        <w:gridCol w:w="109"/>
        <w:gridCol w:w="109"/>
        <w:gridCol w:w="211"/>
        <w:gridCol w:w="616"/>
        <w:gridCol w:w="155"/>
      </w:tblGrid>
      <w:tr>
        <w:trPr/>
        <w:tc>
          <w:tcPr>
            <w:tcW w:w="2891"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March 31,</w:t>
            </w:r>
          </w:p>
        </w:tc>
      </w:tr>
      <w:tr>
        <w:trPr/>
        <w:tc>
          <w:tcPr>
            <w:tcW w:w="7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in the period from amounts included in deferred revenue at the beginning of the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(reversals)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Lessor Operating Lease Payment Receipts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will recognize revenue in future periods related to remaining performance obligations for certain open contracts. Generally, these contracts have terms of one year or less. The amount of revenue related to unsatisfied performance obligations in which the original duration of the contract is greater than one year are primarily associated with the Company’s Cantaloupe ONE rental program, which has a contractual term of 36 months. The following table reflects the estimated fees to be recognized in the future related to performance obligations that are unsatisfied as of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ind w:left="0" w:right="0" w:firstLine="720"/>
        <w:jc w:val="left"/>
        <w:rPr/>
      </w:pPr>
      <w:r>
        <w:rPr/>
      </w:r>
    </w:p>
    <w:tbl>
      <w:tblPr>
        <w:tblW w:w="4274" w:type="dxa"/>
        <w:jc w:val="left"/>
        <w:tblInd w:w="0" w:type="dxa"/>
        <w:tblLayout w:type="fixed"/>
        <w:tblCellMar>
          <w:top w:w="28" w:type="dxa"/>
          <w:left w:w="28" w:type="dxa"/>
          <w:bottom w:w="28" w:type="dxa"/>
          <w:right w:w="28" w:type="dxa"/>
        </w:tblCellMar>
      </w:tblPr>
      <w:tblGrid>
        <w:gridCol w:w="922"/>
        <w:gridCol w:w="812"/>
        <w:gridCol w:w="816"/>
        <w:gridCol w:w="371"/>
        <w:gridCol w:w="1083"/>
        <w:gridCol w:w="270"/>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fiscal year 2026</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5,365 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Contract Costs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 had net capitalized costs to obtain contracts of</w:t>
      </w:r>
      <w:r>
        <w:rPr>
          <w:color w:val="000000"/>
          <w:shd w:fill="FFFFFF" w:val="clear"/>
        </w:rPr>
        <w:t xml:space="preserve"> </w:t>
      </w:r>
      <w:r>
        <w:rPr>
          <w:rFonts w:ascii="Times New Roman;serif" w:hAnsi="Times New Roman;serif"/>
          <w:b w:val="false"/>
          <w:color w:val="000000"/>
          <w:sz w:val="20"/>
        </w:rPr>
        <w:t>$1.1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$1.0 million included in Prepaid expenses and other current assets and $2.9 million and $2.7 million included in Other noncurrent assets on the Condensed Consolidated Balance Sheets as of March 31, 2026 and June 30, 2025, respectively. None of these capitalized contract costs were impaired.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During the three and nine months ended March 31, 2026, amortization of capitalized contract costs was </w:t>
      </w:r>
      <w:r>
        <w:rPr>
          <w:rFonts w:ascii="Times New Roman;serif" w:hAnsi="Times New Roman;serif"/>
          <w:b w:val="false"/>
          <w:color w:val="000000"/>
          <w:sz w:val="20"/>
          <w:shd w:fill="FFFFFF" w:val="clear"/>
        </w:rPr>
        <w:t xml:space="preserve">$0.3 million </w:t>
      </w:r>
      <w:r>
        <w:rPr>
          <w:rFonts w:ascii="Times New Roman;serif" w:hAnsi="Times New Roman;serif"/>
          <w:b w:val="false"/>
          <w:color w:val="000000"/>
          <w:sz w:val="20"/>
        </w:rPr>
        <w:t>and $0.8 million, respectively. During the three and nine months ended March 31, 2025, amortization of capitalized contract costs was $0.2 million and $0.7 million, respectively. Amortization of costs to obtain a contract are included within Sales and marketing expenses within the Condensed Consolidated Statement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11. STOCK-BASED COMPENSATION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estimates the grant date fair value of the stock options with service conditions (i.e., a condition that requires an employee to render services to the Company for a stated period of time to vest) using a Black-Scholes valuation model. The Company’s assumption for expected volatility is based on its historical volatility data related to market trading of its own Common Stock. The Company uses the simplified method to determine expected term, as the Company does not have adequate historical exercise and forfeiture behavior on which to base the expected life assumption.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options granted during the nine months ended March 31, 2026. The fair value of options granted during the nine months ended March 31, 2025 were determined using the following assumptions and includes only options with an established grant date under ASC 718:</w:t>
      </w:r>
    </w:p>
    <w:tbl>
      <w:tblPr>
        <w:tblW w:w="5579" w:type="dxa"/>
        <w:jc w:val="left"/>
        <w:tblInd w:w="0" w:type="dxa"/>
        <w:tblLayout w:type="fixed"/>
        <w:tblCellMar>
          <w:top w:w="28" w:type="dxa"/>
          <w:left w:w="28" w:type="dxa"/>
          <w:bottom w:w="28" w:type="dxa"/>
          <w:right w:w="28" w:type="dxa"/>
        </w:tblCellMar>
      </w:tblPr>
      <w:tblGrid>
        <w:gridCol w:w="1184"/>
        <w:gridCol w:w="1041"/>
        <w:gridCol w:w="1045"/>
        <w:gridCol w:w="184"/>
        <w:gridCol w:w="184"/>
        <w:gridCol w:w="184"/>
        <w:gridCol w:w="357"/>
        <w:gridCol w:w="865"/>
        <w:gridCol w:w="535"/>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March 31,</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(percent)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49.5% - 50.5%</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expected life (years)</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 (percent)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 (percent)</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3.4% - 3.5%</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options granted</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exercise price</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total expense recognized for stock options awards for the three months ended March 31, 2026 and 2025 was $0.1 million and $0.2 million, respectively. Stock-based compensation related to stock options with an established grant date for the nine months ended March 31, 2026 and 2025 was $0.3 million and $0.9 million,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Restricted Stock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has granted service based restricted stock awards to employees. The Company determines expense related to restricted stock awards using the closing stock price on the grant date and these awards are expensed under the accelerated attribution method over the vesting period which is typically a three-year service period. The total expense recognized for restricted stock awards for the three months ended March 31, 2026 and 2025 was $0.6 million and $0.4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total expense recognized for restricted stock awards for both the nine months ended March 31, 2026 and 2025 was $2.0 million and $1.5 million.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12. INCOME TAXES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computes its interim period income tax expense or benefit using a forecasted estimated annual effective tax rate ("EAETR") and adjusts for any discrete items arising during the interim period and any changes in the Company’s projected full-year taxable income. For the three and nine months ended March 31, 2026, the EAETR was 25.5% and 25.3%, respectively. Excluding the impact of the valuation release, the effective tax rate was 4.5% and 5.5% for the three and nine months ended March 31, 2025, respectively, and was based primarily on minimum state tax obligations.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For the three and nine months ended March 31, 2026, the Company recorded an income tax provision of $1.5 million an</w:t>
      </w:r>
      <w:r>
        <w:rPr>
          <w:rFonts w:ascii="Times New Roman;serif" w:hAnsi="Times New Roman;serif"/>
          <w:b w:val="false"/>
          <w:color w:val="000000"/>
          <w:sz w:val="20"/>
          <w:shd w:fill="FFFFFF" w:val="clear"/>
        </w:rPr>
        <w:t>d $4.6 million,</w:t>
      </w:r>
      <w:r>
        <w:rPr>
          <w:color w:val="000000"/>
        </w:rPr>
        <w:t xml:space="preserve"> </w:t>
      </w:r>
      <w:r>
        <w:rPr>
          <w:rFonts w:ascii="Times New Roman;serif" w:hAnsi="Times New Roman;serif"/>
          <w:b w:val="false"/>
          <w:color w:val="000000"/>
          <w:sz w:val="20"/>
        </w:rPr>
        <w:t xml:space="preserve">respectively. </w:t>
      </w:r>
      <w:r>
        <w:rPr>
          <w:rFonts w:ascii="Times New Roman;serif" w:hAnsi="Times New Roman;serif"/>
          <w:b w:val="false"/>
          <w:color w:val="000000"/>
          <w:sz w:val="20"/>
          <w:shd w:fill="FFFFFF" w:val="clear"/>
        </w:rPr>
        <w:t xml:space="preserve">For the three and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March 31, 2025</w:t>
      </w:r>
      <w:r>
        <w:rPr>
          <w:rFonts w:ascii="Times New Roman;serif" w:hAnsi="Times New Roman;serif"/>
          <w:b w:val="false"/>
          <w:color w:val="000000"/>
          <w:sz w:val="20"/>
          <w:shd w:fill="FFFFFF" w:val="clear"/>
        </w:rPr>
        <w:t>, the Company recorded an income tax benefit of $41.9 million and $41.3 million, respectively</w:t>
      </w:r>
      <w:r>
        <w:rPr>
          <w:rFonts w:ascii="Times New Roman;serif" w:hAnsi="Times New Roman;serif"/>
          <w:b w:val="false"/>
          <w:color w:val="000000"/>
          <w:sz w:val="20"/>
        </w:rPr>
        <w:t>. The income tax provision for three and nine months ended March 31, 2026, primarily related to non-deductible transaction costs. The income tax benefit for the three and nine months ended March 31, 2025, relates to the $42.2 million valuation release, offset by state income and deferred taxes related to goodwill amortization for tax purposes. The Company had a total unrecognized income tax benefit of $0.7 million and $0.7 million as of March 31, 2026 and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significant deferred tax assets, a substantial amount of which result from operating loss carryforwards. The Company routinely evaluates its ability to realize the benefits of these assets to determine whether it is more likely than not that such benefit will be realized. The Company assesses the realizability of deferred tax assets by considering both positive and negative evidence including forecasts of future taxable income. For the six months ended March 31, 2026, the Company concluded that it is more likely than not a portion of its deferred tax assets, primarily related to federal and state net operating loss carryforwards, will be realized, consistent with our conclusion for the fiscal year ended June 30, 2025. These U. S. federal and state deferred tax assets were created primarily as a result of net operating loss carryforwards from historical business operations. The Company maintains its valuation allowance associated with the Pennsylvania net operating loss carryforwards.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July 4, 2025, new U.S. tax legislation was signed into law (known as the “One Big Beautiful Bill Act” or “OBBBA”) which makes permanent many of the tax provisions enacted in 2017 as part of the Tax Cuts and Jobs Act that were set to expire at the end of 2025. In addition, the OBBBA makes changes to certain U.S. corporate tax provisions, but many are generally not effective until 2026. The OBBBA did not have a material impact on the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13. EARNINGS (LOSS) PER SHARE CALCULATION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earnings by the weighted average number of common shares outstanding during the period. Diluted earnings per share, applicable only to years ended with reported income is computed by dividing net income by the weighted average number of common shares outstanding during the period plus the dilutive effect of outstanding stock options and restricted stock-based awards using the treasury stock method. The calculation of basic and diluted earnings per share is presented below:</w:t>
      </w:r>
    </w:p>
    <w:tbl>
      <w:tblPr>
        <w:tblW w:w="10205" w:type="dxa"/>
        <w:jc w:val="left"/>
        <w:tblInd w:w="0" w:type="dxa"/>
        <w:tblLayout w:type="fixed"/>
        <w:tblCellMar>
          <w:top w:w="28" w:type="dxa"/>
          <w:left w:w="28" w:type="dxa"/>
          <w:bottom w:w="28" w:type="dxa"/>
          <w:right w:w="28" w:type="dxa"/>
        </w:tblCellMar>
      </w:tblPr>
      <w:tblGrid>
        <w:gridCol w:w="2582"/>
        <w:gridCol w:w="2265"/>
        <w:gridCol w:w="2278"/>
        <w:gridCol w:w="109"/>
        <w:gridCol w:w="109"/>
        <w:gridCol w:w="109"/>
        <w:gridCol w:w="270"/>
        <w:gridCol w:w="811"/>
        <w:gridCol w:w="109"/>
        <w:gridCol w:w="109"/>
        <w:gridCol w:w="109"/>
        <w:gridCol w:w="109"/>
        <w:gridCol w:w="244"/>
        <w:gridCol w:w="837"/>
        <w:gridCol w:w="155"/>
      </w:tblGrid>
      <w:tr>
        <w:trPr/>
        <w:tc>
          <w:tcPr>
            <w:tcW w:w="2582"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71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basic and 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49,156</w:t>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applicable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earnings per share - Weighted 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73,920,289 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73,169,131 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potential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1,585,287 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earnings per share - Adjusted weighted 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73,920,289 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74,754,418 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582"/>
        <w:gridCol w:w="2265"/>
        <w:gridCol w:w="2278"/>
        <w:gridCol w:w="109"/>
        <w:gridCol w:w="109"/>
        <w:gridCol w:w="109"/>
        <w:gridCol w:w="270"/>
        <w:gridCol w:w="811"/>
        <w:gridCol w:w="109"/>
        <w:gridCol w:w="109"/>
        <w:gridCol w:w="109"/>
        <w:gridCol w:w="109"/>
        <w:gridCol w:w="244"/>
        <w:gridCol w:w="837"/>
        <w:gridCol w:w="155"/>
      </w:tblGrid>
      <w:tr>
        <w:trPr/>
        <w:tc>
          <w:tcPr>
            <w:tcW w:w="2582"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March 31,</w:t>
            </w:r>
          </w:p>
        </w:tc>
      </w:tr>
      <w:tr>
        <w:trPr/>
        <w:tc>
          <w:tcPr>
            <w:tcW w:w="71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basic and 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57,702</w:t>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applicable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57,124 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earnings per share - Weighted 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73,786,304 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73,117,081 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potential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1,402,870 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earnings per share - Adjusted weighted 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73,786,304 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74,519,951 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Potentially anti-dilutive shares excluded from the calculation of diluted earnings per share were approximately 4.6 million and 0.8 million for the nine months ended March 31,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14. COMMITMENTS AND CONTINGENCIES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we are, or may be, a party to litigation and other legal proceedings that arise in the ordinary course of our business. These types of matters could result in fines, penalties, compensatory or treble damages or non-monetary sanctions or relief.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evaluate legal proceedings based on information currently available, including advice of counsel. Assessment of a loss exposure that could result from legal proceedings is complex because these proceedings often involve inherently unpredictable factors, including, but not limited to, the following: whether the proceeding is in early stages; whether damages or the amount of potential fines, penalties, and restitution are unspecified, unsupported, or uncertain; whether there is a potential for punitive or other pecuniary damages; whether the matter involves legal uncertainties, including novel issues of law; whether the matter involves multiple parties and/or jurisdictions; whether discovery or other investigation has begun or is not complete; whether material facts may be disputed or unsubstantiated; and whether meaningful settlement discussions have commenced. As a result, the Company may be unable to develop an estimate or range of loss and predict the outcome of such legal proceedings with certainty.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establish accruals for legal proceedings when the related loss exposure is considered probable and reasonably estimable. In the third quarter ending March 31, 2026, we accrued for legal proceedings and related loss exposures that are now considered probable of occurrence and reasonably estimable of approximately $1.3 million, net of insurance recoveries. which are included within General and administrative expenses within the Condensed Consolidated Statement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15. RELATED PARTY TRANSACTIONS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 member of our Board of Directors serves as a strategic advisor to a consulting firm that we utilize for payments analytics and advisory services. These services are utilized by the Company to reduce the cost of our interchange and other processing fees charged by payment processors and credit card networks. As consideration for the services, we pay the consulting firm a recurring monthly subscription fee for the analytical services. </w:t>
      </w:r>
      <w:r>
        <w:rPr>
          <w:rFonts w:ascii="Times New Roman;serif" w:hAnsi="Times New Roman;serif"/>
          <w:b w:val="false"/>
          <w:color w:val="000000"/>
          <w:sz w:val="20"/>
          <w:shd w:fill="FFFFFF" w:val="clear"/>
        </w:rPr>
        <w:t xml:space="preserve">The total expense recognized within </w:t>
      </w:r>
      <w:r>
        <w:rPr>
          <w:rFonts w:ascii="Times New Roman;serif" w:hAnsi="Times New Roman;serif"/>
          <w:b w:val="false"/>
          <w:color w:val="000000"/>
          <w:sz w:val="20"/>
        </w:rPr>
        <w:t>General and administrative operating expenses</w:t>
      </w:r>
      <w:r>
        <w:rPr>
          <w:color w:val="000000"/>
          <w:shd w:fill="FFFFFF" w:val="clear"/>
        </w:rPr>
        <w:t xml:space="preserve"> </w:t>
      </w:r>
      <w:r>
        <w:rPr>
          <w:rFonts w:ascii="Times New Roman;serif" w:hAnsi="Times New Roman;serif"/>
          <w:b w:val="false"/>
          <w:color w:val="000000"/>
          <w:sz w:val="20"/>
          <w:shd w:fill="FFFFFF" w:val="clear"/>
        </w:rPr>
        <w:t>for these arrangements was</w:t>
      </w:r>
      <w:r>
        <w:rPr>
          <w:color w:val="000000"/>
        </w:rPr>
        <w:t xml:space="preserve"> </w:t>
      </w:r>
      <w:r>
        <w:rPr>
          <w:rFonts w:ascii="Times New Roman;serif" w:hAnsi="Times New Roman;serif"/>
          <w:b w:val="false"/>
          <w:color w:val="000000"/>
          <w:sz w:val="20"/>
        </w:rPr>
        <w:t xml:space="preserve">$0.1 million and $0.2 million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March 31, 2026 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16. SEGMENT INFORMATION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has one reportable segment, Cantaloupe, Inc. The business activities are managed on a consolidated basis. The types of software and services from which we generate revenue are described under our “Revenue Recognition” policy within </w:t>
      </w:r>
      <w:r>
        <w:rPr>
          <w:rFonts w:ascii="Times New Roman;serif" w:hAnsi="Times New Roman;serif"/>
          <w:b w:val="false"/>
          <w:i/>
          <w:color w:val="000000"/>
          <w:sz w:val="20"/>
        </w:rPr>
        <w:t xml:space="preserve">Note 2 - Summary of Significant Accounting Policies </w:t>
      </w:r>
      <w:r>
        <w:rPr>
          <w:rFonts w:ascii="Times New Roman;serif" w:hAnsi="Times New Roman;serif"/>
          <w:b w:val="false"/>
          <w:color w:val="000000"/>
          <w:sz w:val="20"/>
        </w:rPr>
        <w:t>of our Annual Report.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or CODM, is our Chief Executive Officer. The CODM assesses performance for the segment and decides how to allocate resources based on net income that is also reported on the Condensed Consolidated Statements of Operations as consolidated net income. The CODM does not use any segment asset measures to assess performance and decide how to allocate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out our measure of profit or loss and significant segment expenses:</w:t>
      </w:r>
    </w:p>
    <w:tbl>
      <w:tblPr>
        <w:tblW w:w="8478" w:type="dxa"/>
        <w:jc w:val="left"/>
        <w:tblInd w:w="0" w:type="dxa"/>
        <w:tblLayout w:type="fixed"/>
        <w:tblCellMar>
          <w:top w:w="28" w:type="dxa"/>
          <w:left w:w="28" w:type="dxa"/>
          <w:bottom w:w="28" w:type="dxa"/>
          <w:right w:w="28" w:type="dxa"/>
        </w:tblCellMar>
      </w:tblPr>
      <w:tblGrid>
        <w:gridCol w:w="1231"/>
        <w:gridCol w:w="1084"/>
        <w:gridCol w:w="1090"/>
        <w:gridCol w:w="211"/>
        <w:gridCol w:w="721"/>
        <w:gridCol w:w="109"/>
        <w:gridCol w:w="109"/>
        <w:gridCol w:w="109"/>
        <w:gridCol w:w="109"/>
        <w:gridCol w:w="211"/>
        <w:gridCol w:w="721"/>
        <w:gridCol w:w="109"/>
        <w:gridCol w:w="211"/>
        <w:gridCol w:w="826"/>
        <w:gridCol w:w="109"/>
        <w:gridCol w:w="109"/>
        <w:gridCol w:w="109"/>
        <w:gridCol w:w="109"/>
        <w:gridCol w:w="211"/>
        <w:gridCol w:w="826"/>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March 31,</w:t>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219,985 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occupancy, and 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cloud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&amp;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(benefits)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Other general &amp; administrative expenses include marketing, bad debt expense, office supplies, adjustments to sales and use tax reserves and other various selling, general and administrative expenses.</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Other segment expenses (benefits) include interest and other income and interest expense.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operates through legal entities in several countries, primarily conducting its business activities in the United States, Mexico, and the United Kingdom. The Company did not earn material revenue in any country other than the United States during the three and nine months ended March 31, 2026 and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Long-lived assets, excluding intangible assets, by location were not material other than the United States. Tangible long-lived assets consist of property and equipment and operating lease right-of-use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 should be read in conjunction with the Condensed Consolidated Financial Statements and related notes included in this Quarterly Report on Form 10-Q.</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Forward-Looking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Form 10</w:t>
        <w:noBreakHyphen/>
        <w:t>Q contains certain forward-looking statements within the meaning of Section 21E of the Exchange Act, regarding, among other things, the anticipated financial and operating results of Cantaloupe, Inc. and our expectations regarding our acquisition by 365 Retail Markets.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disruption to our business caused by the acquisition of us by 365 Retail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consummate the transaction with 365 Retail Markets within the contemplated timeframe, or at all, including risks and uncertainties related to securing the necessary regulatory approvals, including pursuant to the HSR Act, and the satisfaction of other closing conditions;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on our stock price, business, financial condition and results of operations if the proposed transaction with 365 Retail Markets is not consummated;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costs, charges and expenses relating to the proposed transaction with 365 Retail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proceedings, including litigation that seeks to prevent the proposed transaction with 365 Retail Markets from being consummated within the contemplated timeframe, or at all;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general economic, market or business conditions unrelated to our operating performance, including inflation, elevated interests rates, supply chain disruptions, financial institution disruptions, geopolitical conflicts, public health emergencies, and declines in consumer confidence and discretionary spending;</w:t>
      </w:r>
    </w:p>
    <w:p>
      <w:pPr>
        <w:pStyle w:val="TextBody"/>
        <w:bidi w:val="0"/>
        <w:spacing w:lineRule="auto" w:line="288" w:before="120" w:after="283"/>
        <w:ind w:left="0" w:right="0" w:hanging="360"/>
        <w:jc w:val="both"/>
        <w:rPr>
          <w:color w:val="000000"/>
        </w:rPr>
      </w:pPr>
      <w:r>
        <w:rPr>
          <w:color w:val="000000"/>
        </w:rPr>
        <w:t>•    </w:t>
      </w:r>
      <w:r>
        <w:rPr>
          <w:rFonts w:ascii="Times New Roman;serif" w:hAnsi="Times New Roman;serif"/>
          <w:b w:val="false"/>
          <w:color w:val="000000"/>
          <w:sz w:val="20"/>
        </w:rPr>
        <w:t>our ability to compete with our competitors and increase market share;</w:t>
      </w:r>
    </w:p>
    <w:p>
      <w:pPr>
        <w:pStyle w:val="TextBody"/>
        <w:bidi w:val="0"/>
        <w:spacing w:lineRule="auto" w:line="288" w:before="120" w:after="283"/>
        <w:ind w:left="0" w:right="0" w:hanging="360"/>
        <w:jc w:val="both"/>
        <w:rPr>
          <w:color w:val="000000"/>
        </w:rPr>
      </w:pPr>
      <w:r>
        <w:rPr>
          <w:color w:val="000000"/>
        </w:rPr>
        <w:t>•    </w:t>
      </w:r>
      <w:r>
        <w:rPr>
          <w:rFonts w:ascii="Times New Roman;serif" w:hAnsi="Times New Roman;serif"/>
          <w:b w:val="false"/>
          <w:color w:val="000000"/>
          <w:sz w:val="20"/>
        </w:rPr>
        <w:t>failure to comply with the financial covenants in our debt facilities;</w:t>
      </w:r>
    </w:p>
    <w:p>
      <w:pPr>
        <w:pStyle w:val="TextBody"/>
        <w:bidi w:val="0"/>
        <w:spacing w:lineRule="auto" w:line="288" w:before="120" w:after="283"/>
        <w:ind w:left="0" w:right="0" w:hanging="360"/>
        <w:jc w:val="both"/>
        <w:rPr>
          <w:color w:val="000000"/>
        </w:rPr>
      </w:pPr>
      <w:r>
        <w:rPr>
          <w:color w:val="000000"/>
        </w:rPr>
        <w:t>•    </w:t>
      </w:r>
      <w:r>
        <w:rPr>
          <w:rFonts w:ascii="Times New Roman;serif" w:hAnsi="Times New Roman;serif"/>
          <w:b w:val="false"/>
          <w:color w:val="000000"/>
          <w:sz w:val="20"/>
        </w:rPr>
        <w:t>our ability to maintain compliance with rules and regulations applicable to our business operations and industry;</w:t>
      </w:r>
    </w:p>
    <w:p>
      <w:pPr>
        <w:pStyle w:val="TextBody"/>
        <w:bidi w:val="0"/>
        <w:spacing w:lineRule="auto" w:line="288" w:before="120" w:after="283"/>
        <w:ind w:left="0" w:right="0" w:hanging="360"/>
        <w:jc w:val="both"/>
        <w:rPr>
          <w:color w:val="000000"/>
        </w:rPr>
      </w:pPr>
      <w:r>
        <w:rPr>
          <w:color w:val="000000"/>
        </w:rPr>
        <w:t>•    </w:t>
      </w:r>
      <w:r>
        <w:rPr>
          <w:rFonts w:ascii="Times New Roman;serif" w:hAnsi="Times New Roman;serif"/>
          <w:b w:val="false"/>
          <w:color w:val="000000"/>
          <w:sz w:val="20"/>
        </w:rPr>
        <w:t>disruptions in other card payment processors, software and manufacturing partners upon whom we rely;</w:t>
      </w:r>
    </w:p>
    <w:p>
      <w:pPr>
        <w:pStyle w:val="TextBody"/>
        <w:bidi w:val="0"/>
        <w:spacing w:lineRule="auto" w:line="288" w:before="120" w:after="283"/>
        <w:ind w:left="0" w:right="0" w:hanging="360"/>
        <w:jc w:val="both"/>
        <w:rPr>
          <w:color w:val="000000"/>
        </w:rPr>
      </w:pPr>
      <w:r>
        <w:rPr>
          <w:color w:val="000000"/>
        </w:rPr>
        <w:t>•    </w:t>
      </w:r>
      <w:r>
        <w:rPr>
          <w:rFonts w:ascii="Times New Roman;serif" w:hAnsi="Times New Roman;serif"/>
          <w:b w:val="false"/>
          <w:color w:val="000000"/>
          <w:sz w:val="20"/>
        </w:rPr>
        <w:t>whether our customers continue to utilize our transaction processing and related services, as our customer agreements are generally cancellable by the customer with thirty days’ notice;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acquire and develop relevant technology offerings for current, new and potential customers and partners;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and uncertainties associated with our expansion into and our operations in Europe, Mexico and other foreign markets, including general economic conditions, policy changes affecting international trade (including the imposition of new tariffs, or changes and adjustments to existing tariffs), political instability, inflation rates, recessions, sanctions, foreign currency exchange rates and controls, foreign investment and repatriation restrictions, legal and regulatory constraints, civil unrest, armed conflict, war, and other economic and political factors;</w:t>
      </w:r>
    </w:p>
    <w:p>
      <w:pPr>
        <w:pStyle w:val="TextBody"/>
        <w:bidi w:val="0"/>
        <w:spacing w:lineRule="auto" w:line="288" w:before="120" w:after="283"/>
        <w:ind w:left="0" w:right="0" w:hanging="360"/>
        <w:jc w:val="both"/>
        <w:rPr>
          <w:color w:val="000000"/>
        </w:rPr>
      </w:pPr>
      <w:r>
        <w:rPr>
          <w:color w:val="000000"/>
        </w:rPr>
        <w:t>•    </w:t>
      </w:r>
      <w:r>
        <w:rPr>
          <w:rFonts w:ascii="Times New Roman;serif" w:hAnsi="Times New Roman;serif"/>
          <w:b w:val="false"/>
          <w:color w:val="000000"/>
          <w:sz w:val="20"/>
        </w:rPr>
        <w:t>our ability to satisfy our trade obligations included in accounts payable and accrued expenses;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attract, develop and retain key personnel, or our loss of the services of our key executives;</w:t>
      </w:r>
    </w:p>
    <w:p>
      <w:pPr>
        <w:pStyle w:val="TextBody"/>
        <w:bidi w:val="0"/>
        <w:spacing w:lineRule="auto" w:line="288" w:before="120" w:after="283"/>
        <w:ind w:left="0" w:right="0" w:hanging="360"/>
        <w:jc w:val="both"/>
        <w:rPr>
          <w:color w:val="000000"/>
        </w:rPr>
      </w:pPr>
      <w:r>
        <w:rPr>
          <w:color w:val="000000"/>
        </w:rPr>
        <w:t>•    </w:t>
      </w:r>
      <w:r>
        <w:rPr>
          <w:rFonts w:ascii="Times New Roman;serif" w:hAnsi="Times New Roman;serif"/>
          <w:b w:val="false"/>
          <w:color w:val="000000"/>
          <w:sz w:val="20"/>
        </w:rPr>
        <w:t>the incurrence by us of any unanticipated or unusual non-operating expenses, which may require us to divert our cash resources from achieving our business plan;</w:t>
      </w:r>
    </w:p>
    <w:p>
      <w:pPr>
        <w:pStyle w:val="TextBody"/>
        <w:bidi w:val="0"/>
        <w:spacing w:lineRule="auto" w:line="288" w:before="120" w:after="283"/>
        <w:ind w:left="0" w:right="0" w:hanging="360"/>
        <w:jc w:val="both"/>
        <w:rPr>
          <w:color w:val="000000"/>
        </w:rPr>
      </w:pPr>
      <w:r>
        <w:rPr>
          <w:color w:val="000000"/>
        </w:rPr>
        <w:t>•    </w:t>
      </w:r>
      <w:r>
        <w:rPr>
          <w:rFonts w:ascii="Times New Roman;serif" w:hAnsi="Times New Roman;serif"/>
          <w:b w:val="false"/>
          <w:color w:val="000000"/>
          <w:sz w:val="20"/>
        </w:rPr>
        <w:t>our ability to predict or estimate our future quarterly or annual revenue and expenses given the developing and unpredictable market for our products;</w:t>
      </w:r>
    </w:p>
    <w:p>
      <w:pPr>
        <w:pStyle w:val="TextBody"/>
        <w:bidi w:val="0"/>
        <w:spacing w:lineRule="auto" w:line="288" w:before="120" w:after="283"/>
        <w:ind w:left="0" w:right="0" w:hanging="360"/>
        <w:jc w:val="both"/>
        <w:rPr>
          <w:color w:val="000000"/>
        </w:rPr>
      </w:pPr>
      <w:r>
        <w:rPr>
          <w:color w:val="000000"/>
        </w:rPr>
        <w:t>•    </w:t>
      </w:r>
      <w:r>
        <w:rPr>
          <w:rFonts w:ascii="Times New Roman;serif" w:hAnsi="Times New Roman;serif"/>
          <w:b w:val="false"/>
          <w:color w:val="000000"/>
          <w:sz w:val="20"/>
        </w:rPr>
        <w:t>our ability to successfully integrate acquired companies into our current products and services structure;</w:t>
      </w:r>
    </w:p>
    <w:p>
      <w:pPr>
        <w:pStyle w:val="TextBody"/>
        <w:bidi w:val="0"/>
        <w:spacing w:lineRule="auto" w:line="288" w:before="120" w:after="283"/>
        <w:ind w:left="0" w:right="0" w:hanging="360"/>
        <w:jc w:val="both"/>
        <w:rPr>
          <w:color w:val="000000"/>
        </w:rPr>
      </w:pPr>
      <w:r>
        <w:rPr>
          <w:color w:val="000000"/>
        </w:rPr>
        <w:t>•    </w:t>
      </w:r>
      <w:r>
        <w:rPr>
          <w:rFonts w:ascii="Times New Roman;serif" w:hAnsi="Times New Roman;serif"/>
          <w:b w:val="false"/>
          <w:color w:val="000000"/>
          <w:sz w:val="20"/>
        </w:rPr>
        <w:t>our ability to add new customers and retain key existing customers from whom a significant portion of our revenue is derived;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ind w:left="0" w:right="0" w:hanging="360"/>
        <w:jc w:val="both"/>
        <w:rPr>
          <w:color w:val="000000"/>
        </w:rPr>
      </w:pPr>
      <w:r>
        <w:rPr>
          <w:color w:val="000000"/>
        </w:rPr>
        <w:t>•    </w:t>
      </w:r>
      <w:r>
        <w:rPr>
          <w:rFonts w:ascii="Times New Roman;serif" w:hAnsi="Times New Roman;serif"/>
          <w:b w:val="false"/>
          <w:color w:val="000000"/>
          <w:sz w:val="20"/>
        </w:rPr>
        <w:t>the ability of a key customer to reduce or delay purchasing products from us;</w:t>
      </w:r>
    </w:p>
    <w:p>
      <w:pPr>
        <w:pStyle w:val="TextBody"/>
        <w:bidi w:val="0"/>
        <w:spacing w:lineRule="auto" w:line="288" w:before="120" w:after="283"/>
        <w:ind w:left="0" w:right="0" w:hanging="360"/>
        <w:jc w:val="both"/>
        <w:rPr>
          <w:color w:val="000000"/>
        </w:rPr>
      </w:pPr>
      <w:r>
        <w:rPr>
          <w:color w:val="000000"/>
        </w:rPr>
        <w:t>•    </w:t>
      </w:r>
      <w:r>
        <w:rPr>
          <w:rFonts w:ascii="Times New Roman;serif" w:hAnsi="Times New Roman;serif"/>
          <w:b w:val="false"/>
          <w:color w:val="000000"/>
          <w:sz w:val="20"/>
        </w:rPr>
        <w:t>our ability to obtain widespread commercial acceptance of our products and service offerings;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whether any patents issued to us will provide any competitive advantages or adequate protection for our products, or would be challenged, invalidated or circumvented by others;</w:t>
      </w:r>
    </w:p>
    <w:p>
      <w:pPr>
        <w:pStyle w:val="TextBody"/>
        <w:bidi w:val="0"/>
        <w:spacing w:lineRule="auto" w:line="288" w:before="120" w:after="283"/>
        <w:ind w:left="0" w:right="0" w:hanging="360"/>
        <w:jc w:val="both"/>
        <w:rPr>
          <w:color w:val="000000"/>
        </w:rPr>
      </w:pPr>
      <w:r>
        <w:rPr>
          <w:color w:val="000000"/>
        </w:rPr>
        <w:t>•    </w:t>
      </w:r>
      <w:r>
        <w:rPr>
          <w:rFonts w:ascii="Times New Roman;serif" w:hAnsi="Times New Roman;serif"/>
          <w:b w:val="false"/>
          <w:color w:val="000000"/>
          <w:sz w:val="20"/>
        </w:rPr>
        <w:t>the ability of our products and services to avoid disruptions to our systems or unauthorized hacking or credit card fraud;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associated with cyber-attacks and data breaches;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maintain effective internal controls and to timely file periodic and current reports with the Securities and Exchange Commission (“SEC”).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or those discussed under Part I, Item 1A. “Risk Factors” of our Annual Report for the fiscal year ended June 30, 2025.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br/>
        <w:br/>
        <w:t>Any forward-looking statement made by us in this Quarterly Report speaks only as of the date of this Quarterly Report. Unless required by law, we undertake no obligation to publicly revise any forward-looking statement to reflect circumstances or events after the date of this Quarterly Report or to reflect the occurrence of unanticipated events.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OVERVIEW OF THE COMPANY</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Cantaloupe, Inc. (Nasdaq: CTLP) is organized under the laws of the Commonwealth of Pennsylvania. We are a global technology leader powering self-service commerce. Cantaloupe offers a comprehensive suite of solutions including micro-payment processing, self-checkout kiosks, mobile ordering, connected point-of-sale (“POS”) systems, and enterprise cloud software. Handling more than a billion transactions annually, our solutions enhance operational efficiency and consumer engagement across sectors like food &amp; beverage markets, smart automated retail, hospitality, entertainment venues, laundromats and more. Committed to innovation, we aim to drive advancements in digital payments and business optimization, serving customers in the United States, United Kingdom, and Mexico, among others.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streams consist of subscription, transaction processing and equipment sales. During the three and nine months ended March 31, 2026, we derived approximately 90% and 88%, respectively, from subscription and transaction fees, and 10% and 12%, respectively, from equipment sales. Our revenue streams consist of subscription, transaction processing and equipment sales. During the three and nine months ended March 31, 2025, we derived approximately 86% and 88%, respectively, from subscription and transaction fees, and 14% and 12%, respectively, from equipment sales.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Active Devices (as defined below) operating on the Company’s platform and using our services include those resulting from the sale or lease of our point of sale POS electronic payment devices, telemetry devices or certified payment software or the servicing of similar third-party installed POS terminals or telemetry devices. Customers can obtain POS electronic payment devices from us in the following ways: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Purchasing hardware directly from the Company or one of its authorized resellers;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Financing hardware under the Company’s financing</w:t>
      </w:r>
      <w:r>
        <w:rPr>
          <w:color w:val="000000"/>
          <w:shd w:fill="FFFFFF" w:val="clear"/>
        </w:rPr>
        <w:t xml:space="preserve"> </w:t>
      </w:r>
      <w:r>
        <w:rPr>
          <w:rFonts w:ascii="Times New Roman;serif" w:hAnsi="Times New Roman;serif"/>
          <w:b w:val="false"/>
          <w:color w:val="000000"/>
          <w:sz w:val="20"/>
          <w:shd w:fill="FFFFFF" w:val="clear"/>
        </w:rPr>
        <w:t>p</w:t>
      </w:r>
      <w:r>
        <w:rPr>
          <w:rFonts w:ascii="Times New Roman;serif" w:hAnsi="Times New Roman;serif"/>
          <w:b w:val="false"/>
          <w:color w:val="000000"/>
          <w:sz w:val="20"/>
        </w:rPr>
        <w:t>rogram, which are non-cancellable 60-month sales-type leases;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Renting devices under the Company’s Cantaloupe One program, which are typically 36-months duration agreements.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76"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Developments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Merger with 365 Retail Markets, LLC</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June 15, 2025, we entered into the Merger Agreement with 365 Retail Markets, Holdco, Holdco II and Merger Sub. Subject to the terms and conditions of the Merger Agreement, 365 Retail Markets has agreed to acquire the Company in exchange for the Merger Consideration. Pursuant to the Merger Agreement, and subject to the terms and conditions thereof, Merger Sub will merge with and into the Company, with the Company surviving the Merger as a wholly-owned, indirect subsidiary of 365 Retail Markets. Upon the consummation of the Merger, we will cease to be a publicly traded company, and our Common Stock will be delisted from Nasdaq and deregistered under Section 12(b) of the Exchange Act. We have agreed to various customary covenants and agreements, including, among others, agreements to conduct our business in the ordinary course during the period between the execution of the Merger Agreement and the effective time of the Merger. We do not believe these restrictions will prevent us from meeting our debt service obligations, ongoing costs of operations, working capital needs, or capital expenditure requirements.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respective obligations of Cantaloupe and 365 Retail Markets to consummate the Merger are subject to the satisfaction or waiver of several closing conditions specified in the Merger Agreement, including the expiration or termination of any waiting period applicable under the HSR Act.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September 4, 2025, the Company held a special meeting of shareholders, where shareholders approved a proposal to approve and adopt the Merger Agreement, including the Merger.</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September 17, 2025, each of Cantaloupe and 365 Retail Markets received a Second Request from the FTC pursuant to the HSR Act in connection with the Merger. The effect of a Second Request is to extend the applicable waiting period relating to the Merger until 30 days after each of Cantaloupe and 365 Retail Markets has substantially complied with the Second Request issued to it, unless the waiting period is terminated earlier by the FTC.</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May 1, 2026, the waiting period under the HSR Act terminated. As a result of the termination of the waiting period under the HSR Act, t1he parties to the Merger Agreement currently expect to complete the Merger on or about May 8, 2026, subject to the satisfaction or waiver (to the extent permitted by applicable law) of the remaining closing conditions to the Merger.</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One Big Beautiful Bill Act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July 4, 2025, new U.S. tax legislation was signed into law (known as the “One Big Beautiful Bill Act” or “OBBBA”) which makes permanent many of the tax provisions enacted in 2017 as part of the Tax Cuts and Jobs Act that were set to expire at the end of 2025. In addition, the OBBBA makes changes to certain U.S. corporate tax provisions, but many are generally not effective until 2026. The OBBBA did not have a material impact on the results of operations.</w:t>
      </w:r>
    </w:p>
    <w:p>
      <w:pPr>
        <w:pStyle w:val="TextBody"/>
        <w:bidi w:val="0"/>
        <w:spacing w:lineRule="auto" w:line="276"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Employees and Offices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we have 356 full-time employees in the United States, United Kingdom, and Mexico and offices in Malvern, Pennsylvania; Atlanta, Georgia; River Falls, Wisconsin; Seattle, Washington; Birmingham and Sheffield, United Kingdom; and Mexico City, Mexico.</w:t>
      </w:r>
    </w:p>
    <w:p>
      <w:pPr>
        <w:pStyle w:val="TextBody"/>
        <w:bidi w:val="0"/>
        <w:spacing w:before="180" w:after="283"/>
        <w:jc w:val="both"/>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QUARTERLY RESULTS OF OPERATIONS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following discussion should be read in conjunction with the Condensed Consolidated Financial Statements and related notes included in this Quarterly Report</w:t>
      </w:r>
      <w:r>
        <w:rPr>
          <w:rFonts w:ascii="Times New Roman;serif" w:hAnsi="Times New Roman;serif"/>
          <w:b w:val="false"/>
          <w:color w:val="000000"/>
          <w:sz w:val="20"/>
          <w:shd w:fill="FFFFFF" w:val="clear"/>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Key Metrics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use certain operating metrics (Active Devices, Active Customers, Total Number of Transactions and Total Dollar Volume of Transactions, Average Revenue Per Unit, Gross Profit, and Gross Margin) and certain non-GAAP financial measures (Adjusted Gross Profit, Adjusted Gross Margin, and Adjusted EBITDA) which are defined below to evaluate our business and operations, measure our performance, identify trends affecting our business, project our future performance, and make strategic decisions. Additionally, refer to the non-GAAP Financial Measures section below for additional information and their reconciliation to the most comparable GAAP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Active Devices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Active Devices are devices that have communicated with us or have had a transaction in the last twelve months. Included in the number of Active Devices are devices that communicate through other devices that communicate or transact with us. For example, a self-service retail location that utilizes an ePort cashless payment device as well as Seed management services constitutes only one device.</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i/>
          <w:color w:val="000000"/>
          <w:sz w:val="20"/>
        </w:rPr>
      </w:pPr>
      <w:r>
        <w:rPr>
          <w:rFonts w:ascii="Times New Roman;serif" w:hAnsi="Times New Roman;serif"/>
          <w:b/>
          <w:i/>
          <w:color w:val="000000"/>
          <w:sz w:val="20"/>
        </w:rPr>
        <w:t>Active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defines Active Customers as all customers with at least one active device.</w:t>
      </w:r>
    </w:p>
    <w:p>
      <w:pPr>
        <w:pStyle w:val="TextBody"/>
        <w:bidi w:val="0"/>
        <w:spacing w:lineRule="auto" w:line="256" w:before="0" w:after="0"/>
        <w:jc w:val="both"/>
        <w:rPr>
          <w:rFonts w:ascii="Times New Roman;serif" w:hAnsi="Times New Roman;serif"/>
          <w:b/>
          <w:i/>
          <w:color w:val="000000"/>
          <w:sz w:val="20"/>
        </w:rPr>
      </w:pPr>
      <w:r>
        <w:rPr>
          <w:rFonts w:ascii="Times New Roman;serif" w:hAnsi="Times New Roman;serif"/>
          <w:b/>
          <w:i/>
          <w:color w:val="000000"/>
          <w:sz w:val="20"/>
        </w:rPr>
        <w:t>Total Number of Transactions and Total Dollar Volume of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Transactions are defined as electronic payment transactions that are processed by our technology-enabled solutions. Management uses Total Number and Dollar Volume of transactions to evaluate the effectiveness of our customer acquisition strategies and our ability to leverage existing customers and partners.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Average Revenue Per Unit</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defines average revenue per unit (“ARPU”) as our total subscription and transaction fees for the trailing 12 months divided by average total active devices for the trailing 12 months.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represent our selected operating metrics for the periods indicated:</w:t>
      </w:r>
    </w:p>
    <w:tbl>
      <w:tblPr>
        <w:tblW w:w="10205" w:type="dxa"/>
        <w:jc w:val="left"/>
        <w:tblInd w:w="0" w:type="dxa"/>
        <w:tblLayout w:type="fixed"/>
        <w:tblCellMar>
          <w:top w:w="28" w:type="dxa"/>
          <w:left w:w="28" w:type="dxa"/>
          <w:bottom w:w="28" w:type="dxa"/>
          <w:right w:w="28" w:type="dxa"/>
        </w:tblCellMar>
      </w:tblPr>
      <w:tblGrid>
        <w:gridCol w:w="1058"/>
        <w:gridCol w:w="848"/>
        <w:gridCol w:w="856"/>
        <w:gridCol w:w="218"/>
        <w:gridCol w:w="856"/>
        <w:gridCol w:w="112"/>
        <w:gridCol w:w="109"/>
        <w:gridCol w:w="109"/>
        <w:gridCol w:w="109"/>
        <w:gridCol w:w="234"/>
        <w:gridCol w:w="919"/>
        <w:gridCol w:w="121"/>
        <w:gridCol w:w="109"/>
        <w:gridCol w:w="109"/>
        <w:gridCol w:w="109"/>
        <w:gridCol w:w="237"/>
        <w:gridCol w:w="931"/>
        <w:gridCol w:w="122"/>
        <w:gridCol w:w="109"/>
        <w:gridCol w:w="109"/>
        <w:gridCol w:w="109"/>
        <w:gridCol w:w="211"/>
        <w:gridCol w:w="826"/>
        <w:gridCol w:w="109"/>
        <w:gridCol w:w="109"/>
        <w:gridCol w:w="109"/>
        <w:gridCol w:w="109"/>
        <w:gridCol w:w="218"/>
        <w:gridCol w:w="854"/>
        <w:gridCol w:w="167"/>
      </w:tblGrid>
      <w:tr>
        <w:trPr/>
        <w:tc>
          <w:tcPr>
            <w:tcW w:w="105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three months ended</w:t>
            </w:r>
          </w:p>
        </w:tc>
      </w:tr>
      <w:tr>
        <w:trPr/>
        <w:tc>
          <w:tcPr>
            <w:tcW w:w="2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Devices: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 Devices (thousands)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Customers:</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 Customers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36,388 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Volumes: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Number of Transactions (millions)</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Dollar Volume of Transactions (millions)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and transaction fees - Trailing 12 months (thousands) </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255,181 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unit (ARPU)</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Three Months Ended March 31, 2026 Compared to Three Months Ended March 31, 2025</w:t>
      </w:r>
    </w:p>
    <w:tbl>
      <w:tblPr>
        <w:tblW w:w="8364" w:type="dxa"/>
        <w:jc w:val="left"/>
        <w:tblInd w:w="0" w:type="dxa"/>
        <w:tblLayout w:type="fixed"/>
        <w:tblCellMar>
          <w:top w:w="28" w:type="dxa"/>
          <w:left w:w="28" w:type="dxa"/>
          <w:bottom w:w="28" w:type="dxa"/>
          <w:right w:w="28" w:type="dxa"/>
        </w:tblCellMar>
      </w:tblPr>
      <w:tblGrid>
        <w:gridCol w:w="912"/>
        <w:gridCol w:w="802"/>
        <w:gridCol w:w="806"/>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293"/>
        <w:gridCol w:w="293"/>
        <w:gridCol w:w="773"/>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 2025</w:t>
            </w:r>
          </w:p>
        </w:tc>
      </w:tr>
      <w:tr>
        <w:trPr/>
        <w:tc>
          <w:tcPr>
            <w:tcW w:w="2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transaction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Gross profit, transaction</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 transaction </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subscription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subscription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subscription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equipment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Gross profit, equipment</w:t>
            </w:r>
            <w:r>
              <w:rPr>
                <w:rFonts w:ascii="Times New Roman;serif" w:hAnsi="Times New Roman;serif"/>
                <w:b w:val="false"/>
                <w:color w:val="000000"/>
                <w:sz w:val="13"/>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equipment</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br/>
      </w:r>
      <w:r>
        <w:rPr>
          <w:rFonts w:ascii="Times New Roman;serif" w:hAnsi="Times New Roman;serif"/>
          <w:b w:val="false"/>
          <w:color w:val="000000"/>
          <w:sz w:val="10"/>
        </w:rPr>
        <w:t xml:space="preserve">(1) </w:t>
      </w:r>
      <w:r>
        <w:rPr>
          <w:rFonts w:ascii="Times New Roman;serif" w:hAnsi="Times New Roman;serif"/>
          <w:b w:val="false"/>
          <w:color w:val="000000"/>
          <w:sz w:val="16"/>
        </w:rPr>
        <w:t>The Company's internal-use software assets and developed technology assets are not associated with transaction fees and equipment revenue.</w:t>
      </w:r>
      <w:r>
        <w:rPr>
          <w:rFonts w:ascii="Times New Roman;serif" w:hAnsi="Times New Roman;serif"/>
          <w:b w:val="false"/>
          <w:color w:val="000000"/>
          <w:sz w:val="20"/>
        </w:rPr>
        <w:br/>
      </w:r>
      <w:r>
        <w:rPr>
          <w:rFonts w:ascii="Times New Roman;serif" w:hAnsi="Times New Roman;serif"/>
          <w:b w:val="false"/>
          <w:color w:val="000000"/>
          <w:sz w:val="10"/>
        </w:rPr>
        <w:t xml:space="preserve">(2) </w:t>
      </w:r>
      <w:r>
        <w:rPr>
          <w:rFonts w:ascii="Times New Roman;serif" w:hAnsi="Times New Roman;serif"/>
          <w:b w:val="false"/>
          <w:color w:val="000000"/>
          <w:sz w:val="16"/>
        </w:rPr>
        <w:t>Amortization of internal-use software assets and developed technology assets. In March 2025, the Company recognized additional charges of $3.0 million, due to certain capitalized internal use software, which is no longer expected to provide future economic benefits as a result of changes in business strategy and evolving technology initiatives.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Highlights for the quarter ended March 31, 2026 include: </w:t>
      </w:r>
    </w:p>
    <w:p>
      <w:pPr>
        <w:pStyle w:val="TextBody"/>
        <w:bidi w:val="0"/>
        <w:spacing w:before="240" w:after="283"/>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Revenues of </w:t>
      </w:r>
      <w:r>
        <w:rPr>
          <w:rFonts w:ascii="Times New Roman;serif" w:hAnsi="Times New Roman;serif"/>
          <w:b w:val="false"/>
          <w:color w:val="000000"/>
          <w:sz w:val="20"/>
        </w:rPr>
        <w:t>$78.7 million</w:t>
      </w:r>
      <w:r>
        <w:rPr>
          <w:rFonts w:ascii="Times New Roman;serif" w:hAnsi="Times New Roman;serif"/>
          <w:b w:val="false"/>
          <w:color w:val="000000"/>
          <w:sz w:val="20"/>
          <w:shd w:fill="FFFFFF" w:val="clear"/>
        </w:rPr>
        <w:t>, an increase of 4.3% quarter over same quarter prior year. The increase was driven by increases to transaction fees and subsc</w:t>
      </w:r>
      <w:r>
        <w:rPr>
          <w:rFonts w:ascii="Times New Roman;serif" w:hAnsi="Times New Roman;serif"/>
          <w:b w:val="false"/>
          <w:color w:val="000000"/>
          <w:sz w:val="20"/>
        </w:rPr>
        <w:t>ription fees during the quarter;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1.30 million Active Devices compared to the same quarter last year of 1.26 million, an increase of approximately 35 thousand Active Devices, or 2.8%;</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36,928 Active Customers compared to the same quarter last year of 34,115, an increase of 2,813 Active Customers, or 8.2%;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$956.8 million in Total Dollar Volume of Transactions for the quarter ended March 31, 2026 compared to $852.4 million for the quarter ended March 31, 2025, an increase of $104.4 million, or 12.2%. See “</w:t>
      </w:r>
      <w:r>
        <w:rPr>
          <w:rFonts w:ascii="Times New Roman;serif" w:hAnsi="Times New Roman;serif"/>
          <w:b w:val="false"/>
          <w:i/>
          <w:color w:val="000000"/>
          <w:sz w:val="20"/>
        </w:rPr>
        <w:t xml:space="preserve">Revenues and </w:t>
      </w:r>
      <w:r>
        <w:rPr>
          <w:rFonts w:ascii="Times New Roman;serif" w:hAnsi="Times New Roman;serif"/>
          <w:b w:val="false"/>
          <w:i/>
          <w:color w:val="000000"/>
          <w:sz w:val="20"/>
          <w:shd w:fill="FFFFFF" w:val="clear"/>
        </w:rPr>
        <w:t>Gross Margin</w:t>
      </w:r>
      <w:r>
        <w:rPr>
          <w:color w:val="000000"/>
        </w:rPr>
        <w:t xml:space="preserve">” </w:t>
      </w:r>
      <w:r>
        <w:rPr>
          <w:rFonts w:ascii="Times New Roman;serif" w:hAnsi="Times New Roman;serif"/>
          <w:b w:val="false"/>
          <w:color w:val="000000"/>
          <w:sz w:val="20"/>
        </w:rPr>
        <w:t>in Management’s Discussion and Analysis of Financial Condition and Results of Operations below for additional information.</w:t>
      </w:r>
    </w:p>
    <w:p>
      <w:pPr>
        <w:pStyle w:val="TextBody"/>
        <w:bidi w:val="0"/>
        <w:spacing w:lineRule="auto" w:line="288" w:before="240" w:after="283"/>
        <w:jc w:val="both"/>
        <w:rPr/>
      </w:pPr>
      <w:r>
        <w:rPr>
          <w:rFonts w:ascii="Times New Roman;serif" w:hAnsi="Times New Roman;serif"/>
          <w:b w:val="false"/>
          <w:i/>
          <w:color w:val="000000"/>
          <w:sz w:val="20"/>
          <w:shd w:fill="FFFFFF" w:val="clear"/>
        </w:rPr>
        <w:t>Revenues.</w:t>
      </w:r>
      <w:r>
        <w:rPr>
          <w:color w:val="000000"/>
          <w:shd w:fill="FFFFFF" w:val="clear"/>
        </w:rPr>
        <w:t> </w:t>
      </w:r>
      <w:r>
        <w:rPr>
          <w:rFonts w:ascii="Times New Roman;serif" w:hAnsi="Times New Roman;serif"/>
          <w:b w:val="false"/>
          <w:color w:val="000000"/>
          <w:sz w:val="20"/>
          <w:shd w:fill="FFFFFF" w:val="clear"/>
        </w:rPr>
        <w:t>Total revenues increased by $3.3 million for the three months ended March 31, 2026 compared to the same period in 2025. The increase in revenues is attributable to a $4.0 million increase in transaction fees, a $1.5 million increase in subscription fees offset by a $2.3 million decrease in equipment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increase in transaction fees was primarily driven by increased processing volumes, resulting in a 12.2% increase in total dollar volumes of transactions for the current fiscal year quarter relative to the same quarter in the prior year. There was also an increase in the total number of active devices relative to the same quarter in the prior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subscription fees have increased 7.2% for the three months ended March 31, 2026 compared to the same period in 2025 which is attributed to a continued focus of management to grow our recurring subscription services to our customer base, and an increase in our active devices compared to last year.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Equipment revenue decreased by $2.3 million for the three months ended March 31, 2026, compared to the same period in 2025, primarily due to high initial demand of Smart Store product in the prior fiscal year quarter.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Costs of sales.</w:t>
      </w:r>
      <w:r>
        <w:rPr>
          <w:color w:val="000000"/>
          <w:shd w:fill="FFFFFF" w:val="clear"/>
        </w:rPr>
        <w:t xml:space="preserve"> </w:t>
      </w:r>
      <w:r>
        <w:rPr>
          <w:rFonts w:ascii="Times New Roman;serif" w:hAnsi="Times New Roman;serif"/>
          <w:b w:val="false"/>
          <w:color w:val="000000"/>
          <w:sz w:val="20"/>
          <w:shd w:fill="FFFFFF" w:val="clear"/>
        </w:rPr>
        <w:t xml:space="preserve">Costs of sales increased $4.2 million for the three months ended March 31, 2026 compared to the prior year period. The increase in costs of sales was primarily due to a $5.5 million increase in transaction costs as a result of increased processing volumes </w:t>
      </w:r>
      <w:r>
        <w:rPr>
          <w:rFonts w:ascii="Times New Roman;serif" w:hAnsi="Times New Roman;serif"/>
          <w:b w:val="false"/>
          <w:color w:val="000000"/>
          <w:sz w:val="20"/>
        </w:rPr>
        <w:t>combined with increased charges from processing partners</w:t>
      </w:r>
      <w:r>
        <w:rPr>
          <w:rFonts w:ascii="Times New Roman;serif" w:hAnsi="Times New Roman;serif"/>
          <w:b w:val="false"/>
          <w:color w:val="000000"/>
          <w:sz w:val="20"/>
          <w:shd w:fill="FFFFFF" w:val="clear"/>
        </w:rPr>
        <w:t xml:space="preserve">. Equipment cost of sales decreased by $1.3 million as a result of decreased equipment sales.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 xml:space="preserve">Amortization. </w:t>
      </w:r>
      <w:r>
        <w:rPr>
          <w:rFonts w:ascii="Times New Roman;serif" w:hAnsi="Times New Roman;serif"/>
          <w:b w:val="false"/>
          <w:color w:val="000000"/>
          <w:sz w:val="20"/>
          <w:shd w:fill="FFFFFF" w:val="clear"/>
        </w:rPr>
        <w:t>Amortization of internal-use software assets and developed technology assets decreased $2.1 million for the three months ended March 31, 2026 compared to the prior year period primarily as a result of the prior year additional charges of certain capitalized internal use software that was no longer expected to provide future economic benefits as a result of changes in business strategy and evolving technology initiatives.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 xml:space="preserve">Gross margin. </w:t>
      </w:r>
      <w:r>
        <w:rPr>
          <w:rFonts w:ascii="Times New Roman;serif" w:hAnsi="Times New Roman;serif"/>
          <w:b w:val="false"/>
          <w:color w:val="000000"/>
          <w:sz w:val="20"/>
          <w:shd w:fill="FFFFFF" w:val="clear"/>
        </w:rPr>
        <w:t>Total U.S. GAAP gross margin did not materially change for the three months ended March 31, 2026 from the three months ended March 31, 2025.</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Operating Expenses</w:t>
      </w:r>
    </w:p>
    <w:tbl>
      <w:tblPr>
        <w:tblW w:w="8974" w:type="dxa"/>
        <w:jc w:val="left"/>
        <w:tblInd w:w="0" w:type="dxa"/>
        <w:tblLayout w:type="fixed"/>
        <w:tblCellMar>
          <w:top w:w="28" w:type="dxa"/>
          <w:left w:w="28" w:type="dxa"/>
          <w:bottom w:w="28" w:type="dxa"/>
          <w:right w:w="28" w:type="dxa"/>
        </w:tblCellMar>
      </w:tblPr>
      <w:tblGrid>
        <w:gridCol w:w="1172"/>
        <w:gridCol w:w="1031"/>
        <w:gridCol w:w="1036"/>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418"/>
        <w:gridCol w:w="422"/>
        <w:gridCol w:w="569"/>
      </w:tblGrid>
      <w:tr>
        <w:trPr/>
        <w:tc>
          <w:tcPr>
            <w:tcW w:w="117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Category ($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3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and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(1,069.5)</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Total operating expenses. </w:t>
      </w:r>
      <w:r>
        <w:rPr>
          <w:rFonts w:ascii="Times New Roman;serif" w:hAnsi="Times New Roman;serif"/>
          <w:b w:val="false"/>
          <w:color w:val="000000"/>
          <w:sz w:val="20"/>
          <w:shd w:fill="FFFFFF" w:val="clear"/>
        </w:rPr>
        <w:t>Operating expenses increased 27.6% for the three months ended March 31, 2026 compared to the same period in 2025. The increase was primarily driven by a $5.7 million increase in merger, acquisition, and integration expenses as well as an increase in sales and marketing expenses, technology and product development expenses, and general and administrative expenses, offset by a decrease in depreciation and amortization expenses. See further details on individual categories below.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Sales and marketing.</w:t>
      </w:r>
      <w:r>
        <w:rPr>
          <w:color w:val="000000"/>
          <w:shd w:fill="FFFFFF" w:val="clear"/>
        </w:rPr>
        <w:t xml:space="preserve"> </w:t>
      </w:r>
      <w:r>
        <w:rPr>
          <w:rFonts w:ascii="Times New Roman;serif" w:hAnsi="Times New Roman;serif"/>
          <w:b w:val="false"/>
          <w:color w:val="000000"/>
          <w:sz w:val="20"/>
          <w:shd w:fill="FFFFFF" w:val="clear"/>
        </w:rPr>
        <w:t>Sales and marketing expenses increased approximately $0.4 million for the three months ended March 31, 2026 compared to the same period in 2025. This was due to a $0.5 million increase in compensation costs, offset by a decrease in various sales and marketing expense reductions of approximately $0.1 million.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Technology and product development. </w:t>
      </w:r>
      <w:r>
        <w:rPr>
          <w:rFonts w:ascii="Times New Roman;serif" w:hAnsi="Times New Roman;serif"/>
          <w:b w:val="false"/>
          <w:color w:val="000000"/>
          <w:sz w:val="20"/>
          <w:shd w:fill="FFFFFF" w:val="clear"/>
        </w:rPr>
        <w:t xml:space="preserve">Technology and product development expenses increased by $0.4 million for the three months ended March 31, 2026 compared to the same period in 2025. The increase was driven by a $0.3 million increase in professional services and a $0.2 million increase in compensation and benefits offset by a $0.1 million decrease in various technology and product development expenses.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 xml:space="preserve">General and administrative expenses. </w:t>
      </w:r>
      <w:r>
        <w:rPr>
          <w:rFonts w:ascii="Times New Roman;serif" w:hAnsi="Times New Roman;serif"/>
          <w:b w:val="false"/>
          <w:color w:val="000000"/>
          <w:sz w:val="20"/>
          <w:shd w:fill="FFFFFF" w:val="clear"/>
        </w:rPr>
        <w:t xml:space="preserve">General and administrative expenses increased by $2.2 million for the three months ended March 31, 2026 compared to the same period in 2025. General and administrative expenses primarily increased due to $1.3 million nonrecurring legal settlement during the quarter, a $0.4 million decrease in the release sales and use taxes reserves this quarter compared to the same quarter last year, and a $0.5 million increase in professional services compared to the same quarter last year.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 xml:space="preserve">Merger, acquisition, and integration expenses. </w:t>
      </w:r>
      <w:r>
        <w:rPr>
          <w:rFonts w:ascii="Times New Roman;serif" w:hAnsi="Times New Roman;serif"/>
          <w:b w:val="false"/>
          <w:color w:val="000000"/>
          <w:sz w:val="20"/>
          <w:shd w:fill="FFFFFF" w:val="clear"/>
        </w:rPr>
        <w:t>As described in</w:t>
      </w:r>
      <w:r>
        <w:rPr>
          <w:color w:val="000000"/>
          <w:shd w:fill="FFFFFF" w:val="clear"/>
        </w:rPr>
        <w:t xml:space="preserve"> </w:t>
      </w:r>
      <w:r>
        <w:rPr>
          <w:rFonts w:ascii="Times New Roman;serif" w:hAnsi="Times New Roman;serif"/>
          <w:b w:val="false"/>
          <w:i/>
          <w:color w:val="000000"/>
          <w:sz w:val="20"/>
          <w:shd w:fill="FFFFFF" w:val="clear"/>
        </w:rPr>
        <w:t xml:space="preserve">Merger with 365 Retail Markets, LLC above, </w:t>
      </w:r>
      <w:r>
        <w:rPr>
          <w:rFonts w:ascii="Times New Roman;serif" w:hAnsi="Times New Roman;serif"/>
          <w:b w:val="false"/>
          <w:color w:val="000000"/>
          <w:sz w:val="20"/>
          <w:shd w:fill="FFFFFF" w:val="clear"/>
        </w:rPr>
        <w:t>the Company is incurring professional fees in preparation for the Merger. For the three months ended March 31, 2026, substantially all of the merger, acquisition, and integration expenses relate to these professional services.</w:t>
      </w:r>
      <w:r>
        <w:rPr>
          <w:color w:val="000000"/>
          <w:shd w:fill="FFFFFF" w:val="clear"/>
        </w:rPr>
        <w:t xml:space="preserve"> </w:t>
      </w:r>
      <w:r>
        <w:rPr>
          <w:rFonts w:ascii="Times New Roman;serif" w:hAnsi="Times New Roman;serif"/>
          <w:b w:val="false"/>
          <w:color w:val="000000"/>
          <w:sz w:val="20"/>
          <w:shd w:fill="FFFFFF" w:val="clear"/>
        </w:rPr>
        <w:t xml:space="preserve">For the three months ended March 31, 2025, as described in </w:t>
      </w:r>
      <w:r>
        <w:rPr>
          <w:rFonts w:ascii="Times New Roman;serif" w:hAnsi="Times New Roman;serif"/>
          <w:b w:val="false"/>
          <w:i/>
          <w:color w:val="000000"/>
          <w:sz w:val="20"/>
          <w:shd w:fill="FFFFFF" w:val="clear"/>
        </w:rPr>
        <w:t>Note 9 - Acquisitions</w:t>
      </w:r>
      <w:r>
        <w:rPr>
          <w:rFonts w:ascii="Times New Roman;serif" w:hAnsi="Times New Roman;serif"/>
          <w:b w:val="false"/>
          <w:color w:val="000000"/>
          <w:sz w:val="20"/>
          <w:shd w:fill="FFFFFF" w:val="clear"/>
        </w:rPr>
        <w:t xml:space="preserve">, the Company recognized a $0.6 million gain due to the decrease in the fair value of the contingent consideration associated with our SB Software acquisition, offset by $0.1 million in integration expenses.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shd w:fill="FFFFFF" w:val="clear"/>
        </w:rPr>
        <w:t xml:space="preserve">Depreciation and amortization. </w:t>
      </w:r>
      <w:r>
        <w:rPr>
          <w:rFonts w:ascii="Times New Roman;serif" w:hAnsi="Times New Roman;serif"/>
          <w:b w:val="false"/>
          <w:color w:val="000000"/>
          <w:sz w:val="20"/>
          <w:shd w:fill="FFFFFF" w:val="clear"/>
        </w:rPr>
        <w:t xml:space="preserve">Depreciation and amortization expenses decreased $2.1 million for the three months ended March 31, 2026 compared to the same period in 2025 due to the prior year additional charge of certain capitalized internal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software, which is no longer expected to provide future economic benefits as a result of changes in business strategy and evolving technology initiatives.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Other Income (Expense), Net</w:t>
      </w:r>
    </w:p>
    <w:tbl>
      <w:tblPr>
        <w:tblW w:w="10119" w:type="dxa"/>
        <w:jc w:val="left"/>
        <w:tblInd w:w="0" w:type="dxa"/>
        <w:tblLayout w:type="fixed"/>
        <w:tblCellMar>
          <w:top w:w="28" w:type="dxa"/>
          <w:left w:w="28" w:type="dxa"/>
          <w:bottom w:w="28" w:type="dxa"/>
          <w:right w:w="28" w:type="dxa"/>
        </w:tblCellMar>
      </w:tblPr>
      <w:tblGrid>
        <w:gridCol w:w="1686"/>
        <w:gridCol w:w="1486"/>
        <w:gridCol w:w="1493"/>
        <w:gridCol w:w="109"/>
        <w:gridCol w:w="109"/>
        <w:gridCol w:w="109"/>
        <w:gridCol w:w="261"/>
        <w:gridCol w:w="578"/>
        <w:gridCol w:w="135"/>
        <w:gridCol w:w="135"/>
        <w:gridCol w:w="135"/>
        <w:gridCol w:w="135"/>
        <w:gridCol w:w="261"/>
        <w:gridCol w:w="578"/>
        <w:gridCol w:w="135"/>
        <w:gridCol w:w="109"/>
        <w:gridCol w:w="109"/>
        <w:gridCol w:w="109"/>
        <w:gridCol w:w="211"/>
        <w:gridCol w:w="541"/>
        <w:gridCol w:w="109"/>
        <w:gridCol w:w="109"/>
        <w:gridCol w:w="109"/>
        <w:gridCol w:w="109"/>
        <w:gridCol w:w="344"/>
        <w:gridCol w:w="346"/>
        <w:gridCol w:w="569"/>
      </w:tblGrid>
      <w:tr>
        <w:trPr/>
        <w:tc>
          <w:tcPr>
            <w:tcW w:w="168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 on debt and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Other expense, net</w:t>
      </w:r>
      <w:r>
        <w:rPr>
          <w:rFonts w:ascii="Times New Roman;serif" w:hAnsi="Times New Roman;serif"/>
          <w:b w:val="false"/>
          <w:color w:val="000000"/>
          <w:sz w:val="20"/>
        </w:rPr>
        <w:t>. Other income (expense), net decreased $0.2 million for the three months ended March 31, 2026 as compared to the same period in 2025. The $0.1 million decrease in interest income is primarily due to lower outstanding balances for our finance receivables. Our interest expense from debt and tax liabilities increased by $0.1 million for three months ended March 31, 2026 as compared to the same period in 2025 primarily due to the adjustments to the accrued interest component of sales tax liability. Other (expense) income, net increased by $0.1 million primarily due to foreign currency transactions.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Benefit (expense) from provision for income taxes</w:t>
      </w:r>
    </w:p>
    <w:tbl>
      <w:tblPr>
        <w:tblW w:w="9995" w:type="dxa"/>
        <w:jc w:val="left"/>
        <w:tblInd w:w="0" w:type="dxa"/>
        <w:tblLayout w:type="fixed"/>
        <w:tblCellMar>
          <w:top w:w="28" w:type="dxa"/>
          <w:left w:w="28" w:type="dxa"/>
          <w:bottom w:w="28" w:type="dxa"/>
          <w:right w:w="28" w:type="dxa"/>
        </w:tblCellMar>
      </w:tblPr>
      <w:tblGrid>
        <w:gridCol w:w="1567"/>
        <w:gridCol w:w="1380"/>
        <w:gridCol w:w="1387"/>
        <w:gridCol w:w="109"/>
        <w:gridCol w:w="109"/>
        <w:gridCol w:w="109"/>
        <w:gridCol w:w="211"/>
        <w:gridCol w:w="691"/>
        <w:gridCol w:w="109"/>
        <w:gridCol w:w="109"/>
        <w:gridCol w:w="109"/>
        <w:gridCol w:w="109"/>
        <w:gridCol w:w="211"/>
        <w:gridCol w:w="721"/>
        <w:gridCol w:w="109"/>
        <w:gridCol w:w="109"/>
        <w:gridCol w:w="109"/>
        <w:gridCol w:w="109"/>
        <w:gridCol w:w="211"/>
        <w:gridCol w:w="796"/>
        <w:gridCol w:w="109"/>
        <w:gridCol w:w="109"/>
        <w:gridCol w:w="109"/>
        <w:gridCol w:w="109"/>
        <w:gridCol w:w="308"/>
        <w:gridCol w:w="308"/>
        <w:gridCol w:w="569"/>
      </w:tblGrid>
      <w:tr>
        <w:trPr/>
        <w:tc>
          <w:tcPr>
            <w:tcW w:w="156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Change</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shd w:fill="FFFFFF" w:val="clear"/>
              </w:rPr>
            </w:pPr>
            <w:r>
              <w:rPr>
                <w:rFonts w:ascii="Times New Roman;serif" w:hAnsi="Times New Roman;serif"/>
                <w:b/>
                <w:color w:val="000000"/>
                <w:sz w:val="16"/>
                <w:shd w:fill="FFFFFF" w:val="clear"/>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Percentage</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Benefit (expense) from provision for income taxes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(1,511)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41,904 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(43,415)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103.6 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r>
    </w:tbl>
    <w:p>
      <w:pPr>
        <w:pStyle w:val="TextBody"/>
        <w:bidi w:val="0"/>
        <w:spacing w:lineRule="auto" w:line="276" w:before="0" w:after="0"/>
        <w:jc w:val="both"/>
        <w:rPr>
          <w:rFonts w:ascii="Times New Roman;serif" w:hAnsi="Times New Roman;serif"/>
          <w:b w:val="false"/>
          <w:color w:val="000000"/>
          <w:sz w:val="10"/>
        </w:rPr>
      </w:pPr>
      <w:r>
        <w:rPr>
          <w:rFonts w:ascii="Times New Roman;serif" w:hAnsi="Times New Roman;serif"/>
          <w:b w:val="false"/>
          <w:color w:val="000000"/>
          <w:sz w:val="10"/>
        </w:rPr>
        <w:t>(1) The percentage change is not meaningful due to the valuation allowance release described below.</w:t>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income tax provision for the three months ended March 31, 2026, primarily relates to non-deductible transaction costs. The income tax benefit for the three months ended March 31, 2025, relates to the $42.2 million valuation allowance release, offset by state income and deferred taxes related to goodwill amortization for tax purposes.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Nine Months Ended March 31, 2026 Compared to Nine Months Ended March 31, 2025</w:t>
      </w:r>
    </w:p>
    <w:tbl>
      <w:tblPr>
        <w:tblW w:w="8384" w:type="dxa"/>
        <w:jc w:val="left"/>
        <w:tblInd w:w="0" w:type="dxa"/>
        <w:tblLayout w:type="fixed"/>
        <w:tblCellMar>
          <w:top w:w="28" w:type="dxa"/>
          <w:left w:w="28" w:type="dxa"/>
          <w:bottom w:w="28" w:type="dxa"/>
          <w:right w:w="28" w:type="dxa"/>
        </w:tblCellMar>
      </w:tblPr>
      <w:tblGrid>
        <w:gridCol w:w="825"/>
        <w:gridCol w:w="725"/>
        <w:gridCol w:w="729"/>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266"/>
        <w:gridCol w:w="266"/>
        <w:gridCol w:w="773"/>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March 31,</w:t>
            </w:r>
          </w:p>
        </w:tc>
        <w:tc>
          <w:tcPr>
            <w:tcW w:w="12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 2025</w:t>
            </w:r>
          </w:p>
        </w:tc>
      </w:tr>
      <w:tr>
        <w:trPr/>
        <w:tc>
          <w:tcPr>
            <w:tcW w:w="2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transaction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Gross profit, transaction</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transaction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subscription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subscription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subscription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equipment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Gross profit, equipment</w:t>
            </w:r>
            <w:r>
              <w:rPr>
                <w:rFonts w:ascii="Times New Roman;serif" w:hAnsi="Times New Roman;serif"/>
                <w:b w:val="false"/>
                <w:color w:val="000000"/>
                <w:sz w:val="13"/>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equipment</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margin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Times New Roman;serif" w:hAnsi="Times New Roman;serif"/>
          <w:b w:val="false"/>
          <w:color w:val="000000"/>
          <w:sz w:val="20"/>
        </w:rPr>
        <w:br/>
      </w:r>
      <w:r>
        <w:rPr>
          <w:rFonts w:ascii="Times New Roman;serif" w:hAnsi="Times New Roman;serif"/>
          <w:b w:val="false"/>
          <w:color w:val="000000"/>
          <w:sz w:val="10"/>
        </w:rPr>
        <w:t xml:space="preserve">(1) </w:t>
      </w:r>
      <w:r>
        <w:rPr>
          <w:rFonts w:ascii="Times New Roman;serif" w:hAnsi="Times New Roman;serif"/>
          <w:b w:val="false"/>
          <w:color w:val="000000"/>
          <w:sz w:val="16"/>
        </w:rPr>
        <w:t>The Company's internal-use software assets and developed technology assets are not associated with transaction fees and equipment revenue.</w:t>
      </w:r>
      <w:r>
        <w:rPr>
          <w:rFonts w:ascii="Times New Roman;serif" w:hAnsi="Times New Roman;serif"/>
          <w:b w:val="false"/>
          <w:color w:val="000000"/>
          <w:sz w:val="20"/>
        </w:rPr>
        <w:br/>
      </w: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Amortization of internal-use software assets and developed technology assets. In March 2025, the Company recognized additional charges of $3.0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due to certain capitalized internal use software, which is no longer expected to provide future economic benefits as a result of changes in business strategy and evolving technology initiatives.</w:t>
      </w:r>
    </w:p>
    <w:p>
      <w:pPr>
        <w:pStyle w:val="TextBody"/>
        <w:bidi w:val="0"/>
        <w:spacing w:lineRule="auto" w:line="288" w:before="100" w:after="60"/>
        <w:jc w:val="both"/>
        <w:rPr/>
      </w:pPr>
      <w:r>
        <w:rPr>
          <w:rFonts w:ascii="Times New Roman;serif" w:hAnsi="Times New Roman;serif"/>
          <w:b w:val="false"/>
          <w:i/>
          <w:color w:val="000000"/>
          <w:sz w:val="20"/>
          <w:shd w:fill="FFFFFF" w:val="clear"/>
        </w:rPr>
        <w:t>Revenues.</w:t>
      </w:r>
      <w:r>
        <w:rPr>
          <w:color w:val="000000"/>
          <w:shd w:fill="FFFFFF" w:val="clear"/>
        </w:rPr>
        <w:t> </w:t>
      </w:r>
      <w:r>
        <w:rPr>
          <w:rFonts w:ascii="Times New Roman;serif" w:hAnsi="Times New Roman;serif"/>
          <w:b w:val="false"/>
          <w:color w:val="000000"/>
          <w:sz w:val="20"/>
          <w:shd w:fill="FFFFFF" w:val="clear"/>
        </w:rPr>
        <w:t>Total revenues increased by $18.3 million for the nine months ended March 31, 2026 compared to the same period in 2025. The increase in revenues is attributed to a $12.0 million increase in transaction fees, a $4.7 million increase in subscription fees and a $1.6 million increase in equipment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increase in transaction fees was primarily driven by increased processing volumes resulting in a 13.3% increase in total dollar volumes of transactions for the nine months ended March 31, 2026 relative to the prior year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subscription fees have increased 7.5% for the nine months ended March 31, 2026 compared to the same period in 2025 which is attributed to a continued focus of management to grow our recurring subscription services to our customer base and an increase in our active devices compared to last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Equipment revenue increased slightly to $27.5 million for the nine months ended March 31, 2026, compared to $25.9 million for the prior year period. The increase is due to increased sales of different product lines including smart stores combined with increased growth internationally.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Costs of sales.</w:t>
      </w:r>
      <w:r>
        <w:rPr>
          <w:color w:val="000000"/>
          <w:shd w:fill="FFFFFF" w:val="clear"/>
        </w:rPr>
        <w:t xml:space="preserve"> </w:t>
      </w:r>
      <w:r>
        <w:rPr>
          <w:rFonts w:ascii="Times New Roman;serif" w:hAnsi="Times New Roman;serif"/>
          <w:b w:val="false"/>
          <w:color w:val="000000"/>
          <w:sz w:val="20"/>
          <w:shd w:fill="FFFFFF" w:val="clear"/>
        </w:rPr>
        <w:t xml:space="preserve">Costs of sales increased $14.7 million for the nine months ended March 31, 2026 compared to the prior year period. The increase in costs of sales was primarily due to a $13.0 million increase in transaction costs as a direct result of increased transaction processing fees corresponding with an increase in processing volumes combined with increased fees from processing partners and an increase in cost of equipment of $1.8 million corresponding with increased equipment sales.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 xml:space="preserve">Amortization. </w:t>
      </w:r>
      <w:r>
        <w:rPr>
          <w:rFonts w:ascii="Times New Roman;serif" w:hAnsi="Times New Roman;serif"/>
          <w:b w:val="false"/>
          <w:color w:val="000000"/>
          <w:sz w:val="20"/>
          <w:shd w:fill="FFFFFF" w:val="clear"/>
        </w:rPr>
        <w:t>Amortization of internal-use software assets and developed technology assets decreased $0.2 million for the nine months ended March 31, 2026 compared to the prior year period, due to the prior year additional charge of $3.0 million related to certain capitalized internal use software which was no longer expected to provide future economic benefits as a result of changes in business strategy and evolving technology initiatives and amortization of intangibles from the acquisitions of Cheq and SB Software. The prior period additional charge is offset by additional depreciation of internal-use software in the current period resulting from increased capitalization of internal-use software in the beginning of the fiscal year.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Gross margin.</w:t>
      </w:r>
      <w:r>
        <w:rPr>
          <w:color w:val="000000"/>
          <w:shd w:fill="FFFFFF" w:val="clear"/>
        </w:rPr>
        <w:t xml:space="preserve"> </w:t>
      </w:r>
      <w:r>
        <w:rPr>
          <w:rFonts w:ascii="Times New Roman;serif" w:hAnsi="Times New Roman;serif"/>
          <w:b w:val="false"/>
          <w:color w:val="000000"/>
          <w:sz w:val="20"/>
          <w:shd w:fill="FFFFFF" w:val="clear"/>
        </w:rPr>
        <w:t>Total U.S. GAAP gross margin decreased to 35.8% for the nine months ended March 31, 2026 from 37.1% for the nine months ended March 31, 2025. The decrease was primarily a result of increased transaction cost due to increased fees from processing partners.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Operating Expenses</w:t>
      </w:r>
    </w:p>
    <w:tbl>
      <w:tblPr>
        <w:tblW w:w="9079" w:type="dxa"/>
        <w:jc w:val="left"/>
        <w:tblInd w:w="0" w:type="dxa"/>
        <w:tblLayout w:type="fixed"/>
        <w:tblCellMar>
          <w:top w:w="28" w:type="dxa"/>
          <w:left w:w="28" w:type="dxa"/>
          <w:bottom w:w="28" w:type="dxa"/>
          <w:right w:w="28" w:type="dxa"/>
        </w:tblCellMar>
      </w:tblPr>
      <w:tblGrid>
        <w:gridCol w:w="1172"/>
        <w:gridCol w:w="1031"/>
        <w:gridCol w:w="1036"/>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418"/>
        <w:gridCol w:w="422"/>
        <w:gridCol w:w="569"/>
      </w:tblGrid>
      <w:tr>
        <w:trPr/>
        <w:tc>
          <w:tcPr>
            <w:tcW w:w="117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Category ($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3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and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(5,638.6)</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Total operating expenses. </w:t>
      </w:r>
      <w:r>
        <w:rPr>
          <w:rFonts w:ascii="Times New Roman;serif" w:hAnsi="Times New Roman;serif"/>
          <w:b w:val="false"/>
          <w:color w:val="000000"/>
          <w:sz w:val="20"/>
          <w:shd w:fill="FFFFFF" w:val="clear"/>
        </w:rPr>
        <w:t xml:space="preserve">Operating expenses increased 24.8% for the nine months ended March 31, 2026 compared to the same period in 2025. The increase is primarily driven by $16.5 million increase in merger, acquisition, and integration expenses as well as increases in sales and marketing expenses and technology and product development expenses, offset by a decrease in general and administrative expenses and a decrease in depreciation and amortization expenses. See further details on individual categories below.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Sales and marketing.</w:t>
      </w:r>
      <w:r>
        <w:rPr>
          <w:color w:val="000000"/>
          <w:shd w:fill="FFFFFF" w:val="clear"/>
        </w:rPr>
        <w:t xml:space="preserve"> </w:t>
      </w:r>
      <w:r>
        <w:rPr>
          <w:rFonts w:ascii="Times New Roman;serif" w:hAnsi="Times New Roman;serif"/>
          <w:b w:val="false"/>
          <w:color w:val="000000"/>
          <w:sz w:val="20"/>
          <w:shd w:fill="FFFFFF" w:val="clear"/>
        </w:rPr>
        <w:t>Sales and marketing expenses increased approximately $2.1 million for the nine months ended March 31, 2026 compared to the same period in 2025. This was primarily due to increased compensation costs of approximately $2.2 million offset by a decrease in various sales and marketing expense reductions of approximately $0.1 million. Overall, these increases are due to investments being made to drive revenue both domestically and internationally.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Technology and product development. </w:t>
      </w:r>
      <w:r>
        <w:rPr>
          <w:rFonts w:ascii="Times New Roman;serif" w:hAnsi="Times New Roman;serif"/>
          <w:b w:val="false"/>
          <w:color w:val="000000"/>
          <w:sz w:val="20"/>
          <w:shd w:fill="FFFFFF" w:val="clear"/>
        </w:rPr>
        <w:t xml:space="preserve">Technology and product development expenses increased by $1.0 million for the nine months ended March 31, 2026, due to $0.7 million increase in professional services, a $0.5 million increase in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and benefits, offset by a $0.1 million decrease in travel expenses and by a $0.1 million decrease in technology equipment and supplies.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 xml:space="preserve">General and administrative expenses. </w:t>
      </w:r>
      <w:r>
        <w:rPr>
          <w:rFonts w:ascii="Times New Roman;serif" w:hAnsi="Times New Roman;serif"/>
          <w:b w:val="false"/>
          <w:color w:val="000000"/>
          <w:sz w:val="20"/>
          <w:shd w:fill="FFFFFF" w:val="clear"/>
        </w:rPr>
        <w:t>General and administrative expenses decreased by $1.3 million for the nine months ended March 31, 2026 compared to the same period in 2025. General and administrative decreased $2.3 million due to a one time receipt of Employee Retention Tax credit, offset by a $1.3 million increase in a nonrecurring legal settlements during the period and an $0.3 million decrease in the release of sales and use taxes reserves compared to the same period last year.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 xml:space="preserve">Merger, acquisition, and integration expenses. </w:t>
      </w:r>
      <w:r>
        <w:rPr>
          <w:rFonts w:ascii="Times New Roman;serif" w:hAnsi="Times New Roman;serif"/>
          <w:b w:val="false"/>
          <w:color w:val="000000"/>
          <w:sz w:val="20"/>
          <w:shd w:fill="FFFFFF" w:val="clear"/>
        </w:rPr>
        <w:t>As described in</w:t>
      </w:r>
      <w:r>
        <w:rPr>
          <w:color w:val="000000"/>
          <w:shd w:fill="FFFFFF" w:val="clear"/>
        </w:rPr>
        <w:t xml:space="preserve"> </w:t>
      </w:r>
      <w:r>
        <w:rPr>
          <w:rFonts w:ascii="Times New Roman;serif" w:hAnsi="Times New Roman;serif"/>
          <w:b w:val="false"/>
          <w:i/>
          <w:color w:val="000000"/>
          <w:sz w:val="20"/>
          <w:shd w:fill="FFFFFF" w:val="clear"/>
        </w:rPr>
        <w:t xml:space="preserve">Merger with 365 Retail Markets, LLC </w:t>
      </w:r>
      <w:r>
        <w:rPr>
          <w:rFonts w:ascii="Times New Roman;serif" w:hAnsi="Times New Roman;serif"/>
          <w:b w:val="false"/>
          <w:color w:val="000000"/>
          <w:sz w:val="20"/>
          <w:shd w:fill="FFFFFF" w:val="clear"/>
        </w:rPr>
        <w:t>above, the Company is incurring professional service fees in preparation for the Merger. For the nine months ended March 31, 2026, substantially all of the merger, acquisition, and integration expense relate to these professional services. For the nine months ended March 31, 2025, the Company incurred integration and acquisition expenses associated with our acquisition of SB Software, however, these were offset by a $0.6 million decrease in the fair value of the contingent consideration.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shd w:fill="FFFFFF" w:val="clear"/>
        </w:rPr>
        <w:t xml:space="preserve">Depreciation and amortization. </w:t>
      </w:r>
      <w:r>
        <w:rPr>
          <w:rFonts w:ascii="Times New Roman;serif" w:hAnsi="Times New Roman;serif"/>
          <w:b w:val="false"/>
          <w:color w:val="000000"/>
          <w:sz w:val="20"/>
          <w:shd w:fill="FFFFFF" w:val="clear"/>
        </w:rPr>
        <w:t>Depreciation and amortization expenses were decreased $0.1 million for the nine months ended March 31, 2026 compared to the prior year period, as a result of an additional charge in the prior period of $3.0 million related to certain capitalized internal use software which was no longer expected to provide future economic benefits as a result of changes in business strategy and evolving technology initiatives. The prior period additional charge is offset by additional depreciation of internal-use software in the current period, resulting from increased capitalization of internal-use software in the beginning of the fiscal year.</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Other Income (Expense), Net</w:t>
      </w:r>
    </w:p>
    <w:tbl>
      <w:tblPr>
        <w:tblW w:w="10148" w:type="dxa"/>
        <w:jc w:val="left"/>
        <w:tblInd w:w="0" w:type="dxa"/>
        <w:tblLayout w:type="fixed"/>
        <w:tblCellMar>
          <w:top w:w="28" w:type="dxa"/>
          <w:left w:w="28" w:type="dxa"/>
          <w:bottom w:w="28" w:type="dxa"/>
          <w:right w:w="28" w:type="dxa"/>
        </w:tblCellMar>
      </w:tblPr>
      <w:tblGrid>
        <w:gridCol w:w="1686"/>
        <w:gridCol w:w="1486"/>
        <w:gridCol w:w="1493"/>
        <w:gridCol w:w="109"/>
        <w:gridCol w:w="109"/>
        <w:gridCol w:w="109"/>
        <w:gridCol w:w="214"/>
        <w:gridCol w:w="702"/>
        <w:gridCol w:w="110"/>
        <w:gridCol w:w="110"/>
        <w:gridCol w:w="110"/>
        <w:gridCol w:w="110"/>
        <w:gridCol w:w="214"/>
        <w:gridCol w:w="626"/>
        <w:gridCol w:w="110"/>
        <w:gridCol w:w="109"/>
        <w:gridCol w:w="109"/>
        <w:gridCol w:w="109"/>
        <w:gridCol w:w="211"/>
        <w:gridCol w:w="541"/>
        <w:gridCol w:w="109"/>
        <w:gridCol w:w="109"/>
        <w:gridCol w:w="109"/>
        <w:gridCol w:w="109"/>
        <w:gridCol w:w="383"/>
        <w:gridCol w:w="383"/>
        <w:gridCol w:w="569"/>
      </w:tblGrid>
      <w:tr>
        <w:trPr/>
        <w:tc>
          <w:tcPr>
            <w:tcW w:w="168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 on debt and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1,133.3 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Other expense, net</w:t>
      </w:r>
      <w:r>
        <w:rPr>
          <w:rFonts w:ascii="Times New Roman;serif" w:hAnsi="Times New Roman;serif"/>
          <w:b w:val="false"/>
          <w:color w:val="000000"/>
          <w:sz w:val="20"/>
        </w:rPr>
        <w:t>. Total other expense increased $0.2 million for the nine months ended March 31, 2026 as compared to the same period in 2025. The decrease in interest income of $0.2 million is primarily due to lower outstanding balances for our finance receivables. Our interest expense from debt and tax liabilities decreased $0.1 million primarily due to the reduction of the interest component of our sales tax liability. Other (expense) income, net increased $0.1 million primarily due to foreign currency transactions.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Benefit (expense) from provision for income taxes</w:t>
      </w:r>
    </w:p>
    <w:tbl>
      <w:tblPr>
        <w:tblW w:w="9995" w:type="dxa"/>
        <w:jc w:val="left"/>
        <w:tblInd w:w="0" w:type="dxa"/>
        <w:tblLayout w:type="fixed"/>
        <w:tblCellMar>
          <w:top w:w="28" w:type="dxa"/>
          <w:left w:w="28" w:type="dxa"/>
          <w:bottom w:w="28" w:type="dxa"/>
          <w:right w:w="28" w:type="dxa"/>
        </w:tblCellMar>
      </w:tblPr>
      <w:tblGrid>
        <w:gridCol w:w="1567"/>
        <w:gridCol w:w="1380"/>
        <w:gridCol w:w="1387"/>
        <w:gridCol w:w="109"/>
        <w:gridCol w:w="109"/>
        <w:gridCol w:w="109"/>
        <w:gridCol w:w="211"/>
        <w:gridCol w:w="691"/>
        <w:gridCol w:w="109"/>
        <w:gridCol w:w="109"/>
        <w:gridCol w:w="109"/>
        <w:gridCol w:w="109"/>
        <w:gridCol w:w="211"/>
        <w:gridCol w:w="721"/>
        <w:gridCol w:w="109"/>
        <w:gridCol w:w="109"/>
        <w:gridCol w:w="109"/>
        <w:gridCol w:w="109"/>
        <w:gridCol w:w="211"/>
        <w:gridCol w:w="796"/>
        <w:gridCol w:w="109"/>
        <w:gridCol w:w="109"/>
        <w:gridCol w:w="109"/>
        <w:gridCol w:w="109"/>
        <w:gridCol w:w="308"/>
        <w:gridCol w:w="308"/>
        <w:gridCol w:w="569"/>
      </w:tblGrid>
      <w:tr>
        <w:trPr/>
        <w:tc>
          <w:tcPr>
            <w:tcW w:w="156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Benefit (expense) from provision for income taxes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0" w:after="0"/>
        <w:jc w:val="both"/>
        <w:rPr>
          <w:rFonts w:ascii="Times New Roman;serif" w:hAnsi="Times New Roman;serif"/>
          <w:b w:val="false"/>
          <w:color w:val="000000"/>
          <w:sz w:val="10"/>
        </w:rPr>
      </w:pPr>
      <w:r>
        <w:rPr>
          <w:rFonts w:ascii="Times New Roman;serif" w:hAnsi="Times New Roman;serif"/>
          <w:b w:val="false"/>
          <w:color w:val="000000"/>
          <w:sz w:val="10"/>
        </w:rPr>
        <w:t>(1) The percentage change is not meaningful due to the valuation allowance release described below.</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shd w:fill="FFFFFF" w:val="clear"/>
        </w:rPr>
        <w:t>The income tax provision for the nine months ended March 31, 2026, primarily relates to non-deductible transaction costs.</w:t>
      </w:r>
      <w:r>
        <w:rPr>
          <w:rFonts w:ascii="Times New Roman;serif" w:hAnsi="Times New Roman;serif"/>
          <w:b w:val="false"/>
          <w:color w:val="000000"/>
          <w:sz w:val="20"/>
        </w:rPr>
        <w:t xml:space="preserve">The income tax benefit for the nine months ended March 31, 2025, relates to the $42.2 million valuation allowance release, offset by state income and deferred taxes related to goodwill amortization for tax purposes.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use non-GAAP financial measures for financial and operational decision-making purposes and as a means to evaluate period-to-period comparisons. We believe that these non-GAAP financial measures provide useful information about our operating results, enhance the overall understanding of past financial performance and future prospects and allow for greater transparency with respect to metrics used by our management in their financial and operational decision making. The presentation of these financial measures is not intended to be considered in isolation or as a substitute for the financial measures prepared and presented in accordance with GAAP. Management recognizes that non-GAAP financial measures have limitations in that they do not reflect all of the items associated with our net income as determined in accordance with GAAP, and are not a substitute for or a measure of our profitability or net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56"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Adjusted Gross Profit and Margin (non-GAAP)</w:t>
      </w:r>
    </w:p>
    <w:p>
      <w:pPr>
        <w:pStyle w:val="TextBody"/>
        <w:bidi w:val="0"/>
        <w:spacing w:lineRule="auto" w:line="288" w:before="240" w:after="283"/>
        <w:jc w:val="both"/>
        <w:rPr/>
      </w:pPr>
      <w:r>
        <w:rPr>
          <w:rFonts w:ascii="Times New Roman;serif" w:hAnsi="Times New Roman;serif"/>
          <w:b w:val="false"/>
          <w:color w:val="000000"/>
          <w:sz w:val="20"/>
        </w:rPr>
        <w:t xml:space="preserve">We define Adjusted Gross Profit (non-GAAP) as revenue less cost of sales, exclusive of </w:t>
      </w:r>
      <w:r>
        <w:rPr>
          <w:rFonts w:ascii="Times New Roman;serif" w:hAnsi="Times New Roman;serif"/>
          <w:b w:val="false"/>
          <w:color w:val="000000"/>
          <w:sz w:val="20"/>
          <w:shd w:fill="FFFFFF" w:val="clear"/>
        </w:rPr>
        <w:t>depreciation of internally-developed software and amortization of intangible assets related to technologies obtained through acquisitions. We believe this non-GAAP measure is useful to view the resulting figures excluding the aforementioned non-cash charges because the amount of such expenses in any specific period may not directly correlate to the underlying performance of our business operations and such amounts vary substantially from company to company depending on their financing and capital structures and the method by which their assets were acquired. We define Adjusted Gross Margin as Adjusted Gross Profit divided by revenue.</w:t>
      </w:r>
    </w:p>
    <w:p>
      <w:pPr>
        <w:pStyle w:val="TextBody"/>
        <w:bidi w:val="0"/>
        <w:spacing w:lineRule="auto" w:line="288" w:before="240" w:after="283"/>
        <w:jc w:val="both"/>
        <w:rPr/>
      </w:pPr>
      <w:r>
        <w:rPr>
          <w:rFonts w:ascii="Times New Roman;serif" w:hAnsi="Times New Roman;serif"/>
          <w:b w:val="false"/>
          <w:color w:val="000000"/>
          <w:sz w:val="20"/>
          <w:shd w:fill="FFFFFF" w:val="clear"/>
        </w:rPr>
        <w:t>We have provided below</w:t>
      </w:r>
      <w:r>
        <w:rPr>
          <w:color w:val="000000"/>
        </w:rPr>
        <w:t xml:space="preserve"> </w:t>
      </w:r>
      <w:r>
        <w:rPr>
          <w:rFonts w:ascii="Times New Roman;serif" w:hAnsi="Times New Roman;serif"/>
          <w:b w:val="false"/>
          <w:color w:val="000000"/>
          <w:sz w:val="20"/>
        </w:rPr>
        <w:t>a reconciliation of U.S. GAAP gross profit to Adjusted Gross Profit and Adjusted Gross Margin for the three and nine months ended March 31, 2026 and 2025:</w:t>
      </w:r>
    </w:p>
    <w:tbl>
      <w:tblPr>
        <w:tblW w:w="9909" w:type="dxa"/>
        <w:jc w:val="left"/>
        <w:tblInd w:w="0" w:type="dxa"/>
        <w:tblLayout w:type="fixed"/>
        <w:tblCellMar>
          <w:top w:w="28" w:type="dxa"/>
          <w:left w:w="28" w:type="dxa"/>
          <w:bottom w:w="28" w:type="dxa"/>
          <w:right w:w="28" w:type="dxa"/>
        </w:tblCellMar>
      </w:tblPr>
      <w:tblGrid>
        <w:gridCol w:w="1497"/>
        <w:gridCol w:w="1318"/>
        <w:gridCol w:w="1325"/>
        <w:gridCol w:w="211"/>
        <w:gridCol w:w="721"/>
        <w:gridCol w:w="271"/>
        <w:gridCol w:w="109"/>
        <w:gridCol w:w="109"/>
        <w:gridCol w:w="109"/>
        <w:gridCol w:w="211"/>
        <w:gridCol w:w="721"/>
        <w:gridCol w:w="271"/>
        <w:gridCol w:w="109"/>
        <w:gridCol w:w="109"/>
        <w:gridCol w:w="109"/>
        <w:gridCol w:w="211"/>
        <w:gridCol w:w="541"/>
        <w:gridCol w:w="271"/>
        <w:gridCol w:w="109"/>
        <w:gridCol w:w="109"/>
        <w:gridCol w:w="109"/>
        <w:gridCol w:w="293"/>
        <w:gridCol w:w="293"/>
        <w:gridCol w:w="773"/>
      </w:tblGrid>
      <w:tr>
        <w:trPr/>
        <w:tc>
          <w:tcPr>
            <w:tcW w:w="1497"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 2025</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transaction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transaction (GAAP)</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subscription (GAAP)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 subscription (non-GAAP)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Margin, subscription (non-GAAP)</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equipment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equipment (GAAP)</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Adjusted Gross Profit (non-GAAP)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Adjusted Gross Margin (non-GAAP)</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240" w:after="283"/>
        <w:jc w:val="both"/>
        <w:rPr/>
      </w:pPr>
      <w:r>
        <w:rPr>
          <w:rFonts w:ascii="Times New Roman;serif" w:hAnsi="Times New Roman;serif"/>
          <w:b w:val="false"/>
          <w:color w:val="000000"/>
          <w:sz w:val="20"/>
        </w:rPr>
        <w:br/>
      </w:r>
      <w:r>
        <w:rPr>
          <w:rFonts w:ascii="Times New Roman;serif" w:hAnsi="Times New Roman;serif"/>
          <w:b w:val="false"/>
          <w:color w:val="000000"/>
          <w:sz w:val="10"/>
        </w:rPr>
        <w:t xml:space="preserve">(1) </w:t>
      </w:r>
      <w:r>
        <w:rPr>
          <w:rFonts w:ascii="Times New Roman;serif" w:hAnsi="Times New Roman;serif"/>
          <w:b w:val="false"/>
          <w:color w:val="000000"/>
          <w:sz w:val="16"/>
        </w:rPr>
        <w:t>Amortization of internal-use software assets and developed technology assets. In March 2025, the Company recognized additional charges of $3.0 million, due to certain capitalized internal use software, which is no longer expected to provide future economic benefits as a result of changes in business strategy and evolving technology initiatives.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Total Adjusted Gross Margin (non-GAAP) was </w:t>
      </w:r>
      <w:r>
        <w:rPr>
          <w:rFonts w:ascii="Times New Roman;serif" w:hAnsi="Times New Roman;serif"/>
          <w:b w:val="false"/>
          <w:color w:val="000000"/>
          <w:sz w:val="20"/>
        </w:rPr>
        <w:t>38.7%</w:t>
      </w:r>
      <w:r>
        <w:rPr>
          <w:color w:val="000000"/>
          <w:shd w:fill="FFFFFF" w:val="clear"/>
        </w:rPr>
        <w:t xml:space="preserve"> </w:t>
      </w:r>
      <w:r>
        <w:rPr>
          <w:rFonts w:ascii="Times New Roman;serif" w:hAnsi="Times New Roman;serif"/>
          <w:b w:val="false"/>
          <w:color w:val="000000"/>
          <w:sz w:val="20"/>
          <w:shd w:fill="FFFFFF" w:val="clear"/>
        </w:rPr>
        <w:t>for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from </w:t>
      </w:r>
      <w:r>
        <w:rPr>
          <w:rFonts w:ascii="Times New Roman;serif" w:hAnsi="Times New Roman;serif"/>
          <w:b w:val="false"/>
          <w:color w:val="000000"/>
          <w:sz w:val="20"/>
        </w:rPr>
        <w:t>41.6%</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March 31, 2025</w:t>
      </w:r>
      <w:r>
        <w:rPr>
          <w:rFonts w:ascii="Times New Roman;serif" w:hAnsi="Times New Roman;serif"/>
          <w:b w:val="false"/>
          <w:color w:val="000000"/>
          <w:sz w:val="20"/>
          <w:shd w:fill="FFFFFF" w:val="clear"/>
        </w:rPr>
        <w:t>. The decrease in Adjusted Gross Margin was driven by an increase in our transaction costs due to increased fees from processing partners</w:t>
      </w:r>
      <w:r>
        <w:rPr>
          <w:rFonts w:ascii="Times New Roman;serif" w:hAnsi="Times New Roman;serif"/>
          <w:b w:val="false"/>
          <w:color w:val="000000"/>
          <w:sz w:val="20"/>
        </w:rPr>
        <w:t>.</w:t>
      </w:r>
    </w:p>
    <w:p>
      <w:pPr>
        <w:pStyle w:val="TextBody"/>
        <w:bidi w:val="0"/>
        <w:spacing w:before="0" w:after="0"/>
        <w:jc w:val="both"/>
        <w:rPr/>
      </w:pPr>
      <w:r>
        <w:rPr/>
      </w:r>
    </w:p>
    <w:tbl>
      <w:tblPr>
        <w:tblW w:w="9815" w:type="dxa"/>
        <w:jc w:val="left"/>
        <w:tblInd w:w="0" w:type="dxa"/>
        <w:tblLayout w:type="fixed"/>
        <w:tblCellMar>
          <w:top w:w="28" w:type="dxa"/>
          <w:left w:w="28" w:type="dxa"/>
          <w:bottom w:w="28" w:type="dxa"/>
          <w:right w:w="28" w:type="dxa"/>
        </w:tblCellMar>
      </w:tblPr>
      <w:tblGrid>
        <w:gridCol w:w="1497"/>
        <w:gridCol w:w="1318"/>
        <w:gridCol w:w="1325"/>
        <w:gridCol w:w="211"/>
        <w:gridCol w:w="721"/>
        <w:gridCol w:w="271"/>
        <w:gridCol w:w="109"/>
        <w:gridCol w:w="109"/>
        <w:gridCol w:w="109"/>
        <w:gridCol w:w="211"/>
        <w:gridCol w:w="721"/>
        <w:gridCol w:w="271"/>
        <w:gridCol w:w="109"/>
        <w:gridCol w:w="109"/>
        <w:gridCol w:w="109"/>
        <w:gridCol w:w="307"/>
        <w:gridCol w:w="309"/>
        <w:gridCol w:w="367"/>
        <w:gridCol w:w="109"/>
        <w:gridCol w:w="109"/>
        <w:gridCol w:w="109"/>
        <w:gridCol w:w="266"/>
        <w:gridCol w:w="266"/>
        <w:gridCol w:w="773"/>
      </w:tblGrid>
      <w:tr>
        <w:trPr/>
        <w:tc>
          <w:tcPr>
            <w:tcW w:w="1497"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March 31,</w:t>
            </w:r>
          </w:p>
        </w:tc>
        <w:tc>
          <w:tcPr>
            <w:tcW w:w="9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 2025</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transaction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transaction (GAAP)</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subscription (GAAP)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4,916 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w:t>
            </w:r>
            <w:r>
              <w:rPr>
                <w:color w:val="000000"/>
              </w:rPr>
              <w:t xml:space="preserve">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 subscription (non-GAAP)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Margin, subscription (non-GAAP)</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equipment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equipment (GAAP)</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Adjusted Gross Profit (non-GAAP)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Adjusted Gross Margin (non-GAAP)</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20"/>
        </w:rPr>
        <w:br/>
      </w:r>
      <w:r>
        <w:rPr>
          <w:rFonts w:ascii="Times New Roman;serif" w:hAnsi="Times New Roman;serif"/>
          <w:b w:val="false"/>
          <w:color w:val="000000"/>
          <w:sz w:val="10"/>
        </w:rPr>
        <w:t xml:space="preserve">(1) </w:t>
      </w:r>
      <w:r>
        <w:rPr>
          <w:rFonts w:ascii="Times New Roman;serif" w:hAnsi="Times New Roman;serif"/>
          <w:b w:val="false"/>
          <w:color w:val="000000"/>
          <w:sz w:val="16"/>
        </w:rPr>
        <w:t>Amortization of internal-use software assets and developed technology assets. In March 2025, the Company recognized additional charges of $3.0 million, due to certain capitalized internal use software, which is no longer expected to provide future economic benefits as a result of changes in business strategy and evolving technology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00" w:after="60"/>
        <w:jc w:val="both"/>
        <w:rPr/>
      </w:pPr>
      <w:r>
        <w:rPr>
          <w:rFonts w:ascii="Times New Roman;serif" w:hAnsi="Times New Roman;serif"/>
          <w:b w:val="false"/>
          <w:color w:val="000000"/>
          <w:sz w:val="20"/>
          <w:shd w:fill="FFFFFF" w:val="clear"/>
        </w:rPr>
        <w:t xml:space="preserve">Total Adjusted Gross Margin (non-GAAP) was </w:t>
      </w:r>
      <w:r>
        <w:rPr>
          <w:rFonts w:ascii="Times New Roman;serif" w:hAnsi="Times New Roman;serif"/>
          <w:b w:val="false"/>
          <w:color w:val="000000"/>
          <w:sz w:val="20"/>
        </w:rPr>
        <w:t>39.7%</w:t>
      </w:r>
      <w:r>
        <w:rPr>
          <w:color w:val="000000"/>
          <w:shd w:fill="FFFFFF" w:val="clear"/>
        </w:rPr>
        <w:t xml:space="preserve"> </w:t>
      </w:r>
      <w:r>
        <w:rPr>
          <w:rFonts w:ascii="Times New Roman;serif" w:hAnsi="Times New Roman;serif"/>
          <w:b w:val="false"/>
          <w:color w:val="000000"/>
          <w:sz w:val="20"/>
          <w:shd w:fill="FFFFFF" w:val="clear"/>
        </w:rPr>
        <w:t>for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from </w:t>
      </w:r>
      <w:r>
        <w:rPr>
          <w:rFonts w:ascii="Times New Roman;serif" w:hAnsi="Times New Roman;serif"/>
          <w:b w:val="false"/>
          <w:color w:val="000000"/>
          <w:sz w:val="20"/>
        </w:rPr>
        <w:t>41.3%</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March 31, 2025</w:t>
      </w:r>
      <w:r>
        <w:rPr>
          <w:rFonts w:ascii="Times New Roman;serif" w:hAnsi="Times New Roman;serif"/>
          <w:b w:val="false"/>
          <w:color w:val="000000"/>
          <w:sz w:val="20"/>
          <w:shd w:fill="FFFFFF" w:val="clear"/>
        </w:rPr>
        <w:t>. The decrease in Adjusted Gross Margin was driven by an increase in our transaction fee costs due to increased fees from processing partners</w:t>
      </w:r>
      <w:r>
        <w:rPr>
          <w:rFonts w:ascii="Times New Roman;serif" w:hAnsi="Times New Roman;serif"/>
          <w:b w:val="false"/>
          <w:color w:val="000000"/>
          <w:sz w:val="20"/>
        </w:rPr>
        <w:t>.</w:t>
      </w:r>
    </w:p>
    <w:p>
      <w:pPr>
        <w:pStyle w:val="TextBody"/>
        <w:bidi w:val="0"/>
        <w:spacing w:lineRule="auto" w:line="288" w:before="100" w:after="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Adjusted EBITDA (non-GAAP)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defines Adjusted EBITDA (non-GAAP) as U.S. GAAP net income before (i) interest income, (ii) interest expense, (iii) income tax provision, (iv) depreciation, (v) amortization, (vi) stock-based compensation expense, and (vii) certain other significant infrequent or unusual losses and gains that are not indicative of our core operations such as integration and acquisition expenses and costs as a result of auditor transitions.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believe Adjusted EBITDA is useful for investors in comparing our financial performance to other companies and from period to period. Adjusted EBITDA is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 In addition, Adjusted EBITDA eliminates the impact of certain items that may obscure trends in the underlying performance of our business. Additionally, we utilize Adjusted EBITDA as a metric in our executive officer and management incentive compensation plans.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Adjusted EBITDA has limitations as an analytical tool and should not be considered in isolation or as a substitute for analysis of our results as reported under GAAP. For example, although depreciation expense is a non-cash charge, the assets being depreciated may have to be replaced in the future, and Adjusted EBITDA does not reflect cash capital expenditure requirements for such replacements or for new asset acquisitions. In addition, Adjusted EBITDA excludes stock-based compensation expense, which has been, and will continue to be for the foreseeable future, a significant recurring expense for our business and an important part of our compensation strategy. Adjusted EBITDA also does not reflect changes in, or cash requirements for, our working capital needs; interest expense, or the cash requirements necessary to service interest or principal payments on our debt, which reduces the cash available to us; or tax payments that may represent a reduction in cash available to us. The expenses and other items which are excluded from the calculation of Adjusted EBITDA may differ from the expenses and other items that other companies may exclude from Adjusted EBITDA when they report their financial results.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Below is a reconciliation of U.S. GAAP net income to Adjusted EBITDA for the three and nine months ended March 31, 2026 and 2025:</w:t>
      </w:r>
    </w:p>
    <w:tbl>
      <w:tblPr>
        <w:tblW w:w="10205" w:type="dxa"/>
        <w:jc w:val="left"/>
        <w:tblInd w:w="0" w:type="dxa"/>
        <w:tblLayout w:type="fixed"/>
        <w:tblCellMar>
          <w:top w:w="28" w:type="dxa"/>
          <w:left w:w="28" w:type="dxa"/>
          <w:bottom w:w="28" w:type="dxa"/>
          <w:right w:w="28" w:type="dxa"/>
        </w:tblCellMar>
      </w:tblPr>
      <w:tblGrid>
        <w:gridCol w:w="1957"/>
        <w:gridCol w:w="1689"/>
        <w:gridCol w:w="1694"/>
        <w:gridCol w:w="211"/>
        <w:gridCol w:w="721"/>
        <w:gridCol w:w="109"/>
        <w:gridCol w:w="109"/>
        <w:gridCol w:w="109"/>
        <w:gridCol w:w="109"/>
        <w:gridCol w:w="211"/>
        <w:gridCol w:w="721"/>
        <w:gridCol w:w="109"/>
        <w:gridCol w:w="211"/>
        <w:gridCol w:w="721"/>
        <w:gridCol w:w="109"/>
        <w:gridCol w:w="109"/>
        <w:gridCol w:w="109"/>
        <w:gridCol w:w="109"/>
        <w:gridCol w:w="211"/>
        <w:gridCol w:w="721"/>
        <w:gridCol w:w="156"/>
      </w:tblGrid>
      <w:tr>
        <w:trPr/>
        <w:tc>
          <w:tcPr>
            <w:tcW w:w="1957"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March 31,</w:t>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income tax (benefit)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depreciation expense included in cost of sales for rentals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w:t>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depreciation and amortization expense in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Plus: stock-based compensation </w:t>
            </w:r>
            <w:r>
              <w:rPr>
                <w:rFonts w:ascii="Times New Roman;serif" w:hAnsi="Times New Roman;serif"/>
                <w:b w:val="false"/>
                <w:color w:val="000000"/>
                <w:sz w:val="13"/>
              </w:rPr>
              <w:t>(a)</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Plus: merger, acquisition and integration (benefits) expenses </w:t>
            </w:r>
            <w:r>
              <w:rPr>
                <w:rFonts w:ascii="Times New Roman;serif" w:hAnsi="Times New Roman;serif"/>
                <w:b w:val="false"/>
                <w:color w:val="000000"/>
                <w:sz w:val="13"/>
              </w:rPr>
              <w:t>(b)</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Plus: employee retention tax credit </w:t>
            </w:r>
            <w:r>
              <w:rPr>
                <w:rFonts w:ascii="Times New Roman;serif" w:hAnsi="Times New Roman;serif"/>
                <w:b w:val="false"/>
                <w:color w:val="000000"/>
                <w:sz w:val="13"/>
              </w:rPr>
              <w:t>(c)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Plus: legal settlements </w:t>
            </w:r>
            <w:r>
              <w:rPr>
                <w:rFonts w:ascii="Times New Roman;serif" w:hAnsi="Times New Roman;serif"/>
                <w:b w:val="false"/>
                <w:color w:val="000000"/>
                <w:sz w:val="13"/>
              </w:rPr>
              <w:t>(d)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Plus: auditor transition costs </w:t>
            </w:r>
            <w:r>
              <w:rPr>
                <w:rFonts w:ascii="Times New Roman;serif" w:hAnsi="Times New Roman;serif"/>
                <w:b w:val="false"/>
                <w:color w:val="000000"/>
                <w:sz w:val="13"/>
              </w:rPr>
              <w: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EBITDA</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00" w:after="60"/>
        <w:jc w:val="both"/>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We have excluded stock-based compensation, as it does not reflect our cash-based operations.</w:t>
        <w:br/>
      </w:r>
      <w:r>
        <w:rPr>
          <w:rFonts w:ascii="Times New Roman;serif" w:hAnsi="Times New Roman;serif"/>
          <w:b w:val="false"/>
          <w:color w:val="000000"/>
          <w:sz w:val="10"/>
        </w:rPr>
        <w:t>(b)</w:t>
      </w:r>
      <w:r>
        <w:rPr>
          <w:color w:val="000000"/>
        </w:rPr>
        <w:t xml:space="preserve"> </w:t>
      </w:r>
      <w:r>
        <w:rPr>
          <w:rFonts w:ascii="Times New Roman;serif" w:hAnsi="Times New Roman;serif"/>
          <w:b w:val="false"/>
          <w:color w:val="000000"/>
          <w:sz w:val="16"/>
        </w:rPr>
        <w:t>We have excluded expenses incurred in connection with business acquisitions, as it does not represent recurring costs or charges related to our core operations. We have also excluded expenses incurred associated with the acquisition of the Company and one-time license applications fees</w:t>
      </w:r>
    </w:p>
    <w:p>
      <w:pPr>
        <w:pStyle w:val="TextBody"/>
        <w:bidi w:val="0"/>
        <w:spacing w:lineRule="auto" w:line="288" w:before="100" w:after="60"/>
        <w:jc w:val="both"/>
        <w:rPr/>
      </w:pPr>
      <w:r>
        <w:rPr>
          <w:rFonts w:ascii="Times New Roman;serif" w:hAnsi="Times New Roman;serif"/>
          <w:b w:val="false"/>
          <w:color w:val="000000"/>
          <w:sz w:val="10"/>
        </w:rPr>
        <w:t xml:space="preserve">(c) </w:t>
      </w:r>
      <w:r>
        <w:rPr>
          <w:rFonts w:ascii="Times New Roman;serif" w:hAnsi="Times New Roman;serif"/>
          <w:b w:val="false"/>
          <w:color w:val="000000"/>
          <w:sz w:val="16"/>
        </w:rPr>
        <w:t>We have excluded a one-time tax credit received, as it does not represent recurring benefits received by our core operations.</w:t>
      </w:r>
    </w:p>
    <w:p>
      <w:pPr>
        <w:pStyle w:val="TextBody"/>
        <w:bidi w:val="0"/>
        <w:spacing w:lineRule="auto" w:line="288" w:before="100" w:after="60"/>
        <w:jc w:val="both"/>
        <w:rPr/>
      </w:pPr>
      <w:r>
        <w:rPr>
          <w:rFonts w:ascii="Times New Roman;serif" w:hAnsi="Times New Roman;serif"/>
          <w:b w:val="false"/>
          <w:color w:val="000000"/>
          <w:sz w:val="10"/>
          <w:shd w:fill="FFFFFF" w:val="clear"/>
        </w:rPr>
        <w:t xml:space="preserve">(d) </w:t>
      </w:r>
      <w:r>
        <w:rPr>
          <w:rFonts w:ascii="Times New Roman;serif" w:hAnsi="Times New Roman;serif"/>
          <w:b w:val="false"/>
          <w:color w:val="000000"/>
          <w:sz w:val="16"/>
          <w:shd w:fill="FFFFFF" w:val="clear"/>
        </w:rPr>
        <w:t>We have excluded costs incurred as a result of probable and reasonably estimable loss exposure for legal proceedings, as they do not represent recurring costs or charges related to our continued core operations</w:t>
      </w:r>
      <w:r>
        <w:rPr>
          <w:rFonts w:ascii="Times New Roman;serif" w:hAnsi="Times New Roman;serif"/>
          <w:b w:val="false"/>
          <w:i/>
          <w:color w:val="000000"/>
          <w:sz w:val="16"/>
          <w:shd w:fill="FFFFFF" w:val="clear"/>
        </w:rPr>
        <w:t>.</w:t>
      </w:r>
    </w:p>
    <w:p>
      <w:pPr>
        <w:pStyle w:val="TextBody"/>
        <w:bidi w:val="0"/>
        <w:spacing w:lineRule="auto" w:line="268" w:before="0" w:after="0"/>
        <w:jc w:val="left"/>
        <w:rPr/>
      </w:pPr>
      <w:r>
        <w:rPr>
          <w:rFonts w:ascii="Times New Roman;serif" w:hAnsi="Times New Roman;serif"/>
          <w:b w:val="false"/>
          <w:color w:val="000000"/>
          <w:sz w:val="10"/>
        </w:rPr>
        <w:t xml:space="preserve">(e) </w:t>
      </w:r>
      <w:r>
        <w:rPr>
          <w:rFonts w:ascii="Times New Roman;serif" w:hAnsi="Times New Roman;serif"/>
          <w:b w:val="false"/>
          <w:color w:val="000000"/>
          <w:sz w:val="16"/>
        </w:rPr>
        <w:t xml:space="preserve">Costs incurred as a result of former auditor consent procedures. See </w:t>
      </w:r>
      <w:r>
        <w:rPr>
          <w:rFonts w:ascii="Times New Roman;serif" w:hAnsi="Times New Roman;serif"/>
          <w:b w:val="false"/>
          <w:i/>
          <w:color w:val="000000"/>
          <w:sz w:val="16"/>
        </w:rPr>
        <w:t xml:space="preserve">Item 9. Changes in and Disagreements with Accountants on Accounting and Financial Disclosure </w:t>
      </w:r>
      <w:r>
        <w:rPr>
          <w:rFonts w:ascii="Times New Roman;serif" w:hAnsi="Times New Roman;serif"/>
          <w:b w:val="false"/>
          <w:color w:val="000000"/>
          <w:sz w:val="16"/>
        </w:rPr>
        <w:t>of the Company’s Annual Report</w:t>
      </w:r>
      <w:r>
        <w:rPr>
          <w:rFonts w:ascii="Times New Roman;serif" w:hAnsi="Times New Roman;serif"/>
          <w:b w:val="false"/>
          <w:i/>
          <w:color w:val="000000"/>
          <w:sz w:val="16"/>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LIQUIDITY AND CAPITAL RESOURCES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Sources of Funds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Historically, we have financed our operations primarily through cash from operating activities, debt financings, and equity issuances. The Company’s primary sources of capital available are cash and cash equivalents on hand of $60.4 million as of March 31, 2026 and the cash that we expect to be provided by operating activities by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Uses of Cash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believes that its current financial resources will be sufficient to fund its current twelve-month operating budget from the date of issuance of these Condensed Consolidated Financial Statements. Our primary focus as part of our core operations to increase cash flow from operating activities is to prioritize collection efforts to reduce outstanding accounts receivable, utilize existing inventory to support equipment sales over the next year, focus on various operational efficiencies to improve overall profitability of the business and continue to grow our business both domestically and internationally.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Net cash used in operating activities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For the nine months ended March 31, 2026, net cash provided by operating activities was $22.0 million which is the result of our net income of $(3.1) million, offset by non-cash operating adjustments of $22.6 million and $2.6 million of cash provided by working capital accounts. The change in working capital was primarily driven by an increase in accounts payable and accrued expenses of $10.3 million offset by a $4.8 million increase in inventory and $3.9 million increase in accounts receivable </w:t>
      </w:r>
      <w:r>
        <w:rPr>
          <w:rFonts w:ascii="Times New Roman;serif" w:hAnsi="Times New Roman;serif"/>
          <w:b w:val="false"/>
          <w:color w:val="000000"/>
          <w:sz w:val="20"/>
        </w:rPr>
        <w:t>primarily the result of the timing of payments made for transaction processing</w:t>
      </w:r>
      <w:r>
        <w:rPr>
          <w:rFonts w:ascii="Times New Roman;serif" w:hAnsi="Times New Roman;serif"/>
          <w:b w:val="false"/>
          <w:color w:val="000000"/>
          <w:sz w:val="20"/>
          <w:shd w:fill="FFFFFF" w:val="clear"/>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nine months ended March 31, 2025, net cash provided by operating activities was $10.9 million which is the result of our net income of $57.7 million, offset by non-cash operating adjustments of $23.3 million and $23.5 million of cash utilized by working capital accounts. The change in working capital was primarily driven by an increase in cash utilized by accounts payable and accrued expenses of $26.0 million, offset by a $9.5 million decrease in accounts receivable primarily due to cash collections. Increases in cash utilized by accounts payable and accrued expenses and as well as the collection of accounts receivable were primarily the result of the timing of payments made for transaction processing.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Non-cash operating adjustments primarily consisted of the release of our income tax valuation allowance as described in </w:t>
      </w:r>
      <w:r>
        <w:rPr>
          <w:rFonts w:ascii="Times New Roman;serif" w:hAnsi="Times New Roman;serif"/>
          <w:b w:val="false"/>
          <w:i/>
          <w:color w:val="000000"/>
          <w:sz w:val="20"/>
        </w:rPr>
        <w:t>Note 12, Income Taxes</w:t>
      </w:r>
      <w:r>
        <w:rPr>
          <w:rFonts w:ascii="Times New Roman;serif" w:hAnsi="Times New Roman;serif"/>
          <w:b w:val="false"/>
          <w:color w:val="000000"/>
          <w:sz w:val="20"/>
        </w:rPr>
        <w:t xml:space="preserve">, offset by depreciation of property and equipment, amortization of our intangible assets, provisions for expected losses and stock-based compensation for the nine months ended March 31, 2026 and March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Net cash used in investing activities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cash used in investing activities was $11.0 million for the nine months ended March 31, 2026. We invested $11.0 million in property and equipment as the Company continued to focus on investing in innovative technologies and products, and increasing rental devices enrolled in the Company’s Cantaloupe One program. </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0"/>
        </w:rPr>
        <w:t xml:space="preserve">Net cash used in investing activities was $23.0 million for the nine months ended March 31, 2025. We invested $11.9 million in property and equipment as the Company continued to focus on investing in innovative technologies and products, and increasing rental devices enrolled in the </w:t>
      </w:r>
      <w:r>
        <w:rPr>
          <w:rFonts w:ascii="Times New Roman;serif" w:hAnsi="Times New Roman;serif"/>
          <w:b w:val="false"/>
          <w:color w:val="000000"/>
          <w:sz w:val="20"/>
          <w:shd w:fill="FFFFFF" w:val="clear"/>
        </w:rPr>
        <w:t>Company’s</w:t>
      </w:r>
      <w:r>
        <w:rPr>
          <w:color w:val="000000"/>
        </w:rPr>
        <w:t xml:space="preserve"> </w:t>
      </w:r>
      <w:r>
        <w:rPr>
          <w:rFonts w:ascii="Times New Roman;serif" w:hAnsi="Times New Roman;serif"/>
          <w:b w:val="false"/>
          <w:color w:val="000000"/>
          <w:sz w:val="20"/>
        </w:rPr>
        <w:t>Cantaloupe One program. Additionally, the Company invested $11.1 million through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Net cash provided by financing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cash used in financing activities was $1.8 million and for the nine months ended March 31, 2026 which was primarily due to payments of long term debt, payment of the deferred cash consideration of SB Software acquisition, and payment of employee taxes related to stock compensation, offset by the proceeds from the proceeds of stock options granted to employees.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$0.4 million and for the nine months ended March 31, 2025 which was primarily due to the amended and restated credit agreement, partially offset by debt repayments on the 2022 Amended JPMorgan Credit Facility and deferred cash consideration for the acquisition of Cheq.</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CONTRACTUAL OBLIGATIONS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March 31, 2026, there were no significant changes to our contractual obligations from those disclosed in the section “Management’s Discussion and Analysis of Financial Condition and Results of Operations” in our Annual Report for the fiscal year ended June 30, 2025, other than the amendment to our debt agreement noted below.</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As described in </w:t>
      </w:r>
      <w:r>
        <w:rPr>
          <w:rFonts w:ascii="Times New Roman;serif" w:hAnsi="Times New Roman;serif"/>
          <w:b w:val="false"/>
          <w:i/>
          <w:color w:val="000000"/>
          <w:sz w:val="20"/>
        </w:rPr>
        <w:t>Note 6 - Debt and Other Financing Arrangements</w:t>
      </w:r>
      <w:r>
        <w:rPr>
          <w:rFonts w:ascii="Times New Roman;serif" w:hAnsi="Times New Roman;serif"/>
          <w:b w:val="false"/>
          <w:color w:val="000000"/>
          <w:sz w:val="20"/>
        </w:rPr>
        <w:t>, in January 2025 we amended our debt agreement to defer the maturity date until January 2030 and increase our borrowing capacity.</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ESTIMATES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There have been no material changes to our critical accounting estimates from those disclosed in our Annual Report on for the fiscal year ended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00" w:after="283"/>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Note 2 - Summary of Significant Accounting Policies</w:t>
      </w:r>
      <w:r>
        <w:rPr>
          <w:color w:val="000000"/>
        </w:rPr>
        <w:t xml:space="preserve"> </w:t>
      </w:r>
      <w:r>
        <w:rPr>
          <w:rFonts w:ascii="Times New Roman;serif" w:hAnsi="Times New Roman;serif"/>
          <w:b w:val="false"/>
          <w:color w:val="000000"/>
          <w:sz w:val="20"/>
        </w:rPr>
        <w:t>to the Condensed Consolidated Financial Statements for a description of recent accounting pronouncements.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jc w:val="both"/>
        <w:rPr/>
      </w:pPr>
      <w:r>
        <w:rPr>
          <w:rFonts w:ascii="Times New Roman;serif" w:hAnsi="Times New Roman;serif"/>
          <w:b w:val="false"/>
          <w:color w:val="000000"/>
          <w:sz w:val="20"/>
        </w:rPr>
        <w:t xml:space="preserve">As of March 31, 2026, we are exposed to market risk related to changes in interest rates on our outstanding borrowings described in </w:t>
      </w:r>
      <w:r>
        <w:rPr>
          <w:rFonts w:ascii="Times New Roman;serif" w:hAnsi="Times New Roman;serif"/>
          <w:b w:val="false"/>
          <w:i/>
          <w:color w:val="000000"/>
          <w:sz w:val="20"/>
        </w:rPr>
        <w:t>Note 6 - Debt and Other Financing Arrangements</w:t>
      </w:r>
      <w:r>
        <w:rPr>
          <w:rFonts w:ascii="Times New Roman;serif" w:hAnsi="Times New Roman;serif"/>
          <w:b w:val="false"/>
          <w:color w:val="000000"/>
          <w:sz w:val="20"/>
        </w:rPr>
        <w:t>. As of March 31, 2026, we have $37.5 million total outstanding borrowings, an increase of 100 basis points in SOFR Rate would result in a change in interest expen</w:t>
      </w:r>
      <w:r>
        <w:rPr>
          <w:rFonts w:ascii="Times New Roman;serif" w:hAnsi="Times New Roman;serif"/>
          <w:b w:val="false"/>
          <w:color w:val="000000"/>
          <w:sz w:val="20"/>
          <w:shd w:fill="FFFFFF" w:val="clear"/>
        </w:rPr>
        <w:t xml:space="preserve">se of </w:t>
      </w:r>
      <w:r>
        <w:rPr>
          <w:rFonts w:ascii="Times New Roman;serif" w:hAnsi="Times New Roman;serif"/>
          <w:b w:val="false"/>
          <w:color w:val="000000"/>
          <w:sz w:val="20"/>
        </w:rPr>
        <w:t>$0.4 million</w:t>
      </w:r>
      <w:r>
        <w:rPr>
          <w:color w:val="000000"/>
          <w:shd w:fill="FFFFFF" w:val="clear"/>
        </w:rPr>
        <w:t xml:space="preserve"> </w:t>
      </w:r>
      <w:r>
        <w:rPr>
          <w:rFonts w:ascii="Times New Roman;serif" w:hAnsi="Times New Roman;serif"/>
          <w:b w:val="false"/>
          <w:color w:val="000000"/>
          <w:sz w:val="20"/>
          <w:shd w:fill="FFFFFF" w:val="clear"/>
        </w:rPr>
        <w:t>p</w:t>
      </w:r>
      <w:r>
        <w:rPr>
          <w:rFonts w:ascii="Times New Roman;serif" w:hAnsi="Times New Roman;serif"/>
          <w:b w:val="false"/>
          <w:color w:val="000000"/>
          <w:sz w:val="20"/>
        </w:rPr>
        <w:t xml:space="preserve">er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also exposed to market risk related to changes in interest rates on our cash investments and foreign currency exchange rates. We invest our excess cash in money market funds that we believe are highly liquid and marketable in the short term. These investments earn a floating rate of interest and are not held for trading or other speculative purposes. Consequently, our exposure to market risks for interest rate changes related to our money market funds is not material. Market risks related to fluctuations of foreign currencies are not material and we have no freestanding derivative instruments as of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credit risks on accounts receivable and equipment leases where the Company acts as the lessor. Exposure to market and credit risk is materially consistent with our presentation in Part II, Item 7A of our Annual Report for the year ended June 30, 2025.</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4. Controls and Procedures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to ensure that information required to be disclosed by us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Our management, with the participation of our chief executive officer and chief financial officer, has evaluated the effectiveness as of the end of the period covered by this Form 10-Q of our disclosure controls and procedures as defined in Rule 13a-15(e) under the Exchange Act. Based on this evaluation, our management, including our chief executive officer and chief financial officer, has concluded that our disclosure controls and procedure</w:t>
      </w:r>
      <w:r>
        <w:rPr>
          <w:rFonts w:ascii="Times New Roman;serif" w:hAnsi="Times New Roman;serif"/>
          <w:b w:val="false"/>
          <w:color w:val="000000"/>
          <w:sz w:val="20"/>
          <w:shd w:fill="FFFFFF" w:val="clear"/>
        </w:rPr>
        <w:t xml:space="preserve">s were effective as of </w:t>
      </w:r>
      <w:r>
        <w:rPr>
          <w:rFonts w:ascii="Times New Roman;serif" w:hAnsi="Times New Roman;serif"/>
          <w:b w:val="false"/>
          <w:color w:val="000000"/>
          <w:sz w:val="20"/>
        </w:rPr>
        <w:t xml:space="preserve">March 31, 2026.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 Changes in Internal Control over Financial Reporting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the Company’s internal control over financial reporting that occurred during the fiscal quarter ended March 31, 2026 that have materially affected, or are reasonably likely to materially affect, our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information required by this Item is incorporated herein by reference to the Notes to Condensed Consolidated Financial Statements, </w:t>
      </w:r>
      <w:r>
        <w:rPr>
          <w:rFonts w:ascii="Times New Roman;serif" w:hAnsi="Times New Roman;serif"/>
          <w:b w:val="false"/>
          <w:i/>
          <w:color w:val="000000"/>
          <w:sz w:val="20"/>
        </w:rPr>
        <w:t>Note 14 – Commitments and Contingencies</w:t>
      </w:r>
      <w:r>
        <w:rPr>
          <w:color w:val="000000"/>
        </w:rPr>
        <w:t xml:space="preserve"> </w:t>
      </w:r>
      <w:r>
        <w:rPr>
          <w:rFonts w:ascii="Times New Roman;serif" w:hAnsi="Times New Roman;serif"/>
          <w:b w:val="false"/>
          <w:color w:val="000000"/>
          <w:sz w:val="20"/>
        </w:rPr>
        <w:t>in Part I, Item 1, of this Quarterly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7"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 discussion of the Company’s risk factors, see the information under disclosed in Item 1A in the Company’s Annual Report on Form 10-K for the fiscal year ended June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Rule 10b5-1 Trading Plans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During the fiscal quarter ended March 31, 2026,</w:t>
      </w:r>
      <w:r>
        <w:rPr>
          <w:color w:val="000000"/>
          <w:shd w:fill="FFFFFF" w:val="clear"/>
        </w:rPr>
        <w:t xml:space="preserve"> </w:t>
      </w:r>
      <w:r>
        <w:rPr>
          <w:rFonts w:ascii="Times New Roman;serif" w:hAnsi="Times New Roman;serif"/>
          <w:b w:val="false"/>
          <w:color w:val="000000"/>
          <w:sz w:val="20"/>
          <w:shd w:fill="FFFFFF" w:val="clear"/>
        </w:rPr>
        <w:t xml:space="preserve">none of the </w:t>
      </w:r>
      <w:r>
        <w:rPr>
          <w:rFonts w:ascii="Times New Roman;serif" w:hAnsi="Times New Roman;serif"/>
          <w:b w:val="false"/>
          <w:color w:val="000000"/>
          <w:sz w:val="20"/>
        </w:rPr>
        <w:t>Company’s director or executive officers adopted, modified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6. Exhibits</w:t>
      </w:r>
    </w:p>
    <w:tbl>
      <w:tblPr>
        <w:tblW w:w="10205" w:type="dxa"/>
        <w:jc w:val="left"/>
        <w:tblInd w:w="0" w:type="dxa"/>
        <w:tblLayout w:type="fixed"/>
        <w:tblCellMar>
          <w:top w:w="28" w:type="dxa"/>
          <w:left w:w="28" w:type="dxa"/>
          <w:bottom w:w="28" w:type="dxa"/>
          <w:right w:w="28" w:type="dxa"/>
        </w:tblCellMar>
      </w:tblPr>
      <w:tblGrid>
        <w:gridCol w:w="264"/>
        <w:gridCol w:w="233"/>
        <w:gridCol w:w="234"/>
        <w:gridCol w:w="109"/>
        <w:gridCol w:w="109"/>
        <w:gridCol w:w="109"/>
        <w:gridCol w:w="2774"/>
        <w:gridCol w:w="2625"/>
        <w:gridCol w:w="3748"/>
      </w:tblGrid>
      <w:tr>
        <w:trPr/>
        <w:tc>
          <w:tcPr>
            <w:tcW w:w="2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FF"/>
                  <w:sz w:val="20"/>
                  <w:u w:val="single"/>
                </w:rPr>
                <w:t>Amended and Restated Articles of Incorporation (incorporated by reference to Exhibit 3.1 to Form 10-Q filed on February 4, 2022).</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
              <w:r>
                <w:rPr>
                  <w:rStyle w:val="InternetLink"/>
                  <w:rFonts w:ascii="Times New Roman;serif" w:hAnsi="Times New Roman;serif"/>
                  <w:b w:val="false"/>
                  <w:color w:val="0000FF"/>
                  <w:sz w:val="20"/>
                  <w:u w:val="single"/>
                </w:rPr>
                <w:t>Second Amended and Restated Bylaws (incorporated by reference to Exhibit 3.1 to Form 8-K filed on August 10, 2021)</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
              <w:r>
                <w:rPr>
                  <w:rStyle w:val="InternetLink"/>
                  <w:rFonts w:ascii="Times New Roman;serif" w:hAnsi="Times New Roman;serif"/>
                  <w:b w:val="false"/>
                  <w:color w:val="0000FF"/>
                  <w:sz w:val="20"/>
                  <w:u w:val="single"/>
                </w:rPr>
                <w:t>Second Amended and Restated Credit Agreement, by and among the Company, certain of its subsidiaries, and JPMorgan Chase Bank, N.A. and Capital One, National Association, dated January 31, 2025 (incorporated by reference to Exhibit 10.1 to Form 8-K filed on February 5, 2025).</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331-exx311.htm">
              <w:r>
                <w:rPr>
                  <w:rStyle w:val="InternetLink"/>
                  <w:rFonts w:ascii="Times New Roman;serif" w:hAnsi="Times New Roman;serif"/>
                  <w:b w:val="false"/>
                  <w:color w:val="0000FF"/>
                  <w:sz w:val="20"/>
                  <w:u w:val="single"/>
                </w:rPr>
                <w:t>Certifications of Chief Executive Officer pursuant to Rule 13a-14(a) under the Securities Exchange Act of 1934.</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331-exx312.htm">
              <w:r>
                <w:rPr>
                  <w:rStyle w:val="InternetLink"/>
                  <w:rFonts w:ascii="Times New Roman;serif" w:hAnsi="Times New Roman;serif"/>
                  <w:b w:val="false"/>
                  <w:color w:val="0000FF"/>
                  <w:sz w:val="20"/>
                  <w:u w:val="single"/>
                </w:rPr>
                <w:t>Certifications of Chief Financial Officer pursuant to Rule 13a-14(a) under the Securities Exchange Act of 1934.</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331-exx321.htm">
              <w:r>
                <w:rPr>
                  <w:rStyle w:val="InternetLink"/>
                  <w:rFonts w:ascii="Times New Roman;serif" w:hAnsi="Times New Roman;serif"/>
                  <w:b w:val="false"/>
                  <w:color w:val="0000FF"/>
                  <w:sz w:val="20"/>
                  <w:u w:val="single"/>
                </w:rPr>
                <w:t>Certification of the Chief Executive Officer pursuant to 18 USC Section 1350, as adopted pursuant to Section 906 of the Sarbanes-Oxley Act of 2002.</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331-exx322.htm">
              <w:r>
                <w:rPr>
                  <w:rStyle w:val="InternetLink"/>
                  <w:rFonts w:ascii="Times New Roman;serif" w:hAnsi="Times New Roman;serif"/>
                  <w:b w:val="false"/>
                  <w:color w:val="0000FF"/>
                  <w:sz w:val="20"/>
                  <w:u w:val="single"/>
                </w:rPr>
                <w:t>Certification of the Chief Financial Officer pursuant to 18 USC Section 1350, as adopted pursuant to Section 906 of the Sarbanes-Oxley Act of 2002.</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our Quarterly Report on Form 10-Q for the quarter ended March 31, 2026, filed with the SEC on May 6, 2026, is formatted in Inline Extensible Business Reporting Language (“iXBRL”): (1) the Condensed Consolidated Balance Sheets as of March 31, 2026 and June 30, 2025, (2) the Condensed Consolidated Statements of Operations for the three-month and nine-month periods ended March 31, 2026 and 2025, (3) the Condensed Consolidated Statements of Other Comprehensive Income for the three-month and nine-month periods ended March 31, 2026 and 2025, (4) the Condensed Consolidated Statements of Convertible Preferred Stock and Shareholders’ Equity for the three-month and nine-month periods ended March 31, 2026 and 2025, (5) the Condensed Consolidated Statements of Cash Flows for the nine-month periods ended March 31, 2026 and 2025, and (6) the Notes to Condensed Consolidated Financial Statements.</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our Quarterly Report on Form 10-Q for the quarter ended March 31, 2026, filed with the SEC on May 6, 2026, is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3704" w:type="dxa"/>
        <w:jc w:val="left"/>
        <w:tblInd w:w="0" w:type="dxa"/>
        <w:tblLayout w:type="fixed"/>
        <w:tblCellMar>
          <w:top w:w="28" w:type="dxa"/>
          <w:left w:w="28" w:type="dxa"/>
          <w:bottom w:w="28" w:type="dxa"/>
          <w:right w:w="28" w:type="dxa"/>
        </w:tblCellMar>
      </w:tblPr>
      <w:tblGrid>
        <w:gridCol w:w="591"/>
        <w:gridCol w:w="520"/>
        <w:gridCol w:w="523"/>
        <w:gridCol w:w="605"/>
        <w:gridCol w:w="605"/>
        <w:gridCol w:w="86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Cantaloupe,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Ravi Venkatesan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Ravi Venkatesan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Stewart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Stewart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33"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Ravi Venkatesan,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w:t>
        <w:noBreakHyphen/>
        <w:t>Q of Cantaloupe, Inc.;</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15(f)) for the registrant and have:</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issuer’s other certifying officer and I have disclosed, based on our most recent evaluation of internal control over financial reporting to the auditors and the audit committee of the issuer’s board of directors (or persons performing the equivalent functions):</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controls over financial reporting which are reasonably likely to adversely affect the issuer’s ability to record, process, summarize and report financial information; and</w:t>
      </w:r>
    </w:p>
    <w:p>
      <w:pPr>
        <w:pStyle w:val="TextBody"/>
        <w:bidi w:val="0"/>
        <w:spacing w:lineRule="auto" w:line="288" w:before="2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issuer’s internal control over financial reporting.</w:t>
      </w:r>
    </w:p>
    <w:p>
      <w:pPr>
        <w:pStyle w:val="TextBody"/>
        <w:bidi w:val="0"/>
        <w:spacing w:before="0" w:after="0"/>
        <w:ind w:left="0" w:right="0" w:hanging="360"/>
        <w:jc w:val="both"/>
        <w:rPr/>
      </w:pPr>
      <w:r>
        <w:rPr/>
      </w:r>
    </w:p>
    <w:tbl>
      <w:tblPr>
        <w:tblW w:w="3704" w:type="dxa"/>
        <w:jc w:val="left"/>
        <w:tblInd w:w="0" w:type="dxa"/>
        <w:tblLayout w:type="fixed"/>
        <w:tblCellMar>
          <w:top w:w="28" w:type="dxa"/>
          <w:left w:w="28" w:type="dxa"/>
          <w:bottom w:w="28" w:type="dxa"/>
          <w:right w:w="28" w:type="dxa"/>
        </w:tblCellMar>
      </w:tblPr>
      <w:tblGrid>
        <w:gridCol w:w="591"/>
        <w:gridCol w:w="520"/>
        <w:gridCol w:w="523"/>
        <w:gridCol w:w="606"/>
        <w:gridCol w:w="606"/>
        <w:gridCol w:w="85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Ravi Venkatesan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Ravi Venkatesan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Scott Stewart,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w:t>
        <w:noBreakHyphen/>
        <w:t>Q of Cantaloupe, Inc.;</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15(f)) for the registrant and have:</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issuer’s other certifying officer and I have disclosed, based on our most recent evaluation of internal control over financial reporting to the auditors and the audit committee of the issuer’s board of directors (or persons performing the equivalent functions):</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controls over financial reporting which are reasonably likely to adversely affect the issuer’s ability to record, process, summarize and report financial information; and</w:t>
      </w:r>
    </w:p>
    <w:p>
      <w:pPr>
        <w:pStyle w:val="TextBody"/>
        <w:bidi w:val="0"/>
        <w:spacing w:lineRule="auto" w:line="288" w:before="2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issuer’s internal control over financial reporting.</w:t>
      </w:r>
    </w:p>
    <w:p>
      <w:pPr>
        <w:pStyle w:val="TextBody"/>
        <w:bidi w:val="0"/>
        <w:spacing w:before="0" w:after="0"/>
        <w:ind w:left="0" w:right="0" w:hanging="360"/>
        <w:jc w:val="both"/>
        <w:rPr/>
      </w:pPr>
      <w:r>
        <w:rPr/>
      </w:r>
    </w:p>
    <w:tbl>
      <w:tblPr>
        <w:tblW w:w="3644" w:type="dxa"/>
        <w:jc w:val="left"/>
        <w:tblInd w:w="0" w:type="dxa"/>
        <w:tblLayout w:type="fixed"/>
        <w:tblCellMar>
          <w:top w:w="28" w:type="dxa"/>
          <w:left w:w="28" w:type="dxa"/>
          <w:bottom w:w="28" w:type="dxa"/>
          <w:right w:w="28" w:type="dxa"/>
        </w:tblCellMar>
      </w:tblPr>
      <w:tblGrid>
        <w:gridCol w:w="591"/>
        <w:gridCol w:w="520"/>
        <w:gridCol w:w="523"/>
        <w:gridCol w:w="589"/>
        <w:gridCol w:w="589"/>
        <w:gridCol w:w="83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Stewart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Stewart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33"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accompanying Quarterly Report of Cantaloupe, Inc., (the “Company”) on Form 10</w:t>
        <w:noBreakHyphen/>
        <w:t>Q for the period ended March 31, 2026 (the “Report”), I, Ravi Venkatesan, Chief Executive Officer of the Company, hereby certify that to my knowledge:</w:t>
      </w:r>
    </w:p>
    <w:p>
      <w:pPr>
        <w:pStyle w:val="TextBody"/>
        <w:bidi w:val="0"/>
        <w:spacing w:lineRule="auto" w:line="333"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333" w:before="2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704" w:type="dxa"/>
        <w:jc w:val="left"/>
        <w:tblInd w:w="0" w:type="dxa"/>
        <w:tblLayout w:type="fixed"/>
        <w:tblCellMar>
          <w:top w:w="28" w:type="dxa"/>
          <w:left w:w="28" w:type="dxa"/>
          <w:bottom w:w="28" w:type="dxa"/>
          <w:right w:w="28" w:type="dxa"/>
        </w:tblCellMar>
      </w:tblPr>
      <w:tblGrid>
        <w:gridCol w:w="591"/>
        <w:gridCol w:w="520"/>
        <w:gridCol w:w="523"/>
        <w:gridCol w:w="606"/>
        <w:gridCol w:w="606"/>
        <w:gridCol w:w="85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Ravi Venkatesan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Ravi Venkatesan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333"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accompanying Quarterly Report of Cantaloupe, Inc., (the “Company”) on Form 10</w:t>
        <w:noBreakHyphen/>
        <w:t>Q for the period ended March 31, 2026 (the “Report”), I, Scott Stewart, Chief Financial Officer of the Company, hereby certify that to my knowledge:</w:t>
      </w:r>
    </w:p>
    <w:p>
      <w:pPr>
        <w:pStyle w:val="TextBody"/>
        <w:bidi w:val="0"/>
        <w:spacing w:lineRule="auto" w:line="333"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333" w:before="2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644" w:type="dxa"/>
        <w:jc w:val="left"/>
        <w:tblInd w:w="0" w:type="dxa"/>
        <w:tblLayout w:type="fixed"/>
        <w:tblCellMar>
          <w:top w:w="28" w:type="dxa"/>
          <w:left w:w="28" w:type="dxa"/>
          <w:bottom w:w="28" w:type="dxa"/>
          <w:right w:w="28" w:type="dxa"/>
        </w:tblCellMar>
      </w:tblPr>
      <w:tblGrid>
        <w:gridCol w:w="591"/>
        <w:gridCol w:w="520"/>
        <w:gridCol w:w="523"/>
        <w:gridCol w:w="589"/>
        <w:gridCol w:w="589"/>
        <w:gridCol w:w="83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Stewart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Stewart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Unicode M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96429/000162828022001838/a31-amendedandrestatedarti.htm" TargetMode="External"/><Relationship Id="rId4" Type="http://schemas.openxmlformats.org/officeDocument/2006/relationships/hyperlink" Target="https://www.sec.gov/ix?doc=/Archives/edgar/data/0000896429/000091412121005445/p56531664-8ki.htm" TargetMode="External"/><Relationship Id="rId5" Type="http://schemas.openxmlformats.org/officeDocument/2006/relationships/hyperlink" Target="https://www.sec.gov/ix?doc=/Archives/edgar/data/896429/000162828025004018/usat-202501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19362</Words>
  <Characters>107357</Characters>
  <CharactersWithSpaces>124994</CharactersWithSpaces>
  <Paragraphs>2948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