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43180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310"/>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88"/>
        </w:trPr>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18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2640" w:type="dxa"/>
            <w:vAlign w:val="bottom"/>
          </w:tcPr>
          <w:p>
            <w:pPr>
              <w:jc w:val="center"/>
              <w:ind w:left="239"/>
              <w:spacing w:after="0"/>
              <w:rPr>
                <w:sz w:val="20"/>
                <w:szCs w:val="20"/>
                <w:color w:val="auto"/>
              </w:rPr>
            </w:pPr>
            <w:r>
              <w:rPr>
                <w:rFonts w:ascii="Arial" w:cs="Arial" w:eastAsia="Arial" w:hAnsi="Arial"/>
                <w:sz w:val="16"/>
                <w:szCs w:val="16"/>
                <w:color w:val="auto"/>
                <w:w w:val="97"/>
              </w:rPr>
              <w:t>CTLP</w:t>
            </w:r>
          </w:p>
        </w:tc>
        <w:tc>
          <w:tcPr>
            <w:tcW w:w="4420" w:type="dxa"/>
            <w:vAlign w:val="bottom"/>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1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6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2022 there were 71,084,832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640" w:type="dxa"/>
            <w:vAlign w:val="bottom"/>
            <w:gridSpan w:val="2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auto"/>
                <w:w w:val="90"/>
              </w:rPr>
              <w:t>Cantaloupe, Inc.</w:t>
            </w:r>
          </w:p>
        </w:tc>
        <w:tc>
          <w:tcPr>
            <w:tcW w:w="36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TABLE OF CONTENTS</w:t>
            </w:r>
          </w:p>
        </w:tc>
        <w:tc>
          <w:tcPr>
            <w:tcW w:w="36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3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3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Shareholders’ Equity (unaudited)</w:t>
              </w:r>
            </w:hyperlink>
          </w:p>
        </w:tc>
        <w:tc>
          <w:tcPr>
            <w:tcW w:w="36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top w:val="single" w:sz="8" w:color="0000FF"/>
            </w:tcBorders>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1200" w:type="dxa"/>
            <w:vAlign w:val="bottom"/>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Consolidated Financial Statements (unaudited)</w:t>
              </w:r>
            </w:hyperlink>
          </w:p>
        </w:tc>
        <w:tc>
          <w:tcPr>
            <w:tcW w:w="560" w:type="dxa"/>
            <w:vAlign w:val="bottom"/>
            <w:tcBorders>
              <w:top w:val="single" w:sz="8" w:color="0000FF"/>
            </w:tcBorders>
            <w:gridSpan w:val="3"/>
          </w:tcPr>
          <w:p>
            <w:pPr>
              <w:spacing w:after="0"/>
              <w:rPr>
                <w:sz w:val="24"/>
                <w:szCs w:val="24"/>
                <w:color w:val="auto"/>
              </w:rPr>
            </w:pPr>
          </w:p>
        </w:tc>
        <w:tc>
          <w:tcPr>
            <w:tcW w:w="1880" w:type="dxa"/>
            <w:vAlign w:val="bottom"/>
            <w:gridSpan w:val="2"/>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60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36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6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 Other Information</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3.</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4.</w:t>
              </w:r>
            </w:hyperlink>
          </w:p>
        </w:tc>
        <w:tc>
          <w:tcPr>
            <w:tcW w:w="600" w:type="dxa"/>
            <w:vAlign w:val="bottom"/>
            <w:gridSpan w:val="2"/>
          </w:tcPr>
          <w:p>
            <w:pPr>
              <w:spacing w:after="0"/>
              <w:rPr>
                <w:sz w:val="24"/>
                <w:szCs w:val="24"/>
                <w:color w:val="auto"/>
              </w:rPr>
            </w:pPr>
          </w:p>
        </w:tc>
        <w:tc>
          <w:tcPr>
            <w:tcW w:w="650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5.</w:t>
              </w:r>
            </w:hyperlink>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4700" w:type="dxa"/>
            <w:vAlign w:val="bottom"/>
            <w:gridSpan w:val="9"/>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140" w:type="dxa"/>
            <w:vAlign w:val="bottom"/>
            <w:gridSpan w:val="10"/>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36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40</w:t>
              </w:r>
            </w:hyperlink>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Pr>
          <w:p>
            <w:pPr>
              <w:spacing w:after="0"/>
              <w:rPr>
                <w:sz w:val="14"/>
                <w:szCs w:val="14"/>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88,136</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27,470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123,469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131,279</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due after one year,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11,632</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106,393</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235,092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26,460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65,673</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17,468</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83,141</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80" w:type="dxa"/>
            <w:vAlign w:val="bottom"/>
            <w:gridSpan w:val="2"/>
          </w:tcPr>
          <w:p>
            <w:pPr>
              <w:ind w:left="14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preferences of $21,781 and $21,447 at December 31, 2021 and June 30, 2021,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70,987,498 and 71,258,047 shares issued and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2021 and June 30, 2021,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(311,382)</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r>
      <w:tr>
        <w:trPr>
          <w:trHeight w:val="236"/>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235,092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237,672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33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339"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41,188</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33,214</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81,812</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66,322</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96,871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75,162</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of sales: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50,944</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15,062</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48,621</w:t>
            </w:r>
          </w:p>
        </w:tc>
        <w:tc>
          <w:tcPr>
            <w:tcW w:w="0" w:type="dxa"/>
            <w:vAlign w:val="bottom"/>
          </w:tcPr>
          <w:p>
            <w:pPr>
              <w:spacing w:after="0"/>
              <w:rPr>
                <w:sz w:val="1"/>
                <w:szCs w:val="1"/>
                <w:color w:val="auto"/>
              </w:rPr>
            </w:pPr>
          </w:p>
        </w:tc>
      </w:tr>
      <w:tr>
        <w:trPr>
          <w:trHeight w:val="148"/>
        </w:trPr>
        <w:tc>
          <w:tcPr>
            <w:tcW w:w="5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20,525</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32,761</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applicable to common shares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w w:val="93"/>
              </w:rPr>
              <w:t>Weighted average number of common shares outstanding used to compute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net loss per share applicable to common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70,969,246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64,913,364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71,072,587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64,886,183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Six Month Period Ended December 31, 2021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3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71,258,047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w w:val="95"/>
              </w:rPr>
              <w:t>Stock-based compensation and exercises (net)</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20,958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of common stock</w:t>
            </w:r>
          </w:p>
        </w:tc>
        <w:tc>
          <w:tcPr>
            <w:tcW w:w="3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70,959,182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464,537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151,864</w:t>
            </w: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w w:val="95"/>
              </w:rPr>
              <w:t>Stock-based compensation and exercises (net)</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28,316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1940" w:type="dxa"/>
            <w:vAlign w:val="bottom"/>
            <w:gridSpan w:val="2"/>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70,987,498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(313,141)</w:t>
            </w:r>
          </w:p>
        </w:tc>
        <w:tc>
          <w:tcPr>
            <w:tcW w:w="100" w:type="dxa"/>
            <w:vAlign w:val="bottom"/>
          </w:tcPr>
          <w:p>
            <w:pPr>
              <w:spacing w:after="0"/>
              <w:rPr>
                <w:sz w:val="22"/>
                <w:szCs w:val="22"/>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152,849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640" w:type="dxa"/>
            <w:vAlign w:val="bottom"/>
          </w:tcPr>
          <w:p>
            <w:pPr>
              <w:spacing w:after="0"/>
              <w:rPr>
                <w:sz w:val="24"/>
                <w:szCs w:val="24"/>
                <w:color w:val="auto"/>
              </w:rPr>
            </w:pPr>
          </w:p>
        </w:tc>
        <w:tc>
          <w:tcPr>
            <w:tcW w:w="374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Six Month Period Ended December 31, 2020</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3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3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65,196,882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2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Stock-based compensation and exercises (net)</w:t>
            </w:r>
          </w:p>
        </w:tc>
        <w:tc>
          <w:tcPr>
            <w:tcW w:w="3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65,252,965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402,742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93,452</w:t>
            </w: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8"/>
                <w:szCs w:val="18"/>
                <w:color w:val="auto"/>
                <w:w w:val="96"/>
              </w:rPr>
              <w:t>Stock based compensation and exercises (net)</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32,709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63"/>
        </w:trPr>
        <w:tc>
          <w:tcPr>
            <w:tcW w:w="364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65,285,674</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404,433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(312,192)</w:t>
            </w:r>
          </w:p>
        </w:tc>
        <w:tc>
          <w:tcPr>
            <w:tcW w:w="100" w:type="dxa"/>
            <w:vAlign w:val="bottom"/>
          </w:tcPr>
          <w:p>
            <w:pPr>
              <w:spacing w:after="0"/>
              <w:rPr>
                <w:sz w:val="22"/>
                <w:szCs w:val="22"/>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92,241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80"/>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2"/>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87"/>
              </w:rPr>
              <w:t>Six months ended</w:t>
            </w: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23"/>
                <w:szCs w:val="23"/>
                <w:color w:val="auto"/>
              </w:rPr>
            </w:pPr>
          </w:p>
        </w:tc>
      </w:tr>
      <w:tr>
        <w:trPr>
          <w:trHeight w:val="27"/>
        </w:trPr>
        <w:tc>
          <w:tcPr>
            <w:tcW w:w="8440" w:type="dxa"/>
            <w:vAlign w:val="bottom"/>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2020</w:t>
            </w: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(9,515)</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3,149</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2,120</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included in costs of sales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(2,987)</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Cash paid for acquisition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debt facilities, net of issuance costs</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Repayment of debt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Payment of Antara prepayment penalty and commitment termination fee</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00"/>
          </w:cols>
          <w:pgMar w:left="320" w:top="108" w:right="379" w:bottom="1440" w:gutter="0" w:footer="0" w:header="0"/>
        </w:sectPr>
      </w:pPr>
    </w:p>
    <w:p>
      <w:pPr>
        <w:ind w:left="20"/>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 at beginning of year</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89"/>
              </w:rPr>
              <w:t>(11,827)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4"/>
              </w:rPr>
              <w:t>(3,551)</w:t>
            </w:r>
          </w:p>
        </w:tc>
      </w:tr>
      <w:tr>
        <w:trPr>
          <w:trHeight w:val="270"/>
        </w:trPr>
        <w:tc>
          <w:tcPr>
            <w:tcW w:w="400" w:type="dxa"/>
            <w:vAlign w:val="bottom"/>
          </w:tcPr>
          <w:p>
            <w:pPr>
              <w:spacing w:after="0"/>
              <w:rPr>
                <w:sz w:val="23"/>
                <w:szCs w:val="23"/>
                <w:color w:val="auto"/>
              </w:rPr>
            </w:pP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88,136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8"/>
              </w:rPr>
              <w:t>31,713</w:t>
            </w:r>
          </w:p>
        </w:tc>
      </w:tr>
      <w:tr>
        <w:trPr>
          <w:trHeight w:val="27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0"/>
              </w:rPr>
              <w:t>76,309</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8"/>
              </w:rPr>
              <w:t>28,162</w:t>
            </w:r>
          </w:p>
        </w:tc>
      </w:tr>
      <w:tr>
        <w:trPr>
          <w:trHeight w:val="27"/>
        </w:trPr>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108" w:right="379" w:bottom="1440" w:gutter="0" w:footer="0" w:header="0"/>
          <w:type w:val="continuous"/>
        </w:sectPr>
      </w:pP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Interest paid in cash</w:t>
            </w:r>
          </w:p>
        </w:tc>
        <w:tc>
          <w:tcPr>
            <w:tcW w:w="29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08"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Cantaloupe, Inc. (“Cantaloupe” or the “Company”), previously known as USA Technologies, Inc., is organized under the laws of the Commonwealth of Pennsylvania. 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Cantaloupe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recent outbreak of the Omicron variant, have and may in the future lead to additional shutdowns and closures that impact our operations and financial results. Such impacts to our financial statements include, but not limited to,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2021 Annual Report on Form 10-K.</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all adjustments considered necessary for a fair presentation, consisting of normal recurring adjustments, have been included. Operating results for the six months ended December 31, 2021 are not necessarily indicative of the results that may be expected for the full fiscal year ending June 30, 2022. Actual results could differ from estimates. The balance sheet at June 30, 2021 has been derived from the audited consolidated financial statements at that date, but does not include all disclosures required by accounting principles generally accepted in the United States of America. Certain prior period amounts have been reclassified to conform with current year presentation.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 of Operations: operating expenses presentation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the first quarter of fiscal year 2022, the Company revised its presentation of operating expenses within its Condensed Consolidated Statement of Operations by disaggregating the previously disclosed Selling, general, and administrative costs into Sales and marketing, Technology and product development, and General and administrative costs. The updated presentation is intended to provide additional transparency to the readers of the financial statements and better align the Company’s financial performance with how management views and monitors business operations and makes strategic decisions. Prior period amounts for fiscal year 2021 have been reclassified to conform with current year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Below is a brief description of the various categories within Operating expenses:</w:t>
      </w:r>
    </w:p>
    <w:p>
      <w:pPr>
        <w:spacing w:after="0" w:line="252" w:lineRule="exact"/>
        <w:rPr>
          <w:sz w:val="20"/>
          <w:szCs w:val="20"/>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consists primarily of our sales and marketing team personnel costs which include non-capitalized wages, bonuses, stock-based compensation, sales commissions, severance costs, benefits, and employer taxes. In addition, this category includes fees paid for advertising, trade shows and external consultants who assist in outreach initiatives designed to build brand awareness and showcase the value of our products and services to our opportunity markets.</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Technology and product development expenses consists primarily of our technology and product team</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w:t>
      </w:r>
    </w:p>
    <w:p>
      <w:pPr>
        <w:spacing w:after="0" w:line="213" w:lineRule="exact"/>
        <w:rPr>
          <w:rFonts w:ascii="Arial" w:cs="Arial" w:eastAsia="Arial" w:hAnsi="Arial"/>
          <w:sz w:val="18"/>
          <w:szCs w:val="18"/>
          <w:i w:val="1"/>
          <w:iCs w:val="1"/>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consists primarily of our customer support, business operations, finance, legal,</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178" w:lineRule="exact"/>
        <w:rPr>
          <w:rFonts w:ascii="Arial" w:cs="Arial" w:eastAsia="Arial" w:hAnsi="Arial"/>
          <w:sz w:val="17"/>
          <w:szCs w:val="17"/>
          <w:i w:val="1"/>
          <w:iCs w:val="1"/>
          <w:color w:val="auto"/>
        </w:rPr>
      </w:pPr>
    </w:p>
    <w:p>
      <w:pPr>
        <w:jc w:val="both"/>
        <w:ind w:left="660" w:hanging="328"/>
        <w:spacing w:after="0" w:line="23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No changes made to the accounting policies or previously reported amounts included within the Company’s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Annual Report on Form 10-K for this category. Depreciation expense on our property and equipment, excluding property and equipment used for rentals, and amortization expense on our intangible assets are included within the Depreciation and amortization caption in the Consolidated Statements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changes described above did not impact total operating expenses, operating loss, net loss or net loss per common share.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Below are excerpts from the Condensed Consolidated Statement of Operations for each quarter of fiscal year 2021 before and after the revisions: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Revised presentation:</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48"/>
        </w:trPr>
        <w:tc>
          <w:tcPr>
            <w:tcW w:w="376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8"/>
                <w:szCs w:val="18"/>
                <w:color w:val="auto"/>
                <w:w w:val="94"/>
              </w:rPr>
              <w:t>September 30, 2020</w:t>
            </w:r>
          </w:p>
        </w:tc>
        <w:tc>
          <w:tcPr>
            <w:tcW w:w="140" w:type="dxa"/>
            <w:vAlign w:val="bottom"/>
          </w:tcPr>
          <w:p>
            <w:pPr>
              <w:spacing w:after="0"/>
              <w:rPr>
                <w:sz w:val="17"/>
                <w:szCs w:val="17"/>
                <w:color w:val="auto"/>
              </w:rPr>
            </w:pPr>
          </w:p>
        </w:tc>
        <w:tc>
          <w:tcPr>
            <w:tcW w:w="13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December 31,</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17"/>
                <w:szCs w:val="17"/>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17"/>
                <w:szCs w:val="17"/>
                <w:color w:val="auto"/>
              </w:rPr>
            </w:pP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5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Technology and product development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15,935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62,731</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As previously reported: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35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rPr>
              <w:t>March 31, 2021</w:t>
            </w:r>
          </w:p>
        </w:tc>
        <w:tc>
          <w:tcPr>
            <w:tcW w:w="18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4"/>
                <w:szCs w:val="24"/>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 of Operations: updated caption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fiscal year 2022, the Company revised the previously reported revenue caption of License and transaction fees to Subscription and transaction fees within its Condensed Consolidated Statement of Operations to provide a more accurate description of the revenue stream and align with commonly used terminology by industry participants. No changes were made to the revenue recognition accounting policies or previously reported amounts included within the Company’s June 30, 2021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Statements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Company adopted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on July 1, 2020 using the modified retrospective approach through an adjustment to retained earnings, and began calculating our allowance for accounts and finance receivables under an expected loss model rather than an incurred loss model.</w:t>
      </w:r>
    </w:p>
    <w:p>
      <w:pPr>
        <w:spacing w:after="0" w:line="211" w:lineRule="exact"/>
        <w:rPr>
          <w:sz w:val="20"/>
          <w:szCs w:val="20"/>
          <w:color w:val="auto"/>
        </w:rPr>
      </w:pPr>
    </w:p>
    <w:p>
      <w:pPr>
        <w:ind w:right="2000"/>
        <w:spacing w:after="0" w:line="269" w:lineRule="auto"/>
        <w:rPr>
          <w:sz w:val="20"/>
          <w:szCs w:val="20"/>
          <w:color w:val="auto"/>
        </w:rPr>
      </w:pPr>
      <w:r>
        <w:rPr>
          <w:rFonts w:ascii="Arial" w:cs="Arial" w:eastAsia="Arial" w:hAnsi="Arial"/>
          <w:sz w:val="18"/>
          <w:szCs w:val="18"/>
          <w:color w:val="auto"/>
        </w:rPr>
        <w:t>The following table represents a roll forward of the allowance for doubtful accounts for accounts and finance receivables for the six months ending December 31, 2021:</w:t>
      </w: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Six months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340" w:type="dxa"/>
            <w:vAlign w:val="bottom"/>
            <w:tcBorders>
              <w:bottom w:val="single" w:sz="8" w:color="auto"/>
            </w:tcBorders>
          </w:tcPr>
          <w:p>
            <w:pPr>
              <w:spacing w:after="0"/>
              <w:rPr>
                <w:sz w:val="16"/>
                <w:szCs w:val="16"/>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 in thousands)</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Accounts Receivable</w:t>
            </w: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Receivable</w:t>
            </w: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Finance Receivable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of allowance as of June 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Impact of adoption of ASC 326</w:t>
            </w: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6,926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920" w:type="dxa"/>
            <w:vAlign w:val="bottom"/>
          </w:tcPr>
          <w:p>
            <w:pPr>
              <w:jc w:val="right"/>
              <w:ind w:right="71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7,313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Write-offs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The Company adopted ASC 326 on July 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2021, the Company adopted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The adoption of this accounting standard did not materially impact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and January 2021, the FASB issued ASU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and ASU 2021-01, “</w:t>
      </w:r>
      <w:r>
        <w:rPr>
          <w:rFonts w:ascii="Arial" w:cs="Arial" w:eastAsia="Arial" w:hAnsi="Arial"/>
          <w:sz w:val="17"/>
          <w:szCs w:val="17"/>
          <w:i w:val="1"/>
          <w:iCs w:val="1"/>
          <w:color w:val="auto"/>
        </w:rPr>
        <w:t>Reference Rate Reform: Scope</w:t>
      </w:r>
      <w:r>
        <w:rPr>
          <w:rFonts w:ascii="Arial" w:cs="Arial" w:eastAsia="Arial" w:hAnsi="Arial"/>
          <w:sz w:val="17"/>
          <w:szCs w:val="17"/>
          <w:color w:val="auto"/>
        </w:rPr>
        <w:t>”, respectively. Together, the ASUs provide temporary optional expedients and exceptions for applying U.S. GAAP guidance on contract modifications and hedging relationships that reference LIBOR or another reference rate expected to be discontinued because of reference rate reform. The Company’s exposure to LIBOR includes our revolving credit facility and secured term facility with JPMorgan Chase Bank, N.A., which uses LIBOR as a reference rate. However, these facilities provide for an alternative rate of interest if LIBOR is discontinued. These optional expedients and exceptions are effective beginning March 12, 2020 through December 31, 2022 and adoption is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permitted at any time in the effective period. The Company is currently evaluating and assessing the impact these accounting standards will have on its condensed consolidated financial statements and related disclosures and if it will elect these optional standards.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Classification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2021, the FASB issued ASU 2021-05, “</w:t>
      </w:r>
      <w:r>
        <w:rPr>
          <w:rFonts w:ascii="Arial" w:cs="Arial" w:eastAsia="Arial" w:hAnsi="Arial"/>
          <w:sz w:val="18"/>
          <w:szCs w:val="18"/>
          <w:i w:val="1"/>
          <w:iCs w:val="1"/>
          <w:color w:val="auto"/>
        </w:rPr>
        <w:t>Lessors – Certain Leases with Variable Lease Payments</w:t>
      </w:r>
      <w:r>
        <w:rPr>
          <w:rFonts w:ascii="Arial" w:cs="Arial" w:eastAsia="Arial" w:hAnsi="Arial"/>
          <w:sz w:val="18"/>
          <w:szCs w:val="18"/>
          <w:color w:val="auto"/>
        </w:rPr>
        <w:t>” which requires lessors to classify leases as operating leases if they have variable lease payments that do not depend on an index or rate and would have selling losses if they were classified as sales-type or direct financing leases. ASU 2021-05 is effective for fiscal years beginning after December 15, 2021, and interim periods within those fiscal years. We plan to adopt this pronouncement for our fiscal year beginning July 1, 2022. The Company is currently evaluating and assessing the impact this accounting standard will have on its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Debt and Equity Instruments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and the derivatives scope exception for contracts in an entity's own equity and improves and amends the related earnings per share (EPS) guidance. ASU 2020-06 is effective for fiscal years beginning after December 15, 2021, and interim periods within those fiscal years. We plan to adopt this pronouncement for our fiscal year beginning July 1, 2022. The Company is currently evaluating and assessing the impact this accounting standard will have on its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 space, warehouses, and office equipment. At December 31, 2021, the Company has the following balances recorded in the balance sheet related to its lease arrangements: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As of December 31, 2021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3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8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32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2,949</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w:t>
            </w: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3,154</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3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534"/>
        </w:trPr>
        <w:tc>
          <w:tcPr>
            <w:tcW w:w="6780" w:type="dxa"/>
            <w:vAlign w:val="bottom"/>
            <w:gridSpan w:val="4"/>
          </w:tcPr>
          <w:p>
            <w:pPr>
              <w:spacing w:after="0"/>
              <w:rPr>
                <w:sz w:val="20"/>
                <w:szCs w:val="20"/>
                <w:color w:val="auto"/>
              </w:rPr>
            </w:pPr>
            <w:r>
              <w:rPr>
                <w:rFonts w:ascii="Arial" w:cs="Arial" w:eastAsia="Arial" w:hAnsi="Arial"/>
                <w:sz w:val="18"/>
                <w:szCs w:val="18"/>
                <w:color w:val="auto"/>
              </w:rPr>
              <w:t>Components of lease cost are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320" w:type="dxa"/>
            <w:vAlign w:val="bottom"/>
          </w:tcPr>
          <w:p>
            <w:pPr>
              <w:spacing w:after="0"/>
              <w:rPr>
                <w:sz w:val="24"/>
                <w:szCs w:val="24"/>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Three months ended December</w:t>
            </w:r>
          </w:p>
        </w:tc>
        <w:tc>
          <w:tcPr>
            <w:tcW w:w="2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88"/>
        </w:trPr>
        <w:tc>
          <w:tcPr>
            <w:tcW w:w="2460" w:type="dxa"/>
            <w:vAlign w:val="bottom"/>
            <w:gridSpan w:val="3"/>
            <w:vMerge w:val="continue"/>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797"/>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320" w:type="dxa"/>
            <w:vAlign w:val="bottom"/>
          </w:tcPr>
          <w:p>
            <w:pPr>
              <w:spacing w:after="0"/>
              <w:rPr>
                <w:sz w:val="24"/>
                <w:szCs w:val="24"/>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Six months ended December 31,</w:t>
            </w:r>
          </w:p>
        </w:tc>
        <w:tc>
          <w:tcPr>
            <w:tcW w:w="80" w:type="dxa"/>
            <w:vAlign w:val="bottom"/>
          </w:tcPr>
          <w:p>
            <w:pPr>
              <w:spacing w:after="0"/>
              <w:rPr>
                <w:sz w:val="24"/>
                <w:szCs w:val="24"/>
                <w:color w:val="auto"/>
              </w:rPr>
            </w:pPr>
          </w:p>
        </w:tc>
        <w:tc>
          <w:tcPr>
            <w:tcW w:w="2100" w:type="dxa"/>
            <w:vAlign w:val="bottom"/>
            <w:gridSpan w:val="4"/>
          </w:tcPr>
          <w:p>
            <w:pPr>
              <w:jc w:val="center"/>
              <w:ind w:right="16"/>
              <w:spacing w:after="0"/>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188"/>
        </w:trPr>
        <w:tc>
          <w:tcPr>
            <w:tcW w:w="2460" w:type="dxa"/>
            <w:vAlign w:val="bottom"/>
            <w:gridSpan w:val="3"/>
            <w:vMerge w:val="continue"/>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310"/>
        </w:trPr>
        <w:tc>
          <w:tcPr>
            <w:tcW w:w="6780" w:type="dxa"/>
            <w:vAlign w:val="bottom"/>
            <w:gridSpan w:val="4"/>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1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4"/>
              </w:rPr>
              <w:t>Six months ended December 31,</w:t>
            </w:r>
          </w:p>
        </w:tc>
        <w:tc>
          <w:tcPr>
            <w:tcW w:w="100" w:type="dxa"/>
            <w:vAlign w:val="bottom"/>
          </w:tcPr>
          <w:p>
            <w:pPr>
              <w:spacing w:after="0"/>
              <w:rPr>
                <w:sz w:val="14"/>
                <w:szCs w:val="14"/>
                <w:color w:val="auto"/>
              </w:rPr>
            </w:pPr>
          </w:p>
        </w:tc>
        <w:tc>
          <w:tcPr>
            <w:tcW w:w="2200" w:type="dxa"/>
            <w:vAlign w:val="bottom"/>
            <w:gridSpan w:val="7"/>
          </w:tcPr>
          <w:p>
            <w:pPr>
              <w:ind w:left="100"/>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86"/>
        </w:trPr>
        <w:tc>
          <w:tcPr>
            <w:tcW w:w="678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center"/>
              <w:ind w:left="1115"/>
              <w:spacing w:after="0"/>
              <w:rPr>
                <w:sz w:val="20"/>
                <w:szCs w:val="20"/>
                <w:color w:val="auto"/>
              </w:rPr>
            </w:pPr>
            <w:r>
              <w:rPr>
                <w:rFonts w:ascii="Arial" w:cs="Arial" w:eastAsia="Arial" w:hAnsi="Arial"/>
                <w:sz w:val="18"/>
                <w:szCs w:val="18"/>
                <w:color w:val="auto"/>
                <w:w w:val="93"/>
              </w:rPr>
              <w:t>840</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1640" w:type="dxa"/>
            <w:vAlign w:val="bottom"/>
            <w:gridSpan w:val="3"/>
          </w:tcPr>
          <w:p>
            <w:pPr>
              <w:jc w:val="center"/>
              <w:ind w:left="1115"/>
              <w:spacing w:after="0"/>
              <w:rPr>
                <w:sz w:val="20"/>
                <w:szCs w:val="20"/>
                <w:color w:val="auto"/>
              </w:rPr>
            </w:pPr>
            <w:r>
              <w:rPr>
                <w:rFonts w:ascii="Arial" w:cs="Arial" w:eastAsia="Arial" w:hAnsi="Arial"/>
                <w:sz w:val="18"/>
                <w:szCs w:val="18"/>
                <w:color w:val="auto"/>
                <w:w w:val="93"/>
              </w:rPr>
              <w:t>471</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780" w:type="dxa"/>
            <w:vAlign w:val="bottom"/>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88"/>
        </w:trPr>
        <w:tc>
          <w:tcPr>
            <w:tcW w:w="67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Lessor Accounting</w:t>
            </w:r>
          </w:p>
        </w:tc>
        <w:tc>
          <w:tcPr>
            <w:tcW w:w="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00" w:type="dxa"/>
            <w:vAlign w:val="bottom"/>
            <w:gridSpan w:val="2"/>
          </w:tcPr>
          <w:p>
            <w:pPr>
              <w:spacing w:after="0"/>
              <w:rPr>
                <w:sz w:val="20"/>
                <w:szCs w:val="20"/>
                <w:color w:val="auto"/>
              </w:rPr>
            </w:pPr>
            <w:r>
              <w:rPr>
                <w:rFonts w:ascii="Arial" w:cs="Arial" w:eastAsia="Arial" w:hAnsi="Arial"/>
                <w:sz w:val="18"/>
                <w:szCs w:val="18"/>
                <w:color w:val="auto"/>
                <w:w w:val="96"/>
              </w:rPr>
              <w:t>Property and equipment used for the operating lease rental program consisted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6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16"/>
                <w:szCs w:val="16"/>
                <w:color w:val="auto"/>
              </w:rPr>
            </w:pPr>
          </w:p>
        </w:tc>
        <w:tc>
          <w:tcPr>
            <w:tcW w:w="1640" w:type="dxa"/>
            <w:vAlign w:val="bottom"/>
            <w:gridSpan w:val="3"/>
          </w:tcPr>
          <w:p>
            <w:pPr>
              <w:jc w:val="center"/>
              <w:ind w:left="11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52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22,205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D9D9D9"/>
            </w:tcBorders>
            <w:shd w:val="clear" w:color="auto" w:fill="CCEEFF"/>
          </w:tcPr>
          <w:p>
            <w:pPr>
              <w:spacing w:after="0"/>
              <w:rPr>
                <w:sz w:val="22"/>
                <w:szCs w:val="22"/>
                <w:color w:val="auto"/>
              </w:rPr>
            </w:pPr>
          </w:p>
        </w:tc>
        <w:tc>
          <w:tcPr>
            <w:tcW w:w="120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180" w:type="dxa"/>
            <w:vAlign w:val="bottom"/>
            <w:tcBorders>
              <w:left w:val="single" w:sz="8" w:color="D9D9D9"/>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520" w:type="dxa"/>
            <w:vAlign w:val="bottom"/>
          </w:tcPr>
          <w:p>
            <w:pPr>
              <w:spacing w:after="0"/>
              <w:rPr>
                <w:sz w:val="20"/>
                <w:szCs w:val="20"/>
                <w:color w:val="auto"/>
              </w:rPr>
            </w:pPr>
          </w:p>
        </w:tc>
        <w:tc>
          <w:tcPr>
            <w:tcW w:w="2180" w:type="dxa"/>
            <w:vAlign w:val="bottom"/>
            <w:gridSpan w:val="5"/>
          </w:tcPr>
          <w:p>
            <w:pPr>
              <w:jc w:val="right"/>
              <w:spacing w:after="0"/>
              <w:rPr>
                <w:sz w:val="20"/>
                <w:szCs w:val="20"/>
                <w:color w:val="auto"/>
              </w:rPr>
            </w:pPr>
            <w:r>
              <w:rPr>
                <w:rFonts w:ascii="Arial" w:cs="Arial" w:eastAsia="Arial" w:hAnsi="Arial"/>
                <w:sz w:val="18"/>
                <w:szCs w:val="18"/>
                <w:color w:val="auto"/>
              </w:rPr>
              <w:t>(20,409)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520" w:type="dxa"/>
            <w:vAlign w:val="bottom"/>
            <w:shd w:val="clear" w:color="auto" w:fill="CCEEFF"/>
          </w:tcPr>
          <w:p>
            <w:pPr>
              <w:spacing w:after="0"/>
              <w:rPr>
                <w:sz w:val="24"/>
                <w:szCs w:val="24"/>
                <w:color w:val="auto"/>
              </w:rPr>
            </w:pPr>
          </w:p>
        </w:tc>
        <w:tc>
          <w:tcPr>
            <w:tcW w:w="1640" w:type="dxa"/>
            <w:vAlign w:val="bottom"/>
            <w:gridSpan w:val="3"/>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December 31, 2021 are disclosed within Note 6 - Finance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fiscal year 2022, the Company disaggregated Subscription and transaction fees presented on the Condensed Consolidated Statement of Operations to Transaction fees and Subscription fees categories (described below) as this additional disclosure provides greater visibility into the Company's revenue streams and better aligns the Company’s financial performance including how management views and monitors business operations and makes strategic decisions.</w:t>
      </w:r>
    </w:p>
    <w:p>
      <w:pPr>
        <w:spacing w:after="0" w:line="79"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 fees: </w:t>
      </w:r>
      <w:r>
        <w:rPr>
          <w:rFonts w:ascii="Arial" w:cs="Arial" w:eastAsia="Arial" w:hAnsi="Arial"/>
          <w:sz w:val="18"/>
          <w:szCs w:val="18"/>
          <w:color w:val="auto"/>
        </w:rPr>
        <w:t>The Company charges its customers a transaction fee generally calculated as a percentage rate on volumes processed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payment devices.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Subscription fees: </w:t>
      </w:r>
      <w:r>
        <w:rPr>
          <w:rFonts w:ascii="Arial" w:cs="Arial" w:eastAsia="Arial" w:hAnsi="Arial"/>
          <w:sz w:val="18"/>
          <w:szCs w:val="18"/>
          <w:color w:val="auto"/>
        </w:rPr>
        <w:t>Subscription fees are primarily comprised of the monthly service fee charged to our customers for our cashless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service fees originated through our rental program and Seed software services that include inventory management, route logistics optimization, warehouse and accounting management, and responsive merchandising.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Based on similar operational characteristics, the Company's revenue is disaggregated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right="293"/>
              <w:spacing w:after="0"/>
              <w:rPr>
                <w:sz w:val="20"/>
                <w:szCs w:val="20"/>
                <w:color w:val="auto"/>
              </w:rPr>
            </w:pPr>
            <w:r>
              <w:rPr>
                <w:rFonts w:ascii="Arial" w:cs="Arial" w:eastAsia="Arial" w:hAnsi="Arial"/>
                <w:sz w:val="14"/>
                <w:szCs w:val="14"/>
                <w:b w:val="1"/>
                <w:bCs w:val="1"/>
                <w:color w:val="auto"/>
                <w:w w:val="90"/>
              </w:rPr>
              <w:t>Six months ended December 31,</w:t>
            </w:r>
          </w:p>
        </w:tc>
      </w:tr>
      <w:tr>
        <w:trPr>
          <w:trHeight w:val="18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12,760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26,191</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41,188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66,322</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51,091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Disaggregation of revenues for the previously reported quarters for fiscal year-ended June 30, 2021 utilizing the above described methodology is presented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15"/>
              <w:spacing w:after="0"/>
              <w:rPr>
                <w:sz w:val="20"/>
                <w:szCs w:val="20"/>
                <w:color w:val="auto"/>
              </w:rPr>
            </w:pPr>
            <w:r>
              <w:rPr>
                <w:rFonts w:ascii="Arial" w:cs="Arial" w:eastAsia="Arial" w:hAnsi="Arial"/>
                <w:sz w:val="14"/>
                <w:szCs w:val="14"/>
                <w:b w:val="1"/>
                <w:bCs w:val="1"/>
                <w:color w:val="auto"/>
              </w:rPr>
              <w:t>Year ended</w:t>
            </w:r>
          </w:p>
        </w:tc>
      </w:tr>
      <w:tr>
        <w:trPr>
          <w:trHeight w:val="460"/>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24"/>
                <w:szCs w:val="24"/>
                <w:color w:val="auto"/>
              </w:rPr>
            </w:pPr>
          </w:p>
        </w:tc>
        <w:tc>
          <w:tcPr>
            <w:tcW w:w="144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 2021</w:t>
            </w: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85,498</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53,744</w:t>
            </w: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139,242</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27,697</w:t>
            </w: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166,939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the transaction price allocated to future performance obligations, we do not include non-recurring charges. Further, we apply the practical expedient to not consider arrangements with an original expected duration of one year or less, which are primarily month-to-month rental agreements. The majority of our contracts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 for the services or products being delivered.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As of December 31, 2021</w:t>
            </w:r>
          </w:p>
        </w:tc>
      </w:tr>
      <w:tr>
        <w:trPr>
          <w:trHeight w:val="40"/>
        </w:trPr>
        <w:tc>
          <w:tcPr>
            <w:tcW w:w="9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2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12,609</w:t>
            </w: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2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30"/>
        </w:trPr>
        <w:tc>
          <w:tcPr>
            <w:tcW w:w="9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48"/>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4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11315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32385</wp:posOffset>
            </wp:positionV>
            <wp:extent cx="1131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97" w:lineRule="exact"/>
        <w:rPr>
          <w:sz w:val="20"/>
          <w:szCs w:val="20"/>
          <w:color w:val="auto"/>
        </w:rPr>
      </w:pPr>
    </w:p>
    <w:p>
      <w:pPr>
        <w:ind w:left="1300" w:hanging="129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1,720</w:t>
      </w:r>
    </w:p>
    <w:p>
      <w:pPr>
        <w:spacing w:after="0" w:line="6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1,745</w:t>
      </w:r>
    </w:p>
    <w:p>
      <w:pPr>
        <w:spacing w:after="0" w:line="19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120</w:t>
      </w:r>
    </w:p>
    <w:p>
      <w:pPr>
        <w:spacing w:after="0" w:line="200" w:lineRule="exact"/>
        <w:rPr>
          <w:sz w:val="20"/>
          <w:szCs w:val="20"/>
          <w:color w:val="auto"/>
        </w:rPr>
      </w:pPr>
    </w:p>
    <w:p>
      <w:pPr>
        <w:spacing w:after="0" w:line="273" w:lineRule="exact"/>
        <w:rPr>
          <w:sz w:val="20"/>
          <w:szCs w:val="20"/>
          <w:color w:val="auto"/>
        </w:rPr>
      </w:pPr>
    </w:p>
    <w:p>
      <w:pPr>
        <w:jc w:val="center"/>
        <w:ind w:left="-19"/>
        <w:spacing w:after="0"/>
        <w:rPr>
          <w:sz w:val="20"/>
          <w:szCs w:val="20"/>
          <w:color w:val="auto"/>
        </w:rPr>
      </w:pPr>
      <w:r>
        <w:rPr>
          <w:rFonts w:ascii="Arial" w:cs="Arial" w:eastAsia="Arial" w:hAnsi="Arial"/>
          <w:sz w:val="12"/>
          <w:szCs w:val="12"/>
          <w:b w:val="1"/>
          <w:bCs w:val="1"/>
          <w:color w:val="auto"/>
        </w:rPr>
        <w:t>Six months ended December</w:t>
      </w:r>
    </w:p>
    <w:p>
      <w:pPr>
        <w:spacing w:after="0" w:line="40"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11315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32385</wp:posOffset>
            </wp:positionV>
            <wp:extent cx="11315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97" w:lineRule="exact"/>
        <w:rPr>
          <w:sz w:val="20"/>
          <w:szCs w:val="20"/>
          <w:color w:val="auto"/>
        </w:rPr>
      </w:pPr>
    </w:p>
    <w:p>
      <w:pPr>
        <w:ind w:left="1320" w:hanging="129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1,763</w:t>
      </w:r>
    </w:p>
    <w:p>
      <w:pPr>
        <w:spacing w:after="0" w:line="6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1,745</w:t>
      </w:r>
    </w:p>
    <w:p>
      <w:pPr>
        <w:spacing w:after="0" w:line="19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097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097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7" w:lineRule="exact"/>
        <w:rPr>
          <w:sz w:val="20"/>
          <w:szCs w:val="20"/>
          <w:color w:val="auto"/>
        </w:rPr>
      </w:pPr>
    </w:p>
    <w:p>
      <w:pPr>
        <w:ind w:left="1240" w:hanging="1231"/>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1,639</w:t>
      </w:r>
    </w:p>
    <w:p>
      <w:pPr>
        <w:spacing w:after="0" w:line="86"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1,648</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95</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097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32385</wp:posOffset>
            </wp:positionV>
            <wp:extent cx="1097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97" w:lineRule="exact"/>
        <w:rPr>
          <w:sz w:val="20"/>
          <w:szCs w:val="20"/>
          <w:color w:val="auto"/>
        </w:rPr>
      </w:pPr>
    </w:p>
    <w:p>
      <w:pPr>
        <w:ind w:left="1260" w:hanging="1230"/>
        <w:spacing w:after="0"/>
        <w:tabs>
          <w:tab w:leader="none" w:pos="1260" w:val="left"/>
        </w:tabs>
        <w:numPr>
          <w:ilvl w:val="0"/>
          <w:numId w:val="8"/>
        </w:numPr>
        <w:rPr>
          <w:rFonts w:ascii="Arial" w:cs="Arial" w:eastAsia="Arial" w:hAnsi="Arial"/>
          <w:sz w:val="15"/>
          <w:szCs w:val="15"/>
          <w:color w:val="auto"/>
        </w:rPr>
      </w:pPr>
      <w:r>
        <w:rPr>
          <w:rFonts w:ascii="Arial" w:cs="Arial" w:eastAsia="Arial" w:hAnsi="Arial"/>
          <w:sz w:val="15"/>
          <w:szCs w:val="15"/>
          <w:color w:val="auto"/>
        </w:rPr>
        <w:t>1,698</w:t>
      </w:r>
    </w:p>
    <w:p>
      <w:pPr>
        <w:spacing w:after="0" w:line="97" w:lineRule="exact"/>
        <w:rPr>
          <w:rFonts w:ascii="Arial" w:cs="Arial" w:eastAsia="Arial" w:hAnsi="Arial"/>
          <w:sz w:val="15"/>
          <w:szCs w:val="15"/>
          <w:color w:val="auto"/>
        </w:rPr>
      </w:pPr>
    </w:p>
    <w:p>
      <w:pPr>
        <w:ind w:left="1260"/>
        <w:spacing w:after="0"/>
        <w:rPr>
          <w:rFonts w:ascii="Arial" w:cs="Arial" w:eastAsia="Arial" w:hAnsi="Arial"/>
          <w:sz w:val="15"/>
          <w:szCs w:val="15"/>
          <w:color w:val="auto"/>
        </w:rPr>
      </w:pPr>
      <w:r>
        <w:rPr>
          <w:rFonts w:ascii="Arial" w:cs="Arial" w:eastAsia="Arial" w:hAnsi="Arial"/>
          <w:sz w:val="15"/>
          <w:szCs w:val="15"/>
          <w:color w:val="auto"/>
        </w:rPr>
        <w:t>1,648</w:t>
      </w:r>
    </w:p>
    <w:p>
      <w:pPr>
        <w:spacing w:after="0" w:line="233"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184</w:t>
      </w:r>
    </w:p>
    <w:p>
      <w:pPr>
        <w:spacing w:after="0" w:line="283" w:lineRule="exact"/>
        <w:rPr>
          <w:sz w:val="20"/>
          <w:szCs w:val="20"/>
          <w:color w:val="auto"/>
        </w:rPr>
      </w:pPr>
    </w:p>
    <w:p>
      <w:pPr>
        <w:sectPr>
          <w:pgSz w:w="11900" w:h="16838" w:orient="portrait"/>
          <w:cols w:equalWidth="0" w:num="3">
            <w:col w:w="7280" w:space="220"/>
            <w:col w:w="1780" w:space="200"/>
            <w:col w:w="1760"/>
          </w:cols>
          <w:pgMar w:left="320" w:top="125" w:right="339" w:bottom="1440" w:gutter="0" w:footer="0" w:header="0"/>
        </w:sectPr>
      </w:pP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the Company had net capitalized costs to obtain contracts of $0.4 million included in Prepaid expenses and other current assets and $2.0 million included in Other noncurrent assets on the Condensed Consolidated Balance Sheet. At June 30, 2021, the Company had net capitalized costs to obtain contracts of $0.4 million included in Prepaid expenses and other current assets and $2.0 million included in Other noncurrent assets on the Condensed Consolidated Balance Sheet. None of these capitalized contract costs were impaired.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December 31, 2021, amortization of capitalized contract costs was $0.2 million and $0.3 million. During the three and six months ended December 31, 2020, amortization of capitalized contract costs was $0.1 million and $0.3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the residual of the purchase price recorded as goodwill.</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As of the date of the acquisition and as of December 31, 2021, we expect to pay the entire deferred cash payment and we have accrued a contingent consideration liability of $1 million which is included within Accrued expenses in our Condensed Consolidated Balance Sheet.</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pursuant to ASC 718. At each reporting date, we assess the probability of achieving the sales targets and fulfilling the performance condition. As of December 31, 2021, we determined that it is not probable that the performance condition would be satisfied and, accordingly, have not recognized compensation expense related to these awards for the six months ended December 31, 2021.</w:t>
      </w:r>
    </w:p>
    <w:p>
      <w:pPr>
        <w:spacing w:after="0" w:line="21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total consideration paid for Yoke, total net assets acquired, identifiable assets and goodwill recognized at the acquisition date:</w:t>
      </w:r>
    </w:p>
    <w:p>
      <w:pPr>
        <w:spacing w:after="0" w:line="234"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29"/>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Fair value of total consideration transferred</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r>
      <w:tr>
        <w:trPr>
          <w:trHeight w:val="250"/>
        </w:trPr>
        <w:tc>
          <w:tcPr>
            <w:tcW w:w="6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assets acquired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Identifiable intangible assets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2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50"/>
        </w:trPr>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bl>
    <w:p>
      <w:pPr>
        <w:spacing w:after="0" w:line="3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above allocation of the purchase price is provisional and is still subject to change within the measurement period. The final allocation of the purchase price is expected to be completed as soon as practicable, but no later than one year from the date of the acquisition. Pro forma financial information of the acquisition is not presented due to the immaterial impact of the financial results of Yoke in the Company's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December 31, 2021 and June 30, 2021, finance receivables consist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11,632</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allowance of $1,062 and $1,109,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Customers are pooled based on their ratio of gross sales to required monthly lease obligations. We categorize outstanding receivables into two categories: high ratio customers (customers who have adequate transaction processing volumes sufficient to cover monthly fees) and low ratio customers (customers that do not consistently have adequate transaction processing volumes sufficient to cover monthly fees). Using these two categories, we performed an analysis of historical write-offs to calculate reserve percentages by aging buckets for each category of customer.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the gross lease receivable by current payment performance on a contractual basis and year of origination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20,215</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the gross lease receivable by current payment performance on a contractual basis and year of origination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credit quality indicators by year of origination consisted of the following:</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Between 2 and 3</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5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More than 5 Years</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3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Years Ago</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Years Ago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 Ago</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Years Ago</w:t>
            </w: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Ago</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17,483</w:t>
            </w: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credit quality indicators by year of origination consisted of the following:</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Between 2 and 3</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5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More than 5 Years</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3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Years Ago</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Years Ago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 Ago</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Years Ago</w:t>
            </w: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Ago</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18,266</w:t>
            </w: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the allowance for finance receivables for the six months ending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Six months ended December</w:t>
            </w:r>
          </w:p>
        </w:tc>
        <w:tc>
          <w:tcPr>
            <w:tcW w:w="220" w:type="dxa"/>
            <w:vAlign w:val="bottom"/>
          </w:tcPr>
          <w:p>
            <w:pPr>
              <w:spacing w:after="0"/>
              <w:rPr>
                <w:sz w:val="14"/>
                <w:szCs w:val="14"/>
                <w:color w:val="auto"/>
              </w:rPr>
            </w:pPr>
          </w:p>
        </w:tc>
        <w:tc>
          <w:tcPr>
            <w:tcW w:w="1640" w:type="dxa"/>
            <w:vAlign w:val="bottom"/>
            <w:gridSpan w:val="4"/>
          </w:tcPr>
          <w:p>
            <w:pPr>
              <w:jc w:val="center"/>
              <w:ind w:right="279"/>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714"/>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44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4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4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Write-offs</w:t>
            </w:r>
          </w:p>
        </w:tc>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9"/>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909</w:t>
            </w:r>
          </w:p>
        </w:tc>
        <w:tc>
          <w:tcPr>
            <w:tcW w:w="14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95"/>
              </w:rPr>
              <w:t>*</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 The Company adopted Financial Instruments - Credit Losses (Topic 326) on July 1, 2020.</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74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7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920" w:type="dxa"/>
            <w:vAlign w:val="bottom"/>
            <w:gridSpan w:val="2"/>
          </w:tcPr>
          <w:p>
            <w:pPr>
              <w:spacing w:after="0"/>
              <w:rPr>
                <w:sz w:val="20"/>
                <w:szCs w:val="20"/>
                <w:color w:val="auto"/>
              </w:rPr>
            </w:pPr>
            <w:r>
              <w:rPr>
                <w:rFonts w:ascii="Arial" w:cs="Arial" w:eastAsia="Arial" w:hAnsi="Arial"/>
                <w:sz w:val="18"/>
                <w:szCs w:val="18"/>
                <w:color w:val="auto"/>
                <w:w w:val="94"/>
              </w:rPr>
              <w:t>Cash to be collected on our performing finance receivables due for each of the fiscal years are as follows: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4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3,110</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Total amounts to be collected</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24,035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(3,820)</w:t>
            </w:r>
          </w:p>
        </w:tc>
        <w:tc>
          <w:tcPr>
            <w:tcW w:w="0" w:type="dxa"/>
            <w:vAlign w:val="bottom"/>
          </w:tcPr>
          <w:p>
            <w:pPr>
              <w:spacing w:after="0"/>
              <w:rPr>
                <w:sz w:val="1"/>
                <w:szCs w:val="1"/>
                <w:color w:val="auto"/>
              </w:rPr>
            </w:pP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Less: allowance for receivables</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(1,062)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receivables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19,153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CALCULATION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period. Diluted earnings per share, applicable only to years ended with reported income, is computed by dividing net income by the weighted 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number of common shares outstanding during the period plus the dilutive effect of outstanding stock options and restricted stock-based awards using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method. The calculation of basic and diluted loss per share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70,969,246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64,913,364</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70,969,246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64,913,364</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2"/>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26"/>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100" w:type="dxa"/>
            <w:vAlign w:val="bottom"/>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71,072,587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64,886,183</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71,072,587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64,886,183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approximately 4 million for the three and six months ended December 31, 2021 and approximately 3 million for the three and six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2021</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three and six months ended December 31, 2021, there was $0.9 million and $1.6 million in amortization expense related to intangible assets, respectively, that was recognized. The Company recognized $2.7 million in goodwill and $1.2 million in newly acquired intangible assets in association with the Yoke acquisition as referenced in </w:t>
      </w:r>
      <w:r>
        <w:rPr>
          <w:rFonts w:ascii="Arial" w:cs="Arial" w:eastAsia="Arial" w:hAnsi="Arial"/>
          <w:sz w:val="18"/>
          <w:szCs w:val="18"/>
          <w:i w:val="1"/>
          <w:iCs w:val="1"/>
          <w:color w:val="auto"/>
        </w:rPr>
        <w:t>Note 5 - Acquisition</w:t>
      </w:r>
      <w:r>
        <w:rPr>
          <w:rFonts w:ascii="Arial" w:cs="Arial" w:eastAsia="Arial" w:hAnsi="Arial"/>
          <w:sz w:val="18"/>
          <w:szCs w:val="18"/>
          <w:color w:val="auto"/>
        </w:rPr>
        <w: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December 31, 2020, there was $0.8 million and $1.6 million for each respective period in amortization expense related to intangible assets that was recognized.</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and six months ended December 31, 2021 and December 31, 2020, the Company did not recognize any impairment charges related to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December 31, 2021 and June 30, 2021 consisted of the following:</w:t>
      </w:r>
    </w:p>
    <w:p>
      <w:pPr>
        <w:spacing w:after="0" w:line="352"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Arial" w:cs="Arial" w:eastAsia="Arial" w:hAnsi="Arial"/>
                <w:sz w:val="14"/>
                <w:szCs w:val="14"/>
                <w:b w:val="1"/>
                <w:bCs w:val="1"/>
                <w:color w:val="auto"/>
              </w:rPr>
              <w:t>As of June 30,</w:t>
            </w:r>
          </w:p>
        </w:tc>
      </w:tr>
      <w:tr>
        <w:trPr>
          <w:trHeight w:val="195"/>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600" w:type="dxa"/>
            <w:vAlign w:val="bottom"/>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40"/>
        </w:trPr>
        <w:tc>
          <w:tcPr>
            <w:tcW w:w="7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JPMorgan Credit Facility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r>
      <w:tr>
        <w:trPr>
          <w:trHeight w:val="229"/>
        </w:trPr>
        <w:tc>
          <w:tcPr>
            <w:tcW w:w="712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14,319</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13,644</w:t>
            </w:r>
          </w:p>
        </w:tc>
      </w:tr>
      <w:tr>
        <w:trPr>
          <w:trHeight w:val="21"/>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 Antara Term Facility</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7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2021 JPMorgan Credit Facility</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6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JPMorgan Chase Bank Credit Agreement</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the 2021 JPMorgan Credit Agreement (as defined below) with JPMorgan Chase Bank, N.A.</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includes an uncommitted expansion feature that allows the Company to increase the total revolving commitments and/or add new tranches of term loans in an aggregate amount not to exceed $5 million. In connection with entering into the 2021 JPMorgan Credit Agreement, the Company repaid all amounts outstanding under the 2020 Antara Term Facility. The Company recognized $2.8 million of interest expense related to the 2020 Antara Term Facility during the fiscal quarter ended September 30, 2020, including the recognition of $2.6 million of unamortized issuance costs and debt discount as interest expense, reflecting the difference between the carrying value of the 2020 Antara Term Facility and the amount due upon repayment.</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 As of December 31, 2021, the applicable interest rate for the 2021 JPMorgan Secured Term Facility is a base rate of 0.75% and a spread of 4.25% for a total applicable interest rate of 5%.</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payments are due in quarterly installments of $187,500 beginning December 31, 2020 through September 30, 2022 for a total annual repayment of $750,000 and total repayment over the period of $1.5 million. Beginning December 31, 2022 through June 30, 2023, principal payments are due in quarterly installments of $375,000 for a total repayment over the period of $1.1 million. The remaining unpaid principal amounts are due at the maturity date of the 2021 JPMorgan Credit Facility.</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financial covenants as of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Facility with Antara</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9, 2019, the Company entered into a commitment letter with Antara, pursuant to which Antara committed to extend to the Company a $30.0 million senior secured term loan facility ("2020 Antara Term Facility"). 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The 2020 Antara Term Facility agreement also contained a mandatory prepayment feature that was determined to be an embedded derivative, requiring bifurcation and fair value recognition for the derivative liability.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2020 Antara Term Facility and entered into the 2021 JPMorgan Credit Agreement described above. The Company de-recognized $2.6 million of unamortized debt issuance costs and debt discount associated with the 2020 Antara Team Facility during the three months ended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December 31, 2021 and June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6"/>
                <w:szCs w:val="16"/>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 June 30,</w:t>
            </w:r>
          </w:p>
        </w:tc>
      </w:tr>
      <w:tr>
        <w:trPr>
          <w:trHeight w:val="195"/>
        </w:trPr>
        <w:tc>
          <w:tcPr>
            <w:tcW w:w="76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6"/>
                <w:szCs w:val="16"/>
                <w:color w:val="auto"/>
              </w:rPr>
            </w:pPr>
          </w:p>
        </w:tc>
        <w:tc>
          <w:tcPr>
            <w:tcW w:w="1540" w:type="dxa"/>
            <w:vAlign w:val="bottom"/>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2021</w:t>
            </w:r>
          </w:p>
        </w:tc>
      </w:tr>
      <w:tr>
        <w:trPr>
          <w:trHeight w:val="148"/>
        </w:trPr>
        <w:tc>
          <w:tcPr>
            <w:tcW w:w="7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tax reserve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taxes and filing fees payable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 arrangement for the Yoke acquisition*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26,460</w:t>
            </w: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See</w:t>
      </w:r>
      <w:r>
        <w:rPr>
          <w:rFonts w:ascii="Arial" w:cs="Arial" w:eastAsia="Arial" w:hAnsi="Arial"/>
          <w:sz w:val="16"/>
          <w:szCs w:val="16"/>
          <w:i w:val="1"/>
          <w:iCs w:val="1"/>
          <w:color w:val="auto"/>
        </w:rPr>
        <w:t xml:space="preserve"> Note </w:t>
      </w:r>
      <w:r>
        <w:rPr>
          <w:rFonts w:ascii="Arial" w:cs="Arial" w:eastAsia="Arial" w:hAnsi="Arial"/>
          <w:sz w:val="17"/>
          <w:szCs w:val="17"/>
          <w:i w:val="1"/>
          <w:iCs w:val="1"/>
          <w:color w:val="auto"/>
        </w:rPr>
        <w:t>5</w:t>
      </w:r>
      <w:r>
        <w:rPr>
          <w:rFonts w:ascii="Arial" w:cs="Arial" w:eastAsia="Arial" w:hAnsi="Arial"/>
          <w:sz w:val="16"/>
          <w:szCs w:val="16"/>
          <w:i w:val="1"/>
          <w:iCs w:val="1"/>
          <w:color w:val="auto"/>
        </w:rPr>
        <w:t xml:space="preserve"> - Acquisition </w:t>
      </w:r>
      <w:r>
        <w:rPr>
          <w:rFonts w:ascii="Arial" w:cs="Arial" w:eastAsia="Arial" w:hAnsi="Arial"/>
          <w:sz w:val="16"/>
          <w:szCs w:val="16"/>
          <w:color w:val="auto"/>
        </w:rPr>
        <w:t>for description of the contingent consideration arrangement.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2021, the Company recorded an income tax provision of $102 thousand. For the six</w:t>
      </w:r>
    </w:p>
    <w:p>
      <w:pPr>
        <w:spacing w:after="0" w:line="1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months ended December 31, 2021, the Company recorded an income tax provision of $191 thousand. As of December 31, 2021, the Company reviewed the existing deferred tax assets and continues to record a full valuation against its deferred tax assets. The income tax provisions primarily relate to the Company's uncertain tax positions, as well as state income and franchise taxes. As of December 31, 2021, the Company had a total unrecognized income tax benefit of $0.5 million. The provision is based upon actual loss before income taxes for the six months ended December 31, 2021, as the use of an estimated annual effective income tax rate does not provide a reliable estimate of the income tax provision.</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the three months ended December 30, 2020, the Company recorded an income tax provision of $49 thousand. For the six months ended December 31, 2020, the Company recorded an income tax provision of $89 thousand. As of December 31, 2020, the Company reviewed the existing deferred tax assets in light of COVID-19 and recorded a full valuation against its deferred tax assets. The income tax provisions primarily relate to the Company's uncertain tax positions, as well as state income and franchise taxes. As of December 31, 2020, the Company had a total unrecognized income tax benefit of $0.2 million. The provision is based upon actual loss before income taxes for the six months ended December 31, 2020, as the use of an estimated annual effective income tax rate does not provide a reliable estimate of the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fair value of options granted during the six months ended December 31, 2021 and 2020 were determined using the following assumptions and includes only options with an established grant date under ASC 718:</w:t>
      </w: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1280" w:type="dxa"/>
            <w:vAlign w:val="bottom"/>
            <w:tcBorders>
              <w:bottom w:val="single" w:sz="8" w:color="auto"/>
            </w:tcBorders>
          </w:tcPr>
          <w:p>
            <w:pPr>
              <w:spacing w:after="0"/>
              <w:rPr>
                <w:sz w:val="16"/>
                <w:szCs w:val="16"/>
                <w:color w:val="auto"/>
              </w:rPr>
            </w:pPr>
          </w:p>
        </w:tc>
      </w:tr>
      <w:tr>
        <w:trPr>
          <w:trHeight w:val="187"/>
        </w:trPr>
        <w:tc>
          <w:tcPr>
            <w:tcW w:w="6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4"/>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- 73.6%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 - 77.3%</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Weighted average expected life (years)</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Risk-free interest rate (percent)</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- 1.2%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 - 0.4%</w:t>
            </w: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650,000</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Weighted average exercise price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8.00</w:t>
            </w: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4.69</w:t>
            </w:r>
          </w:p>
        </w:tc>
      </w:tr>
    </w:tbl>
    <w:p>
      <w:pPr>
        <w:spacing w:after="0" w:line="3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Stock based compensation related to stock options with an established grant date for the three and six months ended December 31, 2021 was $0.6 million and $1.4 million, respectively, and for the three and six months ended December 31, 2020 was $1.4 million and $2.5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Arial" w:cs="Arial" w:eastAsia="Arial" w:hAnsi="Arial"/>
          <w:sz w:val="16"/>
          <w:szCs w:val="16"/>
          <w:i w:val="1"/>
          <w:iCs w:val="1"/>
          <w:color w:val="auto"/>
        </w:rPr>
        <w:t>ASC Topic 718 Compensation — Stock Compensation</w:t>
      </w:r>
      <w:r>
        <w:rPr>
          <w:rFonts w:ascii="Arial" w:cs="Arial" w:eastAsia="Arial" w:hAnsi="Arial"/>
          <w:sz w:val="16"/>
          <w:szCs w:val="16"/>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for the three and six months ended December 31, 2021 for these awards was $0.3 million and $0.9 million, respectively. There was no expense recognized for performance based awards during the three and six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Two employees of Hudson Executive Capital LP (“Hudson Executive”), a greater than 10% shareholder and a related party of the Company, entered into consulting agreements with the Company in August and September of 2020, respectively, under which the consultants provided financial and strategic analysis and advisory services to the Company's CEO through July 31, 2021. As consideration for the services, in March 2021 the consultants were granted a total of 80,000 restricted stock units. In September 2021, the Company extended these consulting agreements through July 31, 2022 and, in connection therewith, the consultants were granted an additional 20,000 restricted stock units. The total expense recognized for the three and six months ended December 31, 2021 for these consulting agreements was $0.1 million.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makes annual grants of restricted stock units to executive officers pursuant to long-term stock incentive plans (“LTIPs”) which vest annually, typically over three years. In August 2021, we granted a total of approximately 93,000 restricted stock units with a grant date fair value of approximately $0.97 million to company executives.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expense recognized for common stock awards for the three and six months ended December 31, 2021 was $0.5 million and $0.8 million, respectively, and for the three and six months ended December 31, 2020 was $0.3 million and $0.7 million, respectively.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Subpoena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entered into various operating lease obligations. See </w:t>
      </w:r>
      <w:r>
        <w:rPr>
          <w:rFonts w:ascii="Arial" w:cs="Arial" w:eastAsia="Arial" w:hAnsi="Arial"/>
          <w:sz w:val="18"/>
          <w:szCs w:val="18"/>
          <w:i w:val="1"/>
          <w:iCs w:val="1"/>
          <w:color w:val="auto"/>
        </w:rPr>
        <w:t>Note 3 - Leases</w:t>
      </w:r>
      <w:r>
        <w:rPr>
          <w:rFonts w:ascii="Arial" w:cs="Arial" w:eastAsia="Arial" w:hAnsi="Arial"/>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firm commitments to purchase inventory of approximately $23 million over the next three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The total expense recognized within Cost of subscription and transaction fees for the three and six months ended December 31, 2021 for these arrangements was $0.5 million and $0.8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12 - Equity</w:t>
      </w:r>
      <w:r>
        <w:rPr>
          <w:rFonts w:ascii="Arial" w:cs="Arial" w:eastAsia="Arial" w:hAnsi="Arial"/>
          <w:sz w:val="18"/>
          <w:szCs w:val="18"/>
          <w:color w:val="auto"/>
        </w:rPr>
        <w:t xml:space="preserve"> for information on transactions relating to Hudson Executive.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Form 10-Q contains certain forward-looking statements within the meaning of Section 21E of the Securities Exchange Act of 1934, as amended, regarding, among other things, the anticipated financial and operating results of Cantaloupe, Inc. (“Cantaloupe”, “Company”, "our", "us", or "we").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51" w:lineRule="exact"/>
        <w:rPr>
          <w:sz w:val="20"/>
          <w:szCs w:val="20"/>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 including the impact of the ongoing COVID-19 pandemic, global supply chain disruptions, and inflationary pressures;</w:t>
      </w:r>
    </w:p>
    <w:p>
      <w:pPr>
        <w:spacing w:after="0" w:line="143"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mutations of COVID-19 and the efficacy of vaccines and treatment developments and their deployment;</w:t>
      </w:r>
    </w:p>
    <w:p>
      <w:pPr>
        <w:spacing w:after="0" w:line="184"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the 2021 JPMorgan Credit Facility;</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with our competitors and increase market share;</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current or future customers purchase, lease, rent or utilize ePort devices, Seed’s software solutions or our other products in the future at levels currently anticipated;</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satisfy our trade obligations included in accounts payable and accrued expenses;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may require us to divert our cash resources from achieving our business plan;</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predict or estimate our future quarterly or annual revenue and expenses given the developing and unpredictable market for our products;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companies into our current products and services structure;</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customers from whom a significant portion of our revenue is derived;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us;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widespread commercial acceptance of our products and service offerings;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patents issued to us will provide any competitive advantages or adequate protection for our products, or would be challenged, invalidated or circumvented by others;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without infringing the intellectual property rights of others;</w:t>
      </w:r>
    </w:p>
    <w:p>
      <w:pPr>
        <w:spacing w:after="0" w:line="103"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disruptions to our systems or unauthorized hacking or credit card fraud;</w:t>
      </w:r>
    </w:p>
    <w:p>
      <w:pPr>
        <w:spacing w:after="0" w:line="103"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will experience material weaknesses in our internal controls over financial reporting in the future, and are not able to accurately or timely report our financial condition or results of operations;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remain in compliance with the continued listing standards of the Nasdaq Global Select Market (“Nasdaq”) and continue to remain as a member of the US Small-Cap Russell 2000®;</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the currently pending investigation, potential litigation or possible regulatory action arising from the internal investigation conducted by the Audit Committee in fiscal year 2019 and its findings, from the failure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Quarterly Report on Form 10-Q for the fiscal quarter ended September 30, 2021 and in our Annual Report on Form 10-K for the fiscal year ended June 30, 2021 (“2021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Cantaloupe, Inc., previously known as USA Technologies, Inc., is organized under the laws of the Commonwealth of Pennsylvania. 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Nasdaq under the ticker symbol “CTLP” and the Company’s Series A Convertible Preferred Stock, no par value per share, began trading on the OTC Markets’ Pink Open Market under the trading symbol, “CTLPP”.</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Cantaloupe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fiscal year ends June 30. The Company generates revenue in multiple ways. During the three months ended December 31, 2021 and December 31, 2020, we derived approximately 81% and 87% respectively, from subscription and transaction fees and 19% and 13%, respectively, from equipment sales. During the six months ended December 31, 2021 and December 31, 2020, we derived approximately 84% and 88%, respectively, from subscription and transaction fees and 16% and 12%, respectively, from equipment sales.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typically 36 months duration agreements and are cancellable with 30 to 60 days'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Highlights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 for the fiscal quarter ended December 31, 2021 are below:</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21,315 Active Customers (as defined below) and 1.1 million Active Devices on our service;</w:t>
      </w:r>
    </w:p>
    <w:p>
      <w:pPr>
        <w:spacing w:after="0" w:line="117"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announced a partnership with HIVERY, a data-science company that specializes in Artificial Intelligence ("AI") technology to streamline category management for retailers in the consumer packaged goods industry. The partnership aims to provide the Company's Seed customers an enhanced merchandising technology leveraging AI and Machine Learning to improve vending machine performance;</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successful rollout of the ePort Engage devices which began shipping at the beginning of the current fiscal quarter. ePort Engage series is our next generation of digital touchscreen devices for the market which provides retailers the ability to captivate consumers in new ways and enables truly frictionless purchasing;</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sales teams at the national, regional, and local customer-level and a growing number of original equipment manufacturers and national distribution partners;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promotional upgrade program for 2G and 3G devices to 4G LTE.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have over 180 employees across the United States and offices in Malvern, Pennsylvania and Atlanta, Georgia.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recent outbreak of the Omicron variant, have and may in the future lead to additional shutdowns and closures that impact our operations and financial results. Such impacts to our financial statements include, but not limited to,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are encouraged by our strong operating and financial results, 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following discussion should be read in conjunction with the condensed consolidated financial statements and related notes included in this Form 10-Q. Certain prior years' amounts have been made to conform to the current year's presentation. The changes in presentation did not affect our total revenues, total costs of sales, gross profit, total operating expenses, operating loss, net loss or net loss per common share. For further information on the presentation changes, see </w:t>
      </w:r>
      <w:r>
        <w:rPr>
          <w:rFonts w:ascii="Arial" w:cs="Arial" w:eastAsia="Arial" w:hAnsi="Arial"/>
          <w:sz w:val="17"/>
          <w:szCs w:val="17"/>
          <w:i w:val="1"/>
          <w:iCs w:val="1"/>
          <w:color w:val="auto"/>
        </w:rPr>
        <w:t>Item 1. Financial Statements — Note 2. Summary of Significant Accounting Policies</w:t>
      </w:r>
      <w:r>
        <w:rPr>
          <w:rFonts w:ascii="Arial" w:cs="Arial" w:eastAsia="Arial" w:hAnsi="Arial"/>
          <w:sz w:val="17"/>
          <w:szCs w:val="17"/>
          <w:color w:val="auto"/>
        </w:rPr>
        <w: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Transactions are defined as electronic payment transactions that are processed by our technology-enabled solutions. Management uses Total Number and Dollar Volume of transactions to monitor recovery from the COVID-19 pandemic and to evaluate the effectiveness of our new customer strategy and our ability to leverage existing customers and partners.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As of and for the three months ended</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3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December 31, 2021</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7"/>
              </w:rPr>
              <w:t>September 30, 2021</w:t>
            </w:r>
          </w:p>
        </w:tc>
        <w:tc>
          <w:tcPr>
            <w:tcW w:w="130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June 30,</w:t>
            </w:r>
          </w:p>
        </w:tc>
        <w:tc>
          <w:tcPr>
            <w:tcW w:w="1360" w:type="dxa"/>
            <w:vAlign w:val="bottom"/>
          </w:tcPr>
          <w:p>
            <w:pPr>
              <w:jc w:val="right"/>
              <w:ind w:right="316"/>
              <w:spacing w:after="0" w:line="135" w:lineRule="exact"/>
              <w:rPr>
                <w:sz w:val="20"/>
                <w:szCs w:val="20"/>
                <w:color w:val="auto"/>
              </w:rPr>
            </w:pPr>
            <w:r>
              <w:rPr>
                <w:rFonts w:ascii="Arial" w:cs="Arial" w:eastAsia="Arial" w:hAnsi="Arial"/>
                <w:sz w:val="14"/>
                <w:szCs w:val="14"/>
                <w:b w:val="1"/>
                <w:bCs w:val="1"/>
                <w:color w:val="auto"/>
              </w:rPr>
              <w:t>March 31,</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Devices:</w:t>
            </w:r>
          </w:p>
        </w:tc>
        <w:tc>
          <w:tcPr>
            <w:tcW w:w="1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Arial" w:cs="Arial" w:eastAsia="Arial" w:hAnsi="Arial"/>
                <w:sz w:val="18"/>
                <w:szCs w:val="18"/>
                <w:color w:val="auto"/>
              </w:rPr>
              <w:t>Active Devices (thousands)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1,123</w:t>
            </w:r>
          </w:p>
        </w:tc>
        <w:tc>
          <w:tcPr>
            <w:tcW w:w="1580" w:type="dxa"/>
            <w:vAlign w:val="bottom"/>
          </w:tcPr>
          <w:p>
            <w:pPr>
              <w:jc w:val="right"/>
              <w:ind w:right="216"/>
              <w:spacing w:after="0"/>
              <w:rPr>
                <w:sz w:val="20"/>
                <w:szCs w:val="20"/>
                <w:color w:val="auto"/>
              </w:rPr>
            </w:pPr>
            <w:r>
              <w:rPr>
                <w:rFonts w:ascii="Arial" w:cs="Arial" w:eastAsia="Arial" w:hAnsi="Arial"/>
                <w:sz w:val="18"/>
                <w:szCs w:val="18"/>
                <w:color w:val="auto"/>
              </w:rPr>
              <w:t>1,115</w:t>
            </w:r>
          </w:p>
        </w:tc>
        <w:tc>
          <w:tcPr>
            <w:tcW w:w="120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3"/>
                <w:szCs w:val="23"/>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1,085</w:t>
            </w:r>
          </w:p>
        </w:tc>
        <w:tc>
          <w:tcPr>
            <w:tcW w:w="138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Customers:</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21,315</w:t>
            </w: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20,738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18,763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18,304</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Volumes:</w:t>
            </w:r>
          </w:p>
        </w:tc>
        <w:tc>
          <w:tcPr>
            <w:tcW w:w="1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Arial" w:cs="Arial" w:eastAsia="Arial" w:hAnsi="Arial"/>
                <w:sz w:val="18"/>
                <w:szCs w:val="18"/>
                <w:color w:val="auto"/>
              </w:rPr>
              <w:t>Total Number of Transactions (millions)</w:t>
            </w:r>
          </w:p>
        </w:tc>
        <w:tc>
          <w:tcPr>
            <w:tcW w:w="1380" w:type="dxa"/>
            <w:vAlign w:val="bottom"/>
          </w:tcPr>
          <w:p>
            <w:pPr>
              <w:jc w:val="right"/>
              <w:spacing w:after="0"/>
              <w:rPr>
                <w:sz w:val="20"/>
                <w:szCs w:val="20"/>
                <w:color w:val="auto"/>
              </w:rPr>
            </w:pPr>
            <w:r>
              <w:rPr>
                <w:rFonts w:ascii="Arial" w:cs="Arial" w:eastAsia="Arial" w:hAnsi="Arial"/>
                <w:sz w:val="18"/>
                <w:szCs w:val="18"/>
                <w:color w:val="auto"/>
              </w:rPr>
              <w:t>261.7</w:t>
            </w:r>
          </w:p>
        </w:tc>
        <w:tc>
          <w:tcPr>
            <w:tcW w:w="1580" w:type="dxa"/>
            <w:vAlign w:val="bottom"/>
          </w:tcPr>
          <w:p>
            <w:pPr>
              <w:jc w:val="right"/>
              <w:ind w:right="216"/>
              <w:spacing w:after="0"/>
              <w:rPr>
                <w:sz w:val="20"/>
                <w:szCs w:val="20"/>
                <w:color w:val="auto"/>
              </w:rPr>
            </w:pPr>
            <w:r>
              <w:rPr>
                <w:rFonts w:ascii="Arial" w:cs="Arial" w:eastAsia="Arial" w:hAnsi="Arial"/>
                <w:sz w:val="18"/>
                <w:szCs w:val="18"/>
                <w:color w:val="auto"/>
              </w:rPr>
              <w:t>257.9</w:t>
            </w:r>
          </w:p>
        </w:tc>
        <w:tc>
          <w:tcPr>
            <w:tcW w:w="120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3"/>
                <w:szCs w:val="23"/>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213.4</w:t>
            </w:r>
          </w:p>
        </w:tc>
        <w:tc>
          <w:tcPr>
            <w:tcW w:w="1380" w:type="dxa"/>
            <w:vAlign w:val="bottom"/>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Dollar Volume of Transactions (millions)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5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553.4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412.7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ended December 31, 2021 include:</w:t>
      </w:r>
    </w:p>
    <w:p>
      <w:pPr>
        <w:spacing w:after="0" w:line="23" w:lineRule="exact"/>
        <w:rPr>
          <w:sz w:val="20"/>
          <w:szCs w:val="20"/>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1.12 million Active Devices compared to the same quarter last year of 1.08 million, an increase of approximately 39 thousand Active Devices, or 4%;</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21,315 Active Customers on our service compared to the same quarter last year of 18,304, an increase of 3,011 Active Customers, or 16%; and</w:t>
      </w:r>
    </w:p>
    <w:p>
      <w:pPr>
        <w:spacing w:after="0" w:line="32" w:lineRule="exact"/>
        <w:rPr>
          <w:rFonts w:ascii="Arial" w:cs="Arial" w:eastAsia="Arial" w:hAnsi="Arial"/>
          <w:sz w:val="16"/>
          <w:szCs w:val="16"/>
          <w:color w:val="auto"/>
        </w:rPr>
      </w:pPr>
    </w:p>
    <w:p>
      <w:pPr>
        <w:jc w:val="both"/>
        <w:ind w:left="660" w:right="20" w:hanging="328"/>
        <w:spacing w:after="0" w:line="277" w:lineRule="auto"/>
        <w:tabs>
          <w:tab w:leader="none" w:pos="655"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Total Dollar Volumes for the quarter ended December 31, 2021 continue to remain strong and consistent with the quarter ended September 30, 2021 and 31% higher compared to the average processing volumes for the quarter ended December 31, 2020. See "Revenue and Gross Profit" in Management’s Discussion and Analysis of Financial Condition and Results of Operations above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657850" cy="6644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664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2021 Compared to Three Months Ended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41,188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33,214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5,071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51,091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38,285</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33.4 %</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20,617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10,182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5,367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89.7 %</w:t>
            </w: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35,101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25,984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35.1 %</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16,269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12,597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29.1 %</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30.0 %</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Total revenues increased by $12.8 million for the three months ended December 31, 2021 compared to the same period in 2020.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is attributed to a $8.0 million and $4.8 million increase in subscription and transaction fees and equipment sales, respectively.</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increase in subscription and transaction fees is primarily driven by increased processing volumes, with an approximately 31% increase in total dollar volumes for the current fiscal year quarter relative to the prior year quarter. We are currently exceeding pre-pandemic (COVID-19) levels of processing volumes. We continue to benefit from a broader macroeconomic recovery across the United States and as businesses, schools and other organizations across the country continue to maintain normal levels of operations. Increase in revenues is also attributed to continued focus of management to grow our Seed services to our customer base and a slight increase in the Active Devices count compared to the same period last year.</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equipment sales relates to more equipment shipments in the current quarter compared to the same period last year driven by customers focused on liquidity during fiscal year 2021 due to the pandemic, with many committing to 4G device upgrades but holding off delivery until closer to the discontinuation of 3G network support in 2022. We expect equipment revenue to continue increasing through the 3G network discontinuation date in North America through the end of the 2022 calendar year.</w:t>
      </w:r>
    </w:p>
    <w:p>
      <w:pPr>
        <w:spacing w:after="0" w:line="20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$9.1 million for the three months ended December 31, 2021 compared to the same period in 2020.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sales is attributed to a $4.3 million and $4.8 million increase in subscription and transaction costs and equipment costs respectively. The increase in cost of sales was primarily driven by an increase in transaction processing fees and equipment sales corresponding with an increase in processing volumes and equipment sales respectively.</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from 32.1% for the three months ended December 31, 2020 to 31.3%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decrease in gross margin was primarily as a result of a change in revenue mix of higher transaction fees during the current quarter offset slightly by an increase in the gross margin on equipment sales driven by the rollout of the ePort Engage devices which are priced more competitively relative to the equipment sales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Technology and product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52.8 %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Total operating expenses. </w:t>
      </w:r>
      <w:r>
        <w:rPr>
          <w:rFonts w:ascii="Arial" w:cs="Arial" w:eastAsia="Arial" w:hAnsi="Arial"/>
          <w:sz w:val="17"/>
          <w:szCs w:val="17"/>
          <w:color w:val="auto"/>
        </w:rPr>
        <w:t>Operating expenses increased by $1.4 million for the three months ended December 31, 2021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This change is attributed primarily to an increase of $2.0 million in technology and product development expenses and a $0.9 million decrease in general and administrative expenses. The change in total operating expenses reflects the Company's overall objectives to reduce general and administrative expenses and utilizing savings to invest in innovative technologies and products and increase marketing spend to penetrate new and existing customers with our products and services. See further details on individual categories below.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were consistent for the three months ended December 31, 2021 and December 31, 2020.</w:t>
      </w:r>
    </w:p>
    <w:p>
      <w:pPr>
        <w:spacing w:after="0" w:line="23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Technology and product development expenses increased approximately $2.0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as compared to the same period in 2020. The increase was driven primarily by the Company's objectives of investing in innovative technologies and to further strengthen our network environment and platform through utilizing a combination of company personnel and external consultants.</w:t>
      </w:r>
    </w:p>
    <w:p>
      <w:pPr>
        <w:spacing w:after="0" w:line="20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approximately $0.9 million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compared to the same period in 2020. The decrease in general and administrative expenses was primarily driven by a $0.6 million decrease in professional fees due to reduced reliance on external consultants who previously supported the Company’s accounting, financial reporting and legal functions.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consistent for the three months ended December 31, 2021 and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36.9 %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increased $0.2 million for the three months ended December 31, 2021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increase in interest income was driven by a larger finance receivables amount on our balance sheet as of December 31, 2021 compared to December 31, 2020. The decrease in interest expense is primarily attributable to an amendment to the 2021 JPMorgan Credit Facility in March 2021 which lowered the interest rate on our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2021 Compared to Six Months Ended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Profit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December 31,</w:t>
            </w:r>
          </w:p>
        </w:tc>
        <w:tc>
          <w:tcPr>
            <w:tcW w:w="12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7"/>
                <w:szCs w:val="17"/>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81,812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66,322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23.4 %</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96,871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75,162</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28.9 %</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39,953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30"/>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15,062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8,668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73.8 %</w:t>
            </w: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66,006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48,621</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30,868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26,369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17.1 %</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30,865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26,541</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16.3 %</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Subscription and transaction fees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Total revenues increased by $21.7 million for the six months ended December 31, 2021 compared to the same period in 2020.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is attributed to a $15.5 million and $6.2 million increase in subscription and transaction fees and equipment sales, respectively.</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increase in subscription and transaction fees is primarily driven by increased processing volumes, with an approximately 34% increase in total dollar volumes for the six months ended December 31, 2021 compared to the same period in 2020. We are currently exceeding pre-pandemic (COVID-19) levels of processing volumes. We continue to benefit from a broader macroeconomic recovery across the United States and as businesses, schools and other organizations across the country continue to maintain normal levels of operations. Increase in revenues is also attributed to continued focus of management to grow our Seed services to our customer base and an increase in the Active Devices count compared to the same period last year.</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equipment sales relates to more equipment shipments in the current quarter compared to same period last year driven by customers focused on liquidity during fiscal year 2021 due to the pandemic with many committing to 4G device upgrades but holding off on delivery until closer to the discontinuation of 3G network support in 2022. We expect equipment revenue to continue increasing through the 3G network discontinuation date in North America through the end of the 2022 calendar year.</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$17.4 million for the six months ended December 31, 2021 compared to the same period in 2020. The increase in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is attributed to a $11.0 million and $6.4 million increase in subscription and transaction costs and equipment costs respectively. The increase in cost of sales was primarily driven by an increase in transaction processing fees and equipment sales corresponding with an increase in processing volumes and equipment sales respectively.</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from 35.3% for the six months ended December 31, 2020 to 31.9%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decrease in gross margin was primarily as a result of a change in revenue mix of higher transaction fees during the current year and an out of period adjustment of $0.8 million recorded as a reduction of equipment costs in the prior period.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December 31,</w:t>
            </w: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Technology and product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59.6 %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Total operating expenses. </w:t>
      </w:r>
      <w:r>
        <w:rPr>
          <w:rFonts w:ascii="Arial" w:cs="Arial" w:eastAsia="Arial" w:hAnsi="Arial"/>
          <w:sz w:val="16"/>
          <w:szCs w:val="16"/>
          <w:color w:val="auto"/>
        </w:rPr>
        <w:t>Operating expenses as a whole remained consistent for the six months ended December 31, 2021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decrease of $0.4 million is attributed to a decrease of $5.6 million in general and administrative expenses, offset by a $4.2 million increase in technology and product development expenses and a $1.0 million increase in sales and marketing costs. The change in total operating expenses reflects the Company's overall objectives to reduce general and administrative expenses and utilizing savings to invest in innovative technologies and products and increase marketing spend to penetrate new and existing customers with our products and services. See further details on individual categories below.</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approximately $1.0 million for the six months ended December 31,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 and relates primarily to higher sales and marketing employee headcount in the current year to support our expanding business and service offerings in the United States and internationally.</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Technology and product development expenses increased approximately $4.2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as compared to the same period in 2020. The increase was driven primarily by the Company's objectives of investing in innovative technologies and to further strengthen our network environment and platform through utilizing a combination of company personnel and external consultants.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decreased approximately $5.6 million for the six months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compared to the same period in 2020. The decrease in general and administrative expenses was primarily driven by a $2.9 million decrease in professional fees due to reduced reliance on external consultants who previously supported the Company’s accounting, financial reporting and legal functions and a $1.8 million change relating to the network incident in the prior year, which is described below.</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During the six months ended December 31, 2020, the Company experienced a network incident on its transaction processing platform. The Company incurred $1.1 million of non-recurring costs relating to the outage that were included in general and administrative expenses in the prior period and were not included in the current quarter. The Company filed a claim with its insurance provider for the outage related expenses and recovered $0.7 million in the current year which was recorded as a reduction of general and administrative expenses for the current year.</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consistent for the six months ended December 31, 2021 and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December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increased $3.1 million for the six months ended December 31, 2021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higher interest expense for the six months ended December 31, 2020 was primarily related to the recognition of the remaining balance of unamortized debt issuance costs and debt discount associated with the senior secured term loan facility with Antara Capital Master Fund LP of $2.6 million into interest expense, when the Antara Term Facility was fully paid and terminated.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252" w:lineRule="exact"/>
        <w:rPr>
          <w:sz w:val="20"/>
          <w:szCs w:val="20"/>
          <w:color w:val="auto"/>
        </w:rPr>
      </w:pPr>
    </w:p>
    <w:p>
      <w:pPr>
        <w:jc w:val="both"/>
        <w:ind w:left="100"/>
        <w:spacing w:after="0" w:line="269" w:lineRule="auto"/>
        <w:rPr>
          <w:sz w:val="20"/>
          <w:szCs w:val="20"/>
          <w:color w:val="auto"/>
        </w:rPr>
      </w:pPr>
      <w:r>
        <w:rPr>
          <w:rFonts w:ascii="Arial" w:cs="Arial" w:eastAsia="Arial" w:hAnsi="Arial"/>
          <w:sz w:val="17"/>
          <w:szCs w:val="17"/>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12"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We define Adjusted EBITDA as U.S. GAAP net loss before (i) interest income, (ii) interest expense on debt and reserves, (iii) income tax expense, (iv) depreciation, (v) amortization, (vi) stock-based compensation expense, and (vii) certain other significant infrequent or unusual losses and gains that are not indicative of our core operations.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Below is a reconciliation of U.S. GAAP net loss to Adjusted EBITDA:</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29"/>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costs of sales for rentals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30"/>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bl>
    <w:p>
      <w:pPr>
        <w:spacing w:after="0" w:line="76" w:lineRule="exact"/>
        <w:rPr>
          <w:sz w:val="20"/>
          <w:szCs w:val="20"/>
          <w:color w:val="auto"/>
        </w:rPr>
      </w:pPr>
    </w:p>
    <w:p>
      <w:pPr>
        <w:ind w:left="720" w:hanging="288"/>
        <w:spacing w:after="0"/>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ind w:left="760" w:hanging="328"/>
        <w:spacing w:after="0" w:line="255" w:lineRule="auto"/>
        <w:tabs>
          <w:tab w:leader="none" w:pos="767"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an adjustment to EBITDA, we have excluded the non-cash impairment charges related to long-lived operating lease assets because we believe that these do not represent charges that are related to our core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Six months ended December 31,</w:t>
            </w:r>
          </w:p>
        </w:tc>
      </w:tr>
      <w:tr>
        <w:trPr>
          <w:trHeight w:val="188"/>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280" w:type="dxa"/>
            <w:vAlign w:val="bottom"/>
          </w:tcPr>
          <w:p>
            <w:pPr>
              <w:spacing w:after="0"/>
              <w:rPr>
                <w:sz w:val="20"/>
                <w:szCs w:val="20"/>
                <w:color w:val="auto"/>
              </w:rPr>
            </w:pPr>
            <w:r>
              <w:rPr>
                <w:rFonts w:ascii="Arial" w:cs="Arial" w:eastAsia="Arial" w:hAnsi="Arial"/>
                <w:sz w:val="18"/>
                <w:szCs w:val="18"/>
                <w:color w:val="auto"/>
                <w:w w:val="74"/>
              </w:rPr>
              <w:t>U.S.</w:t>
            </w:r>
          </w:p>
        </w:tc>
        <w:tc>
          <w:tcPr>
            <w:tcW w:w="60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GAAP net loss</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Less: interest income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Plus: interest expense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Plus: income tax provision</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Plus: depreciation expense included in costs of sales for rentals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Plus: depreciation and amortization expense in operating expenses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(3,046)</w:t>
            </w:r>
          </w:p>
        </w:tc>
      </w:tr>
      <w:tr>
        <w:trPr>
          <w:trHeight w:val="230"/>
        </w:trPr>
        <w:tc>
          <w:tcPr>
            <w:tcW w:w="63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3,149</w:t>
            </w:r>
          </w:p>
        </w:tc>
      </w:tr>
      <w:tr>
        <w:trPr>
          <w:trHeight w:val="230"/>
        </w:trPr>
        <w:tc>
          <w:tcPr>
            <w:tcW w:w="63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(b)</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Adjustments to EBITDA</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w:t>
            </w: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2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-1370965</wp:posOffset>
            </wp:positionV>
            <wp:extent cx="670369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3695" cy="14605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-1079500</wp:posOffset>
            </wp:positionV>
            <wp:extent cx="670369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3695" cy="14541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-788035</wp:posOffset>
            </wp:positionV>
            <wp:extent cx="670369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-488315</wp:posOffset>
            </wp:positionV>
            <wp:extent cx="670369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3695" cy="14605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-187960</wp:posOffset>
            </wp:positionV>
            <wp:extent cx="670369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3695" cy="17145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145415</wp:posOffset>
            </wp:positionV>
            <wp:extent cx="67036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85" w:lineRule="exact"/>
        <w:rPr>
          <w:sz w:val="20"/>
          <w:szCs w:val="20"/>
          <w:color w:val="auto"/>
        </w:rPr>
      </w:pPr>
    </w:p>
    <w:p>
      <w:pPr>
        <w:ind w:left="720" w:hanging="288"/>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ind w:left="760" w:right="220" w:hanging="328"/>
        <w:spacing w:after="0" w:line="255" w:lineRule="auto"/>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an adjustment to EBITDA, we have excluded the non-cash impairment charges related to long-lived operating lease assets because we believe that these do not represent charges that are related to our core operations.</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financed our operations primarily through cash from operating activities, debt financings, and equity issuances. The Company has the following primary sources of capital available: (1) cash and cash equivalents on hand of $76.3 million as of December 31, 2021; (2) the cash that may be provided by operating activities; and (3) up to $5 million available to be drawn on the 2021 JPMorgan Revolving Facility.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$17.6 million in the aggregate as of December 31, 2021. The Company continues to evaluate these liabilities and the amount and timing of any such payments.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are charts that reflect our cash liquidity and outstanding debt as of December 31, 2021 and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168910</wp:posOffset>
            </wp:positionV>
            <wp:extent cx="3429000" cy="3429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-19050</wp:posOffset>
            </wp:positionV>
            <wp:extent cx="2785745" cy="2117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six months ended December 31, 2021, net cash used by operating activities was $4.2 million which reflects our net loss of $1.8 million, $10.1 million of cash utilized by working capital accounts, partially offset by non-cash operating charges of $7.6 million. The change in working capital accounts is primarily driven by cash used of $7 million to increase our inventory on hand, reduction of accounts payable and accrued expenses of approximately $4.6 million offset by cash provided by a reduction of accounts receivable of $1.4 million in the period. The increase in inventory is a result of the Company planning ahead for customers who are continuing to upgrade 3G devices to 4G as the 3G network sunset date approaches in 2022 and purchases for our new ePort Engage devices. Cash used in accrued expenses of $4.6 million is primarily attributable to the reduction of trade accounts payable. Cash used in working capital is offset by the decrease in accounts receivable of $1.4 million as payments for the increased equipment sales generated during the quarter ended June 30, 2021 were received. Non-cash operating charges primarily consisted of stock-based compensation, depreciation of property and equipment, amortization of our intangible assets, and provisions for expected losses.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December 31, 2020, net cash used by operating activities was $0.7 million which reflects our net loss of $9.5 million, $3.1 million of cash utilized by working capital accounts, partially offset by non-cash operating charges of $12.0 million. Non-cash operating charges primarily consisted of the recognition of $2.7 million in unamortized issuance costs and debt discount related to the repayment of the 2020 Antara Term Facility, $3.1 million in stock-based compensation, and depreciation and amortization expenses of $3.2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$7.3 million for the six months ended December 31, 2021. Increase in cash used is due to the cash paid for the Yoke acquisition of $2.9 million and $4.4 million for increased property and equipment balances driven primarily by the Company's continued focus on investing in innovative technologies and products.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$1.0 million for the six months ended December 31, 2020 which was primarily used to increase property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$0.3 million for the six months ended December 31, 2021 which was primarily due to $0.4 million in repayments on outstanding debt mostly attributable to the 2021 JPMorgan Credit Facility.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was $1.9 million for the six months ended December 31, 2020. During the period, the Company refinanced its debt agreements and paid $1.2 million as a prepayment penalty and commitment termination fee to Antara as part of the repayment of the 2020 Antara Term Facility and paid $0.5 million of debt issuance costs as a result of entering into the 2021 JPMorgan Credit Facility.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December 31, 2021, there were no significant changes to our contractual obligations from those disclosed in the section “Management’s Discussion and Analysis of Financial Condition and Results of Operations” in our Annual Report on Form 10-K for the fiscal year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December 31, 2021, there were no significant changes to our critical accounting policies from those disclosed in the section “Management’s Discussion and Analysis of Financial Condition and Results of Operations” in our Annual Report on Form 10-K for the fiscal year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to the condensed consolidated financial statements for a description of recent accounting pronouncements.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quantitative and qualitative disclosures about market risk, see Item 7A, "Quantitative and Qualitative Disclosures About Market Risk," of our Annual Report on Form 10-K for the fiscal year ended June 30, 2021. Our exposures to market risk have not changed materially since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are effective as of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fiscal quarter ended December 31, 2021 that have materially affected, or are reasonably likely to materially affect, our internal controls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Notes to condensed consolidated financial statements, </w:t>
      </w:r>
      <w:r>
        <w:rPr>
          <w:rFonts w:ascii="Arial" w:cs="Arial" w:eastAsia="Arial" w:hAnsi="Arial"/>
          <w:sz w:val="18"/>
          <w:szCs w:val="18"/>
          <w:i w:val="1"/>
          <w:iCs w:val="1"/>
          <w:color w:val="auto"/>
        </w:rPr>
        <w:t>Note 13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 discussion of the Company’s risk factors, see the information under the heading “Risk Factors” in the Company’s Annual Report on Form 10-K for the fiscal year ended June 30, 2021 and its Quarterly Report on Form 10-Q for the quarter ended September 30,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defaults on any senior securities. The total liquidation preference including accrued and unpaid dividends on our Series A Convertible Preferred Stock as of December 31, 2021 was $21.8 million. The dividend accrual dates for our Preferred Stock are February 1 and August 1. The annual cumulative dividend on our Preferred Stock is $1.50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Amended and Restated Articles of Incorporation.</w:t>
              </w:r>
            </w:hyperlink>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8660" w:type="dxa"/>
            <w:vAlign w:val="bottom"/>
            <w:tcBorders>
              <w:bottom w:val="single" w:sz="8" w:color="0000FF"/>
            </w:tcBorders>
            <w:gridSpan w:val="5"/>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Second Amended and Restated Bylaws (incorporated by reference to Exhibit 3.1 to Form 8-K filed on August 10, 2021)</w:t>
              </w:r>
            </w:hyperlink>
          </w:p>
        </w:tc>
        <w:tc>
          <w:tcPr>
            <w:tcW w:w="1220" w:type="dxa"/>
            <w:vAlign w:val="bottom"/>
            <w:gridSpan w:val="3"/>
          </w:tcPr>
          <w:p>
            <w:pPr>
              <w:spacing w:after="0"/>
              <w:rPr>
                <w:sz w:val="24"/>
                <w:szCs w:val="24"/>
                <w:color w:val="auto"/>
              </w:rPr>
            </w:pPr>
          </w:p>
        </w:tc>
      </w:tr>
      <w:tr>
        <w:trPr>
          <w:trHeight w:val="493"/>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Certifications of Chief Executive Officer pursuant to Rule 13a-14(a) under the Securities Exchange Act of 1934</w:t>
              </w:r>
            </w:hyperlink>
            <w:r>
              <w:rPr>
                <w:rFonts w:ascii="Arial" w:cs="Arial" w:eastAsia="Arial" w:hAnsi="Arial"/>
                <w:sz w:val="18"/>
                <w:szCs w:val="18"/>
                <w:color w:val="000000"/>
              </w:rPr>
              <w:t>.</w:t>
            </w: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Certifications of Chief Financial Officer pursuant to Rule 13a-14(a) under the Securities Exchange Act of 1934.</w:t>
              </w:r>
            </w:hyperlink>
          </w:p>
        </w:tc>
        <w:tc>
          <w:tcPr>
            <w:tcW w:w="20" w:type="dxa"/>
            <w:vAlign w:val="bottom"/>
            <w:tcBorders>
              <w:top w:val="single" w:sz="8" w:color="0000FF"/>
            </w:tcBorders>
          </w:tcPr>
          <w:p>
            <w:pPr>
              <w:spacing w:after="0"/>
              <w:rPr>
                <w:sz w:val="24"/>
                <w:szCs w:val="24"/>
                <w:color w:val="auto"/>
              </w:rPr>
            </w:pPr>
          </w:p>
        </w:tc>
        <w:tc>
          <w:tcPr>
            <w:tcW w:w="1800" w:type="dxa"/>
            <w:vAlign w:val="bottom"/>
            <w:gridSpan w:val="4"/>
          </w:tcPr>
          <w:p>
            <w:pPr>
              <w:spacing w:after="0"/>
              <w:rPr>
                <w:sz w:val="24"/>
                <w:szCs w:val="24"/>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8"/>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Certification of the Chief Executive Officer pursuant to 18 USC Section 1350, as adopted pursuant to Section 906 of the Sarbanes-Oxley</w:t>
              </w:r>
            </w:hyperlink>
          </w:p>
        </w:tc>
      </w:tr>
      <w:tr>
        <w:trPr>
          <w:trHeight w:val="156"/>
        </w:trPr>
        <w:tc>
          <w:tcPr>
            <w:tcW w:w="122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Act of 2002.</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gridSpan w:val="8"/>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the Chief Financial Officer pursuant to 18 USC Section 1350, as adopted pursuant to Section 906 of the Sarbanes-Oxley</w:t>
              </w:r>
            </w:hyperlink>
          </w:p>
        </w:tc>
      </w:tr>
      <w:tr>
        <w:trPr>
          <w:trHeight w:val="155"/>
        </w:trPr>
        <w:tc>
          <w:tcPr>
            <w:tcW w:w="122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Act of 2002.</w:t>
              </w:r>
            </w:hyperlink>
          </w:p>
        </w:tc>
        <w:tc>
          <w:tcPr>
            <w:tcW w:w="8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1240" w:hanging="1214"/>
        <w:spacing w:after="0" w:line="241"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December 31, 2021, filed with the SEC on February 4, 2022, is formatted in Inline Extensible Business Reporting Language (“iXBRL”): (1) the Condensed Consolidated Balance Sheets as of December 31, 2021 and June 30, 2021, (2) the Condensed Consolidated Statements of Operations for the three-month and six-month periods ended December 31, 2021 and 2020, (3) the Condensed Consolidated Statements of Shareholders’ Equity for the three-month and six-month periods ended December 31, 2021 and 2020, (4) the Condensed Consolidated Statements of Cash Flows for the six-month periods ended December 30, 2021 and 2020, and (5) the Notes to Consolidated Financial Statements.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40" w:right="320" w:hanging="1214"/>
        <w:spacing w:after="0" w:line="235"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December 31, 2021, filed with the SEC on February 4, 2022, is formatted as Inline iXBRL and contained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Cantaloupe,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February 4,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February 4,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ind w:left="4600"/>
        <w:spacing w:after="0"/>
        <w:rPr>
          <w:sz w:val="20"/>
          <w:szCs w:val="20"/>
          <w:color w:val="auto"/>
        </w:rPr>
      </w:pPr>
      <w:r>
        <w:rPr>
          <w:rFonts w:ascii="Arial" w:cs="Arial" w:eastAsia="Arial" w:hAnsi="Arial"/>
          <w:sz w:val="22"/>
          <w:szCs w:val="22"/>
          <w:b w:val="1"/>
          <w:bCs w:val="1"/>
          <w:color w:val="auto"/>
        </w:rPr>
        <w:t>CANTALOUPE, INC.</w:t>
      </w:r>
    </w:p>
    <w:p>
      <w:pPr>
        <w:spacing w:after="0" w:line="12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AMENDED AND RESTATED</w:t>
      </w:r>
    </w:p>
    <w:p>
      <w:pPr>
        <w:jc w:val="center"/>
        <w:spacing w:after="0" w:line="204" w:lineRule="auto"/>
        <w:rPr>
          <w:sz w:val="20"/>
          <w:szCs w:val="20"/>
          <w:color w:val="auto"/>
        </w:rPr>
      </w:pPr>
      <w:r>
        <w:rPr>
          <w:rFonts w:ascii="Arial" w:cs="Arial" w:eastAsia="Arial" w:hAnsi="Arial"/>
          <w:sz w:val="22"/>
          <w:szCs w:val="22"/>
          <w:b w:val="1"/>
          <w:bCs w:val="1"/>
          <w:color w:val="auto"/>
        </w:rPr>
        <w:t>ARTICLES OF INCORPORATION,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THROUGH APRIL 15, 2021</w:t>
      </w:r>
    </w:p>
    <w:p>
      <w:pPr>
        <w:spacing w:after="0" w:line="134"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name of the corporation is CANTALOUPE, INC.</w:t>
      </w:r>
    </w:p>
    <w:p>
      <w:pPr>
        <w:spacing w:after="0" w:line="138" w:lineRule="exact"/>
        <w:rPr>
          <w:rFonts w:ascii="Arial" w:cs="Arial" w:eastAsia="Arial" w:hAnsi="Arial"/>
          <w:sz w:val="22"/>
          <w:szCs w:val="22"/>
          <w:color w:val="auto"/>
        </w:rPr>
      </w:pPr>
    </w:p>
    <w:p>
      <w:pPr>
        <w:ind w:right="20" w:firstLine="8"/>
        <w:spacing w:after="0" w:line="232" w:lineRule="auto"/>
        <w:tabs>
          <w:tab w:leader="none" w:pos="92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address of the corporation’s current registered office in the Commonwealth is 100 Deerfield Lane, Suite 140, Malvern, PA 19355, Montgomery County.</w:t>
      </w:r>
    </w:p>
    <w:p>
      <w:pPr>
        <w:spacing w:after="0" w:line="118" w:lineRule="exact"/>
        <w:rPr>
          <w:rFonts w:ascii="Arial" w:cs="Arial" w:eastAsia="Arial" w:hAnsi="Arial"/>
          <w:sz w:val="22"/>
          <w:szCs w:val="22"/>
          <w:color w:val="auto"/>
        </w:rPr>
      </w:pPr>
    </w:p>
    <w:p>
      <w:pPr>
        <w:ind w:left="620" w:hanging="612"/>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corporation is incorporated under the Business Corporation Law of 1988.</w:t>
      </w:r>
    </w:p>
    <w:p>
      <w:pPr>
        <w:spacing w:after="0" w:line="152" w:lineRule="exact"/>
        <w:rPr>
          <w:rFonts w:ascii="Arial" w:cs="Arial" w:eastAsia="Arial" w:hAnsi="Arial"/>
          <w:sz w:val="22"/>
          <w:szCs w:val="22"/>
          <w:color w:val="auto"/>
        </w:rPr>
      </w:pPr>
    </w:p>
    <w:p>
      <w:pPr>
        <w:ind w:left="620" w:hanging="612"/>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Capital Stock</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jc w:val="both"/>
        <w:ind w:firstLine="656"/>
        <w:spacing w:after="0" w:line="223" w:lineRule="auto"/>
        <w:tabs>
          <w:tab w:leader="none" w:pos="1708"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Classes of Stock</w:t>
      </w:r>
      <w:r>
        <w:rPr>
          <w:rFonts w:ascii="Arial" w:cs="Arial" w:eastAsia="Arial" w:hAnsi="Arial"/>
          <w:sz w:val="22"/>
          <w:szCs w:val="22"/>
          <w:color w:val="auto"/>
          <w:highlight w:val="white"/>
        </w:rPr>
        <w:t>. The aggregate number of shares which the corporation shall have authority to issue is</w:t>
      </w:r>
      <w:r>
        <w:rPr>
          <w:rFonts w:ascii="Arial" w:cs="Arial" w:eastAsia="Arial" w:hAnsi="Arial"/>
          <w:sz w:val="22"/>
          <w:szCs w:val="22"/>
          <w:color w:val="auto"/>
        </w:rPr>
        <w:t xml:space="preserve"> </w:t>
      </w:r>
      <w:r>
        <w:rPr>
          <w:rFonts w:ascii="Arial" w:cs="Arial" w:eastAsia="Arial" w:hAnsi="Arial"/>
          <w:sz w:val="22"/>
          <w:szCs w:val="22"/>
          <w:color w:val="auto"/>
          <w:highlight w:val="white"/>
        </w:rPr>
        <w:t>641,800,000 shares, consisting of 640,000,000 shares of Common Stock, without par value, and 1,800,000 shares of Series Preferred Stock, without par value.</w:t>
      </w:r>
    </w:p>
    <w:p>
      <w:pPr>
        <w:spacing w:after="0" w:line="118" w:lineRule="exact"/>
        <w:rPr>
          <w:rFonts w:ascii="Arial" w:cs="Arial" w:eastAsia="Arial" w:hAnsi="Arial"/>
          <w:sz w:val="22"/>
          <w:szCs w:val="22"/>
          <w:color w:val="auto"/>
        </w:rPr>
      </w:pPr>
    </w:p>
    <w:p>
      <w:pPr>
        <w:jc w:val="both"/>
        <w:ind w:firstLine="656"/>
        <w:spacing w:after="0" w:line="219" w:lineRule="auto"/>
        <w:tabs>
          <w:tab w:leader="none" w:pos="1494"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Rights, Preferences and Restrictions of Series Preferred Stock</w:t>
      </w:r>
      <w:r>
        <w:rPr>
          <w:rFonts w:ascii="Arial" w:cs="Arial" w:eastAsia="Arial" w:hAnsi="Arial"/>
          <w:sz w:val="21"/>
          <w:szCs w:val="21"/>
          <w:color w:val="auto"/>
        </w:rPr>
        <w:t>. The Series Preferred Stock authorized by these Articles may be issued from time to time in one or more series. The Board of Directors of the corporation shall have the full authority permitted by law to establish one or more series and the number of shares constituting each such series and to fix by resolution full, limited, multiple or fractional, or no voting rights, and such designations, preferences, qualifications, privileges, limitations, restrictions, options, conversion rights and other special or relative rights of any series of the Series Preferred Stock that may be desired. Excluding the Series A Preferred Stock referred to hereinafter and subject to the limitation on the total number of shares of Series Preferred Stock which the corporation has authority to issue hereunder, the Board of Directors is also authorized to increase or decrease the number of shares of any series, subsequent to the issue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41" w:lineRule="exact"/>
        <w:rPr>
          <w:rFonts w:ascii="Arial" w:cs="Arial" w:eastAsia="Arial" w:hAnsi="Arial"/>
          <w:sz w:val="21"/>
          <w:szCs w:val="21"/>
          <w:color w:val="auto"/>
        </w:rPr>
      </w:pPr>
    </w:p>
    <w:p>
      <w:pPr>
        <w:jc w:val="both"/>
        <w:ind w:firstLine="656"/>
        <w:spacing w:after="0" w:line="218" w:lineRule="auto"/>
        <w:tabs>
          <w:tab w:leader="none" w:pos="1413"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Designation of Series A Convertible Preferred Stock</w:t>
      </w:r>
      <w:r>
        <w:rPr>
          <w:rFonts w:ascii="Arial" w:cs="Arial" w:eastAsia="Arial" w:hAnsi="Arial"/>
          <w:sz w:val="22"/>
          <w:szCs w:val="22"/>
          <w:color w:val="auto"/>
          <w:highlight w:val="white"/>
        </w:rPr>
        <w:t>. There is hereby established a series of the Series Preferred</w:t>
      </w:r>
      <w:r>
        <w:rPr>
          <w:rFonts w:ascii="Arial" w:cs="Arial" w:eastAsia="Arial" w:hAnsi="Arial"/>
          <w:sz w:val="22"/>
          <w:szCs w:val="22"/>
          <w:color w:val="auto"/>
        </w:rPr>
        <w:t xml:space="preserve"> </w:t>
      </w:r>
      <w:r>
        <w:rPr>
          <w:rFonts w:ascii="Arial" w:cs="Arial" w:eastAsia="Arial" w:hAnsi="Arial"/>
          <w:sz w:val="22"/>
          <w:szCs w:val="22"/>
          <w:color w:val="auto"/>
          <w:highlight w:val="white"/>
        </w:rPr>
        <w:t>Stock designated “Series A Convertible Preferred Stock” (herein referred to as “</w:t>
      </w:r>
      <w:r>
        <w:rPr>
          <w:rFonts w:ascii="Arial" w:cs="Arial" w:eastAsia="Arial" w:hAnsi="Arial"/>
          <w:sz w:val="22"/>
          <w:szCs w:val="22"/>
          <w:u w:val="single" w:color="auto"/>
          <w:color w:val="auto"/>
          <w:highlight w:val="white"/>
        </w:rPr>
        <w:t>Series A Preferred Stock</w:t>
      </w:r>
      <w:r>
        <w:rPr>
          <w:rFonts w:ascii="Arial" w:cs="Arial" w:eastAsia="Arial" w:hAnsi="Arial"/>
          <w:sz w:val="22"/>
          <w:szCs w:val="22"/>
          <w:color w:val="auto"/>
          <w:highlight w:val="white"/>
        </w:rPr>
        <w:t>”), consisting of 900,000 shares, having the relative rights, designations, preferences, qualifications, privileges, limitations, and restrictions applicable thereto as follows:</w:t>
      </w:r>
    </w:p>
    <w:p>
      <w:pPr>
        <w:spacing w:after="0" w:line="120" w:lineRule="exact"/>
        <w:rPr>
          <w:rFonts w:ascii="Arial" w:cs="Arial" w:eastAsia="Arial" w:hAnsi="Arial"/>
          <w:sz w:val="22"/>
          <w:szCs w:val="22"/>
          <w:color w:val="auto"/>
        </w:rPr>
      </w:pPr>
    </w:p>
    <w:p>
      <w:pPr>
        <w:ind w:left="1920" w:hanging="616"/>
        <w:spacing w:after="0"/>
        <w:tabs>
          <w:tab w:leader="none" w:pos="1920" w:val="left"/>
        </w:tabs>
        <w:numPr>
          <w:ilvl w:val="2"/>
          <w:numId w:val="18"/>
        </w:numPr>
        <w:rPr>
          <w:rFonts w:ascii="Arial" w:cs="Arial" w:eastAsia="Arial" w:hAnsi="Arial"/>
          <w:sz w:val="22"/>
          <w:szCs w:val="22"/>
          <w:color w:val="auto"/>
        </w:rPr>
      </w:pPr>
      <w:r>
        <w:rPr>
          <w:rFonts w:ascii="Arial" w:cs="Arial" w:eastAsia="Arial" w:hAnsi="Arial"/>
          <w:sz w:val="22"/>
          <w:szCs w:val="22"/>
          <w:u w:val="single" w:color="auto"/>
          <w:color w:val="auto"/>
        </w:rPr>
        <w:t>Dividend Provisions</w:t>
      </w:r>
      <w:r>
        <w:rPr>
          <w:rFonts w:ascii="Arial" w:cs="Arial" w:eastAsia="Arial" w:hAnsi="Arial"/>
          <w:sz w:val="22"/>
          <w:szCs w:val="22"/>
          <w:color w:val="auto"/>
          <w:highlight w:val="white"/>
        </w:rPr>
        <w:t>.</w:t>
      </w:r>
    </w:p>
    <w:p>
      <w:pPr>
        <w:spacing w:after="0" w:line="138" w:lineRule="exact"/>
        <w:rPr>
          <w:rFonts w:ascii="Arial" w:cs="Arial" w:eastAsia="Arial" w:hAnsi="Arial"/>
          <w:sz w:val="22"/>
          <w:szCs w:val="22"/>
          <w:color w:val="auto"/>
        </w:rPr>
      </w:pPr>
    </w:p>
    <w:p>
      <w:pPr>
        <w:jc w:val="both"/>
        <w:ind w:firstLine="1952"/>
        <w:spacing w:after="0" w:line="214" w:lineRule="auto"/>
        <w:tabs>
          <w:tab w:leader="none" w:pos="2674" w:val="left"/>
        </w:tabs>
        <w:numPr>
          <w:ilvl w:val="3"/>
          <w:numId w:val="18"/>
        </w:numPr>
        <w:rPr>
          <w:rFonts w:ascii="Arial" w:cs="Arial" w:eastAsia="Arial" w:hAnsi="Arial"/>
          <w:sz w:val="22"/>
          <w:szCs w:val="22"/>
          <w:color w:val="auto"/>
        </w:rPr>
      </w:pPr>
      <w:r>
        <w:rPr>
          <w:rFonts w:ascii="Arial" w:cs="Arial" w:eastAsia="Arial" w:hAnsi="Arial"/>
          <w:sz w:val="22"/>
          <w:szCs w:val="22"/>
          <w:color w:val="auto"/>
        </w:rPr>
        <w:t>The holders of shares of Series A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rate of $1.50 per share per annum, payable when, as and if declared by the Board of Directors. Such dividends shall be cumulative, but accumulations of dividends shall not bear interest.</w:t>
      </w:r>
    </w:p>
    <w:p>
      <w:pPr>
        <w:spacing w:after="0" w:line="131" w:lineRule="exact"/>
        <w:rPr>
          <w:rFonts w:ascii="Arial" w:cs="Arial" w:eastAsia="Arial" w:hAnsi="Arial"/>
          <w:sz w:val="22"/>
          <w:szCs w:val="22"/>
          <w:color w:val="auto"/>
        </w:rPr>
      </w:pPr>
    </w:p>
    <w:p>
      <w:pPr>
        <w:jc w:val="both"/>
        <w:ind w:firstLine="1952"/>
        <w:spacing w:after="0" w:line="218" w:lineRule="auto"/>
        <w:tabs>
          <w:tab w:leader="none" w:pos="2659" w:val="left"/>
        </w:tabs>
        <w:numPr>
          <w:ilvl w:val="3"/>
          <w:numId w:val="18"/>
        </w:numPr>
        <w:rPr>
          <w:rFonts w:ascii="Arial" w:cs="Arial" w:eastAsia="Arial" w:hAnsi="Arial"/>
          <w:sz w:val="22"/>
          <w:szCs w:val="22"/>
          <w:color w:val="auto"/>
        </w:rPr>
      </w:pPr>
      <w:r>
        <w:rPr>
          <w:rFonts w:ascii="Arial" w:cs="Arial" w:eastAsia="Arial" w:hAnsi="Arial"/>
          <w:sz w:val="22"/>
          <w:szCs w:val="22"/>
          <w:color w:val="auto"/>
        </w:rPr>
        <w:t>No deposit, payment, or distribution of any kind shall be made in or to any purchase or redemption requirement applicable to any class or series of junior shares unless all accumulations of dividends earned on the Series A Preferred Stock as of the last day of the most recently ended year shall have been paid. So long as any Series A Preferred Stock shall</w:t>
      </w:r>
    </w:p>
    <w:p>
      <w:pPr>
        <w:sectPr>
          <w:pgSz w:w="11900" w:h="16838" w:orient="portrait"/>
          <w:cols w:equalWidth="0" w:num="1">
            <w:col w:w="11240"/>
          </w:cols>
          <w:pgMar w:left="320" w:top="1395" w:right="339" w:bottom="1440" w:gutter="0" w:footer="0" w:header="0"/>
        </w:sectPr>
      </w:pPr>
    </w:p>
    <w:bookmarkStart w:id="40" w:name="page41"/>
    <w:bookmarkEnd w:id="40"/>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remain outstanding, no dividend (payable other than in Common Stock or other securities and rights convertible into or entitling the holder thereof to receive directly or indirectly, additional shares of Common Stock of this corporation) or other distribution (except in junior shares) shall be paid or made on the Common Stock of the corporation or on other junior shares of the corporation and no share of Common Stock or other junior shares shall be purchased or otherwise acquired by the corporation or any subsidiary of the corporation other than upon exercise of the corporation’s rights under any restricted stock purchase agreement or by exchange therefor of junior shares or out of the proceeds of the substantially concurrent sale of junior shares, unless (whether or not there shall be funds legally available therefor) all accumulations of dividends earned on the Series A Preferred Stock as of the last day of the most recently ended year shall have been paid. The term “junior shares” shall mean any class or series of stock junior to the Series A Preferred Stock as to dividends and the distribution of assets upon liquidation, dissolution, bankruptcy, reorganization or other insolvency proceeding, and upon the winding up of the corporation.</w:t>
      </w:r>
    </w:p>
    <w:p>
      <w:pPr>
        <w:spacing w:after="0" w:line="1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Subject to the above limitations, dividends may be paid on the Common Stock or any other junior shares out of any funds legally available for such purpose when and as declared by the Board of Directors.</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Notwithstanding anything set forth to the contrary in this subsection (b), the corporation shall have the right to purchase, redeem, or otherwise acquire shares of Common Stock of the corporation from time to time regardless of whether or not all accumulations of dividends earned on the Series A Preferred Stock as of the last day of the most recently ended year shall have been paid.</w:t>
      </w:r>
    </w:p>
    <w:p>
      <w:pPr>
        <w:spacing w:after="0" w:line="120" w:lineRule="exact"/>
        <w:rPr>
          <w:sz w:val="20"/>
          <w:szCs w:val="20"/>
          <w:color w:val="auto"/>
        </w:rPr>
      </w:pPr>
    </w:p>
    <w:p>
      <w:pPr>
        <w:ind w:left="1920" w:hanging="616"/>
        <w:spacing w:after="0"/>
        <w:tabs>
          <w:tab w:leader="none" w:pos="19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Liquidation Preference</w:t>
      </w:r>
      <w:r>
        <w:rPr>
          <w:rFonts w:ascii="Arial" w:cs="Arial" w:eastAsia="Arial" w:hAnsi="Arial"/>
          <w:sz w:val="22"/>
          <w:szCs w:val="22"/>
          <w:color w:val="auto"/>
          <w:highlight w:val="white"/>
        </w:rPr>
        <w:t>.</w:t>
      </w:r>
    </w:p>
    <w:p>
      <w:pPr>
        <w:spacing w:after="0" w:line="138" w:lineRule="exact"/>
        <w:rPr>
          <w:rFonts w:ascii="Arial" w:cs="Arial" w:eastAsia="Arial" w:hAnsi="Arial"/>
          <w:sz w:val="22"/>
          <w:szCs w:val="22"/>
          <w:color w:val="auto"/>
        </w:rPr>
      </w:pPr>
    </w:p>
    <w:p>
      <w:pPr>
        <w:jc w:val="both"/>
        <w:ind w:firstLine="1952"/>
        <w:spacing w:after="0" w:line="221" w:lineRule="auto"/>
        <w:tabs>
          <w:tab w:leader="none" w:pos="2768" w:val="left"/>
        </w:tabs>
        <w:numPr>
          <w:ilvl w:val="1"/>
          <w:numId w:val="19"/>
        </w:numPr>
        <w:rPr>
          <w:rFonts w:ascii="Arial" w:cs="Arial" w:eastAsia="Arial" w:hAnsi="Arial"/>
          <w:sz w:val="21"/>
          <w:szCs w:val="21"/>
          <w:color w:val="auto"/>
        </w:rPr>
      </w:pPr>
      <w:r>
        <w:rPr>
          <w:rFonts w:ascii="Arial" w:cs="Arial" w:eastAsia="Arial" w:hAnsi="Arial"/>
          <w:sz w:val="21"/>
          <w:szCs w:val="21"/>
          <w:color w:val="auto"/>
        </w:rPr>
        <w:t>In the event of any liquidation, dissolution or winding up of the corporation, either voluntary or involuntary, the holders of Series A Preferred Stock shall be entitled to receive, prior and in preference to any distribution of any of the assets of this corporation to the holders of Common Stock by reason of their ownership thereof, an amount per share equal to the sum of (i) $10.00 for each outstanding share of Series A Preferred Stock and (ii) all accumulations of unpaid dividends on each, share of Series A Preferred Stock (such amount being referred to herein as the “</w:t>
      </w:r>
      <w:r>
        <w:rPr>
          <w:rFonts w:ascii="Arial" w:cs="Arial" w:eastAsia="Arial" w:hAnsi="Arial"/>
          <w:sz w:val="21"/>
          <w:szCs w:val="21"/>
          <w:u w:val="single" w:color="auto"/>
          <w:color w:val="auto"/>
        </w:rPr>
        <w:t>Premium</w:t>
      </w:r>
      <w:r>
        <w:rPr>
          <w:rFonts w:ascii="Arial" w:cs="Arial" w:eastAsia="Arial" w:hAnsi="Arial"/>
          <w:sz w:val="21"/>
          <w:szCs w:val="21"/>
          <w:color w:val="auto"/>
        </w:rPr>
        <w:t>”). If upon the occurrence of such event, the assets and funds thus distributed among the holders of the Series A Preferred Stock shall be insufficient to permit the payment to such holders of the full aforesaid preferential amounts, then the entire assets and funds of the corporation legally available for distribution shall be distributed ratably among the holders of the Series A Preferred Stock in proportion to the amount of such stock owned by each such holder.</w:t>
      </w:r>
    </w:p>
    <w:p>
      <w:pPr>
        <w:spacing w:after="0" w:line="131" w:lineRule="exact"/>
        <w:rPr>
          <w:rFonts w:ascii="Arial" w:cs="Arial" w:eastAsia="Arial" w:hAnsi="Arial"/>
          <w:sz w:val="21"/>
          <w:szCs w:val="21"/>
          <w:color w:val="auto"/>
        </w:rPr>
      </w:pPr>
    </w:p>
    <w:p>
      <w:pPr>
        <w:jc w:val="both"/>
        <w:ind w:firstLine="1952"/>
        <w:spacing w:after="0" w:line="218" w:lineRule="auto"/>
        <w:tabs>
          <w:tab w:leader="none" w:pos="27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After the distribution described in subsection (a) has been paid, and subject to any distributions to be made to any holders of junior shares, the remaining assets of the corporation available for distribution to shareholders shall be distributed among the holders of Common Stock pro rata based on the number of shares of Common Stock held by each such holder.</w:t>
      </w:r>
    </w:p>
    <w:p>
      <w:pPr>
        <w:spacing w:after="0" w:line="120" w:lineRule="exact"/>
        <w:rPr>
          <w:rFonts w:ascii="Arial" w:cs="Arial" w:eastAsia="Arial" w:hAnsi="Arial"/>
          <w:sz w:val="22"/>
          <w:szCs w:val="22"/>
          <w:color w:val="auto"/>
        </w:rPr>
      </w:pPr>
    </w:p>
    <w:p>
      <w:pPr>
        <w:jc w:val="both"/>
        <w:ind w:firstLine="1952"/>
        <w:spacing w:after="0" w:line="252" w:lineRule="auto"/>
        <w:tabs>
          <w:tab w:leader="none" w:pos="2647"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consolidation or merger of this corporation with or into any other corporation or corporations, or a sale, conveyance or disposition of all or substantially all of the assets of this corporation or the effectuation by the corporation of a transaction or series of related transactions in which more than 50% of the voting power of the corporation is disposed of, shall be deemed to be a liquidation, dissolution or winding up within the meaning of this Section 2, if the holders of at least 60% of the outstanding Series A Preferred Stock elect to have such transaction treated as a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 w:lineRule="exact"/>
        <w:rPr>
          <w:sz w:val="20"/>
          <w:szCs w:val="20"/>
          <w:color w:val="auto"/>
        </w:rPr>
      </w:pPr>
    </w:p>
    <w:p>
      <w:pPr>
        <w:ind w:left="1920" w:hanging="616"/>
        <w:spacing w:after="0"/>
        <w:tabs>
          <w:tab w:leader="none" w:pos="192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Conversion</w:t>
      </w:r>
      <w:r>
        <w:rPr>
          <w:rFonts w:ascii="Arial" w:cs="Arial" w:eastAsia="Arial" w:hAnsi="Arial"/>
          <w:sz w:val="21"/>
          <w:szCs w:val="21"/>
          <w:color w:val="auto"/>
          <w:highlight w:val="white"/>
        </w:rPr>
        <w:t>. The holders of the Series A Preferred Stock shall have conversion rights as follows:</w:t>
      </w:r>
    </w:p>
    <w:p>
      <w:pPr>
        <w:spacing w:after="0" w:line="150" w:lineRule="exact"/>
        <w:rPr>
          <w:rFonts w:ascii="Arial" w:cs="Arial" w:eastAsia="Arial" w:hAnsi="Arial"/>
          <w:sz w:val="21"/>
          <w:szCs w:val="21"/>
          <w:color w:val="auto"/>
        </w:rPr>
      </w:pPr>
    </w:p>
    <w:p>
      <w:pPr>
        <w:ind w:left="2640" w:hanging="688"/>
        <w:spacing w:after="0"/>
        <w:tabs>
          <w:tab w:leader="none" w:pos="264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Conversion Rights.</w:t>
      </w:r>
    </w:p>
    <w:p>
      <w:pPr>
        <w:spacing w:after="0" w:line="152" w:lineRule="exact"/>
        <w:rPr>
          <w:rFonts w:ascii="Arial" w:cs="Arial" w:eastAsia="Arial" w:hAnsi="Arial"/>
          <w:sz w:val="22"/>
          <w:szCs w:val="22"/>
          <w:color w:val="auto"/>
        </w:rPr>
      </w:pPr>
    </w:p>
    <w:p>
      <w:pPr>
        <w:jc w:val="both"/>
        <w:ind w:firstLine="2600"/>
        <w:spacing w:after="0" w:line="221" w:lineRule="auto"/>
        <w:tabs>
          <w:tab w:leader="none" w:pos="3448" w:val="left"/>
        </w:tabs>
        <w:numPr>
          <w:ilvl w:val="2"/>
          <w:numId w:val="20"/>
        </w:numPr>
        <w:rPr>
          <w:rFonts w:ascii="Arial" w:cs="Arial" w:eastAsia="Arial" w:hAnsi="Arial"/>
          <w:sz w:val="21"/>
          <w:szCs w:val="21"/>
          <w:color w:val="auto"/>
        </w:rPr>
      </w:pPr>
      <w:r>
        <w:rPr>
          <w:rFonts w:ascii="Arial" w:cs="Arial" w:eastAsia="Arial" w:hAnsi="Arial"/>
          <w:sz w:val="21"/>
          <w:szCs w:val="21"/>
          <w:color w:val="auto"/>
        </w:rPr>
        <w:t>Each share of Series A Preferred Stock shall be convertible, at the option of the holder thereof, at any time after the date of issuance of such share, at the office of this corporation or any transfer agent for the Series A Preferred Stock, into such number of fully paid and no assessable shares of Common Stock as is determined by dividing $1.00 (provided, however, that such number shall be $1.20 rather than $1.00 for each share of Series A Preferred Stock converted into shares of Common Stock during the period of time from March 24, 1997 through December 31, 1997) by the Conversion Price at the time in effect for such share. The initial Conversion Price per share for shares of Series A Preferred Stock shall be $.10; provided, however, that the Conversion Price for the Series A Preferred Stock (the “</w:t>
      </w:r>
      <w:r>
        <w:rPr>
          <w:rFonts w:ascii="Arial" w:cs="Arial" w:eastAsia="Arial" w:hAnsi="Arial"/>
          <w:sz w:val="21"/>
          <w:szCs w:val="21"/>
          <w:u w:val="single" w:color="auto"/>
          <w:color w:val="auto"/>
        </w:rPr>
        <w:t>Conversion Price</w:t>
      </w:r>
      <w:r>
        <w:rPr>
          <w:rFonts w:ascii="Arial" w:cs="Arial" w:eastAsia="Arial" w:hAnsi="Arial"/>
          <w:sz w:val="21"/>
          <w:szCs w:val="21"/>
          <w:color w:val="auto"/>
        </w:rPr>
        <w:t>”) shall be subject to adjustment as set forth in Subsection 3(c).</w:t>
      </w:r>
    </w:p>
    <w:p>
      <w:pPr>
        <w:spacing w:after="0" w:line="124" w:lineRule="exact"/>
        <w:rPr>
          <w:rFonts w:ascii="Arial" w:cs="Arial" w:eastAsia="Arial" w:hAnsi="Arial"/>
          <w:sz w:val="21"/>
          <w:szCs w:val="21"/>
          <w:color w:val="auto"/>
        </w:rPr>
      </w:pPr>
    </w:p>
    <w:p>
      <w:pPr>
        <w:jc w:val="both"/>
        <w:ind w:firstLine="2600"/>
        <w:spacing w:after="0" w:line="212" w:lineRule="auto"/>
        <w:tabs>
          <w:tab w:leader="none" w:pos="3454" w:val="left"/>
        </w:tabs>
        <w:numPr>
          <w:ilvl w:val="2"/>
          <w:numId w:val="20"/>
        </w:numPr>
        <w:rPr>
          <w:rFonts w:ascii="Arial" w:cs="Arial" w:eastAsia="Arial" w:hAnsi="Arial"/>
          <w:sz w:val="22"/>
          <w:szCs w:val="22"/>
          <w:color w:val="auto"/>
        </w:rPr>
      </w:pPr>
      <w:r>
        <w:rPr>
          <w:rFonts w:ascii="Arial" w:cs="Arial" w:eastAsia="Arial" w:hAnsi="Arial"/>
          <w:sz w:val="22"/>
          <w:szCs w:val="22"/>
          <w:color w:val="auto"/>
        </w:rPr>
        <w:t>Upon conversion of any Series A Preferred Stock, any accrued but unpaid dividends on such Series A Preferred Stock may at the option of the holder of such Series A Preferred Stock be converted into fully paid and nonassessable shares of Common Stock at the price of $1.00 per share of Common Stock; provided, however, that during the period of time from March 24, 1997 through December 31, 1997, the price shall be $.83 for each share of Common Stock. The price at which shares of Common Stock may be acquired pursuant to this subparagraph (ii) shall be appropriately increased or decreased from time to time to reflect any split, subdivision or combination of the issues and outstanding Common Stock as the case may be.</w:t>
      </w:r>
    </w:p>
    <w:p>
      <w:pPr>
        <w:spacing w:after="0" w:line="123" w:lineRule="exact"/>
        <w:rPr>
          <w:rFonts w:ascii="Arial" w:cs="Arial" w:eastAsia="Arial" w:hAnsi="Arial"/>
          <w:sz w:val="22"/>
          <w:szCs w:val="22"/>
          <w:color w:val="auto"/>
        </w:rPr>
      </w:pPr>
    </w:p>
    <w:p>
      <w:pPr>
        <w:jc w:val="both"/>
        <w:ind w:firstLine="1952"/>
        <w:spacing w:after="0" w:line="241" w:lineRule="auto"/>
        <w:tabs>
          <w:tab w:leader="none" w:pos="2862"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Mechanics of Conversion</w:t>
      </w:r>
      <w:r>
        <w:rPr>
          <w:rFonts w:ascii="Arial" w:cs="Arial" w:eastAsia="Arial" w:hAnsi="Arial"/>
          <w:sz w:val="19"/>
          <w:szCs w:val="19"/>
          <w:color w:val="auto"/>
          <w:highlight w:val="white"/>
        </w:rPr>
        <w:t>. Before any holder of Series A Preferred Stock shall be entitled to</w:t>
      </w:r>
      <w:r>
        <w:rPr>
          <w:rFonts w:ascii="Arial" w:cs="Arial" w:eastAsia="Arial" w:hAnsi="Arial"/>
          <w:sz w:val="19"/>
          <w:szCs w:val="19"/>
          <w:color w:val="auto"/>
        </w:rPr>
        <w:t xml:space="preserve"> </w:t>
      </w:r>
      <w:r>
        <w:rPr>
          <w:rFonts w:ascii="Arial" w:cs="Arial" w:eastAsia="Arial" w:hAnsi="Arial"/>
          <w:sz w:val="19"/>
          <w:szCs w:val="19"/>
          <w:color w:val="auto"/>
          <w:highlight w:val="white"/>
        </w:rPr>
        <w:t xml:space="preserve">convert the same into shares of Common Stock, he shall surrender the certificate or certificates therefor, duly endorsed, at the office of the corporation or of any transfer agent for the Series A Preferred Stock, and shall give written notice by mail, postage prepaid,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Series A Preferred Stock, or to the nominee or nominees </w:t>
      </w:r>
      <w:r>
        <w:rPr>
          <w:rFonts w:ascii="Arial" w:cs="Arial" w:eastAsia="Arial" w:hAnsi="Arial"/>
          <w:sz w:val="19"/>
          <w:szCs w:val="19"/>
          <w:color w:val="auto"/>
        </w:rPr>
        <w:t xml:space="preserve">of such holder, a certificate or certificates for the number of whole shares of Common Stock to which such holder shall be entitled as aforesaid. Such conversion shall be deemed to have been made immediately prior to the close of business on the date of such surrender of the shares of Series A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an underwritten offer of securities registered pursuant to the Securities Act of 1933, the conversion may at the option of any holder tendering Series A Preferred Stock for conversion, be conditioned upon the closing with the underwriter of the sale of the securities pursuant to such offering, in which </w:t>
      </w:r>
      <w:r>
        <w:rPr>
          <w:rFonts w:ascii="Arial" w:cs="Arial" w:eastAsia="Arial" w:hAnsi="Arial"/>
          <w:sz w:val="19"/>
          <w:szCs w:val="19"/>
          <w:color w:val="auto"/>
          <w:highlight w:val="white"/>
        </w:rPr>
        <w:t>event the person(s) entitled to receive the Common Stock issuable upon such conversion of the Series A Preferred Stock shall not be deemed to have converted such Series A Preferred Stock until immediately prior to the closing of the sale of such securities.</w:t>
      </w:r>
    </w:p>
    <w:p>
      <w:pPr>
        <w:spacing w:after="0" w:line="138" w:lineRule="exact"/>
        <w:rPr>
          <w:rFonts w:ascii="Arial" w:cs="Arial" w:eastAsia="Arial" w:hAnsi="Arial"/>
          <w:sz w:val="19"/>
          <w:szCs w:val="19"/>
          <w:color w:val="auto"/>
        </w:rPr>
      </w:pPr>
    </w:p>
    <w:p>
      <w:pPr>
        <w:ind w:firstLine="1952"/>
        <w:spacing w:after="0" w:line="232" w:lineRule="auto"/>
        <w:tabs>
          <w:tab w:leader="none" w:pos="289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Conversion Price Adjustments of Preferred Stock</w:t>
      </w:r>
      <w:r>
        <w:rPr>
          <w:rFonts w:ascii="Arial" w:cs="Arial" w:eastAsia="Arial" w:hAnsi="Arial"/>
          <w:sz w:val="22"/>
          <w:szCs w:val="22"/>
          <w:color w:val="auto"/>
        </w:rPr>
        <w:t>. The Conversion Price shall, be subject to adjustment from time to time as follows:</w:t>
      </w:r>
    </w:p>
    <w:p>
      <w:pPr>
        <w:spacing w:after="0" w:line="118" w:lineRule="exact"/>
        <w:rPr>
          <w:rFonts w:ascii="Arial" w:cs="Arial" w:eastAsia="Arial" w:hAnsi="Arial"/>
          <w:sz w:val="22"/>
          <w:szCs w:val="22"/>
          <w:color w:val="auto"/>
        </w:rPr>
      </w:pPr>
    </w:p>
    <w:p>
      <w:pPr>
        <w:jc w:val="both"/>
        <w:ind w:firstLine="2600"/>
        <w:spacing w:after="0" w:line="268" w:lineRule="auto"/>
        <w:tabs>
          <w:tab w:leader="none" w:pos="3448" w:val="left"/>
        </w:tabs>
        <w:numPr>
          <w:ilvl w:val="2"/>
          <w:numId w:val="20"/>
        </w:numPr>
        <w:rPr>
          <w:rFonts w:ascii="Arial" w:cs="Arial" w:eastAsia="Arial" w:hAnsi="Arial"/>
          <w:sz w:val="19"/>
          <w:szCs w:val="19"/>
          <w:color w:val="auto"/>
        </w:rPr>
      </w:pPr>
      <w:r>
        <w:rPr>
          <w:rFonts w:ascii="Arial" w:cs="Arial" w:eastAsia="Arial" w:hAnsi="Arial"/>
          <w:sz w:val="19"/>
          <w:szCs w:val="19"/>
          <w:color w:val="auto"/>
        </w:rPr>
        <w:t>(A) If the corporation shall issue any Additional Stock (as defined below) for a consideration per share less than the Conversion Price in effect immediately prior to the issuance of such Additional Stock, the Conversion Price in effect immediately prior to each such issuance shall forthwith (except as otherwise provided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-2190750</wp:posOffset>
            </wp:positionV>
            <wp:extent cx="7132320" cy="968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clause (i)) be adjusted to a price for such series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all such Additional Stock so issued would purchase at such Conversion Price in effect immediately prior to the issuance of such Additional Stock, and the denominator of which shall be the number of shares of Common Stock outstanding immediately prior to such issue plus the number of shares of such Additional Stock; provided that, for the purpose of this subsection 3(c)(1)(A), all shares of Common Stock (except as otherwise provided in this clause (i)) issuable upon conversion of all outstanding shares of Series A Preferred Stock shall be deemed to be outstanding, and immediately after any shares of Additional Stock are deemed to be issued pursuant to subsection 3(c)(i)(E), Such shares of Additional Stock shall be deemed to be outstanding.</w:t>
      </w:r>
    </w:p>
    <w:p>
      <w:pPr>
        <w:spacing w:after="0" w:line="120" w:lineRule="exact"/>
        <w:rPr>
          <w:sz w:val="20"/>
          <w:szCs w:val="20"/>
          <w:color w:val="auto"/>
        </w:rPr>
      </w:pPr>
    </w:p>
    <w:p>
      <w:pPr>
        <w:jc w:val="both"/>
        <w:ind w:firstLine="3248"/>
        <w:spacing w:after="0" w:line="247" w:lineRule="auto"/>
        <w:tabs>
          <w:tab w:leader="none" w:pos="4126"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 adjustment of the Conversion Price for the Series A Preferred Stock shall be made in an amount less than one cent per share, provided that any adjustments which are not required to be made by reason of this sentence shall be carried forward and shall be either taken into account in any subsequent adjustment made prior to 3 years from the date of the event giving rise to the adjustment being carried forward, or, if no such adjustment is made, shall be made at the end of 3 years from the date of the event giving rise to the adjustment being carried forward. Except to the limited extent provided for in subsections (E)(3) and (E)(4), no adjustment of such Conversion Price pursuant to this subsection 3(c)(i) shall have the effect of increasing the Conversion Price above the Conversion Price in effect immediately prior to such adjustment.</w:t>
      </w:r>
    </w:p>
    <w:p>
      <w:pPr>
        <w:spacing w:after="0" w:line="126" w:lineRule="exact"/>
        <w:rPr>
          <w:rFonts w:ascii="Arial" w:cs="Arial" w:eastAsia="Arial" w:hAnsi="Arial"/>
          <w:sz w:val="19"/>
          <w:szCs w:val="19"/>
          <w:color w:val="auto"/>
        </w:rPr>
      </w:pPr>
    </w:p>
    <w:p>
      <w:pPr>
        <w:jc w:val="both"/>
        <w:ind w:firstLine="3248"/>
        <w:spacing w:after="0" w:line="268" w:lineRule="auto"/>
        <w:tabs>
          <w:tab w:leader="none" w:pos="4099"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 the case of the issuance of Common Stock for cash, the consideration shall be deemed to be the amount of cash paid therefor before deducting any discounts, commissions or other expenses allowed, paid or incurred by the corporation for any underwriting or otherwise in connection with the issuance and sale thereof.</w:t>
      </w:r>
    </w:p>
    <w:p>
      <w:pPr>
        <w:spacing w:after="0" w:line="91" w:lineRule="exact"/>
        <w:rPr>
          <w:rFonts w:ascii="Arial" w:cs="Arial" w:eastAsia="Arial" w:hAnsi="Arial"/>
          <w:sz w:val="19"/>
          <w:szCs w:val="19"/>
          <w:color w:val="auto"/>
        </w:rPr>
      </w:pPr>
    </w:p>
    <w:p>
      <w:pPr>
        <w:jc w:val="both"/>
        <w:ind w:right="20" w:firstLine="3248"/>
        <w:spacing w:after="0" w:line="223" w:lineRule="auto"/>
        <w:tabs>
          <w:tab w:leader="none" w:pos="4016"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the issuance of the Common Stock for a consideration in whole or in part other than cash, the consideration other than cash shall be deemed to be the fair value thereof as reasonably determined by the Board of Directors, irrespective of any accounting treatment.</w:t>
      </w:r>
    </w:p>
    <w:p>
      <w:pPr>
        <w:spacing w:after="0" w:line="118" w:lineRule="exact"/>
        <w:rPr>
          <w:rFonts w:ascii="Arial" w:cs="Arial" w:eastAsia="Arial" w:hAnsi="Arial"/>
          <w:sz w:val="22"/>
          <w:szCs w:val="22"/>
          <w:color w:val="auto"/>
        </w:rPr>
      </w:pPr>
    </w:p>
    <w:p>
      <w:pPr>
        <w:jc w:val="both"/>
        <w:ind w:right="20" w:firstLine="3248"/>
        <w:spacing w:after="0" w:line="218" w:lineRule="auto"/>
        <w:tabs>
          <w:tab w:leader="none" w:pos="3903"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(which are not excluded from the definition of Additional Stock), the following provisions shall apply:</w:t>
      </w:r>
    </w:p>
    <w:p>
      <w:pPr>
        <w:spacing w:after="0" w:line="133" w:lineRule="exact"/>
        <w:rPr>
          <w:rFonts w:ascii="Arial" w:cs="Arial" w:eastAsia="Arial" w:hAnsi="Arial"/>
          <w:sz w:val="22"/>
          <w:szCs w:val="22"/>
          <w:color w:val="auto"/>
        </w:rPr>
      </w:pPr>
    </w:p>
    <w:p>
      <w:pPr>
        <w:jc w:val="both"/>
        <w:ind w:firstLine="3896"/>
        <w:spacing w:after="0" w:line="252" w:lineRule="auto"/>
        <w:tabs>
          <w:tab w:leader="none" w:pos="4689"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aggregate maximum number of shares of Common Stock deliverable upon exercise of such options to purchase or rights to subscribe for Common Stock shall be deemed to have been issued at the time such options or rights were issued and for a consideration equal to the consideration (determined in the manner provided in subsections 3(c)(i)(C) and(c)(i)(D)), if any, received by the corporation upon the issuance of such options or rights plus the minimum purchase price provided in such options or rights for the Common Stock covered thereby.</w:t>
      </w:r>
    </w:p>
    <w:p>
      <w:pPr>
        <w:spacing w:after="0" w:line="108" w:lineRule="exact"/>
        <w:rPr>
          <w:rFonts w:ascii="Arial" w:cs="Arial" w:eastAsia="Arial" w:hAnsi="Arial"/>
          <w:sz w:val="19"/>
          <w:szCs w:val="19"/>
          <w:color w:val="auto"/>
        </w:rPr>
      </w:pPr>
    </w:p>
    <w:p>
      <w:pPr>
        <w:jc w:val="both"/>
        <w:ind w:firstLine="3896"/>
        <w:spacing w:after="0" w:line="214" w:lineRule="auto"/>
        <w:tabs>
          <w:tab w:leader="none" w:pos="4689"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aggregate maximum number of shares of Common Stock deliverable upon conversion of or in exchange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the corporation for any such securities and related options or rights (excluding any cash received on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5"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accrued interest or accrued dividends), plus the additional consideration, if any, to be received by the corporation upon the conversion or exchange of such securities or the exercise of any related options or rights (the consideration in each case to be determined in the manner provided in subsections 3(c)(i)(C) and (c)(i)(D).</w:t>
      </w:r>
    </w:p>
    <w:p>
      <w:pPr>
        <w:spacing w:after="0" w:line="118" w:lineRule="exact"/>
        <w:rPr>
          <w:sz w:val="20"/>
          <w:szCs w:val="20"/>
          <w:color w:val="auto"/>
        </w:rPr>
      </w:pPr>
    </w:p>
    <w:p>
      <w:pPr>
        <w:jc w:val="both"/>
        <w:ind w:firstLine="3896"/>
        <w:spacing w:after="0" w:line="211" w:lineRule="auto"/>
        <w:tabs>
          <w:tab w:leader="none" w:pos="4810" w:val="left"/>
        </w:tabs>
        <w:numPr>
          <w:ilvl w:val="2"/>
          <w:numId w:val="22"/>
        </w:numPr>
        <w:rPr>
          <w:rFonts w:ascii="Arial" w:cs="Arial" w:eastAsia="Arial" w:hAnsi="Arial"/>
          <w:sz w:val="22"/>
          <w:szCs w:val="22"/>
          <w:color w:val="auto"/>
        </w:rPr>
      </w:pPr>
      <w:r>
        <w:rPr>
          <w:rFonts w:ascii="Arial" w:cs="Arial" w:eastAsia="Arial" w:hAnsi="Arial"/>
          <w:sz w:val="22"/>
          <w:szCs w:val="22"/>
          <w:color w:val="auto"/>
        </w:rPr>
        <w:t>In the event of any change in the number of shares of Common Stock deliverable or any increase in the consideration payable to the corporation upon exercise of such options or rights or upon conversion of or in exchange for such convertible or exchangeable securities, including, but not limited to, a change resulting from the antidilution provisions thereof, the Conversion Price of the Series A Preferred Stock obtained with respect to the adjustment which was made upon the issuance of such options, rights or securities, and any subsequent adjustments based thereon,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37" w:lineRule="exact"/>
        <w:rPr>
          <w:rFonts w:ascii="Arial" w:cs="Arial" w:eastAsia="Arial" w:hAnsi="Arial"/>
          <w:sz w:val="22"/>
          <w:szCs w:val="22"/>
          <w:color w:val="auto"/>
        </w:rPr>
      </w:pPr>
    </w:p>
    <w:p>
      <w:pPr>
        <w:jc w:val="both"/>
        <w:ind w:firstLine="3896"/>
        <w:spacing w:after="0" w:line="212" w:lineRule="auto"/>
        <w:tabs>
          <w:tab w:leader="none" w:pos="4500" w:val="left"/>
        </w:tabs>
        <w:numPr>
          <w:ilvl w:val="2"/>
          <w:numId w:val="22"/>
        </w:numPr>
        <w:rPr>
          <w:rFonts w:ascii="Arial" w:cs="Arial" w:eastAsia="Arial" w:hAnsi="Arial"/>
          <w:sz w:val="22"/>
          <w:szCs w:val="22"/>
          <w:color w:val="auto"/>
        </w:rPr>
      </w:pPr>
      <w:r>
        <w:rPr>
          <w:rFonts w:ascii="Arial" w:cs="Arial" w:eastAsia="Arial" w:hAnsi="Arial"/>
          <w:sz w:val="22"/>
          <w:szCs w:val="22"/>
          <w:color w:val="auto"/>
        </w:rPr>
        <w:t>Upon the expiration of any such options or rights, the termination of any such rights to convert or exchange or the expiration of any options or rights related to Such convertible or exchangeable securities, the Conversion Price of the Series A Preferred Stock obtained with respect to the adjustment which was made upon the issuance of such options, rights or securities or options or rights related to such securities, and any subsequent adjustments based thereon, shall be recomputed to reflect the issuance of only the number of shares of Common Stock actually issued upon the exercise of such options or rights, upon the conversion or exchange of such securities or upon the exercise of the options or rights related to such securities.</w:t>
      </w:r>
    </w:p>
    <w:p>
      <w:pPr>
        <w:spacing w:after="0" w:line="123" w:lineRule="exact"/>
        <w:rPr>
          <w:rFonts w:ascii="Arial" w:cs="Arial" w:eastAsia="Arial" w:hAnsi="Arial"/>
          <w:sz w:val="22"/>
          <w:szCs w:val="22"/>
          <w:color w:val="auto"/>
        </w:rPr>
      </w:pPr>
    </w:p>
    <w:p>
      <w:pPr>
        <w:ind w:firstLine="2600"/>
        <w:spacing w:after="0" w:line="298" w:lineRule="auto"/>
        <w:tabs>
          <w:tab w:leader="none" w:pos="3468"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Stock</w:t>
      </w:r>
      <w:r>
        <w:rPr>
          <w:rFonts w:ascii="Arial" w:cs="Arial" w:eastAsia="Arial" w:hAnsi="Arial"/>
          <w:sz w:val="19"/>
          <w:szCs w:val="19"/>
          <w:color w:val="auto"/>
        </w:rPr>
        <w:t>” shall mean any shares of Common Stock issued (or deemed to have been issued pursuant to subsection (3)(c)(i)(E)) by this corporation after October 1, 1992 (the “</w:t>
      </w:r>
      <w:r>
        <w:rPr>
          <w:rFonts w:ascii="Arial" w:cs="Arial" w:eastAsia="Arial" w:hAnsi="Arial"/>
          <w:sz w:val="19"/>
          <w:szCs w:val="19"/>
          <w:u w:val="single" w:color="auto"/>
          <w:color w:val="auto"/>
        </w:rPr>
        <w:t>Purchase Date</w:t>
      </w:r>
      <w:r>
        <w:rPr>
          <w:rFonts w:ascii="Arial" w:cs="Arial" w:eastAsia="Arial" w:hAnsi="Arial"/>
          <w:sz w:val="19"/>
          <w:szCs w:val="19"/>
          <w:color w:val="auto"/>
          <w:highlight w:val="white"/>
        </w:rPr>
        <w:t>”) other than</w:t>
      </w:r>
    </w:p>
    <w:p>
      <w:pPr>
        <w:spacing w:after="0" w:line="64" w:lineRule="exact"/>
        <w:rPr>
          <w:rFonts w:ascii="Arial" w:cs="Arial" w:eastAsia="Arial" w:hAnsi="Arial"/>
          <w:sz w:val="19"/>
          <w:szCs w:val="19"/>
          <w:color w:val="auto"/>
        </w:rPr>
      </w:pPr>
    </w:p>
    <w:p>
      <w:pPr>
        <w:ind w:left="4160" w:hanging="912"/>
        <w:spacing w:after="0"/>
        <w:tabs>
          <w:tab w:leader="none" w:pos="41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Common Stock issued pursuant to a transaction described in subsection 3(c)(iii)</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34" w:lineRule="exact"/>
        <w:rPr>
          <w:rFonts w:ascii="Arial" w:cs="Arial" w:eastAsia="Arial" w:hAnsi="Arial"/>
          <w:sz w:val="19"/>
          <w:szCs w:val="19"/>
          <w:color w:val="auto"/>
        </w:rPr>
      </w:pPr>
    </w:p>
    <w:p>
      <w:pPr>
        <w:jc w:val="both"/>
        <w:ind w:firstLine="3248"/>
        <w:spacing w:after="0" w:line="218" w:lineRule="auto"/>
        <w:tabs>
          <w:tab w:leader="none" w:pos="4302" w:val="left"/>
        </w:tabs>
        <w:numPr>
          <w:ilvl w:val="1"/>
          <w:numId w:val="23"/>
        </w:numPr>
        <w:rPr>
          <w:rFonts w:ascii="Arial" w:cs="Arial" w:eastAsia="Arial" w:hAnsi="Arial"/>
          <w:sz w:val="22"/>
          <w:szCs w:val="22"/>
          <w:color w:val="auto"/>
        </w:rPr>
      </w:pPr>
      <w:r>
        <w:rPr>
          <w:rFonts w:ascii="Arial" w:cs="Arial" w:eastAsia="Arial" w:hAnsi="Arial"/>
          <w:sz w:val="22"/>
          <w:szCs w:val="22"/>
          <w:color w:val="auto"/>
        </w:rPr>
        <w:t>shares of Common Stock issuable or issued (or deemed to have been issued pursuant to subsection 3(c)(i)(E)) after the Purchase Date to employees, officers, directors, or consultants of this corporation directly or pursuant to a stock option plan or restricted stock plan approved by the shareholders and directors of this corporation, or</w:t>
      </w:r>
    </w:p>
    <w:p>
      <w:pPr>
        <w:spacing w:after="0" w:line="120" w:lineRule="exact"/>
        <w:rPr>
          <w:rFonts w:ascii="Arial" w:cs="Arial" w:eastAsia="Arial" w:hAnsi="Arial"/>
          <w:sz w:val="22"/>
          <w:szCs w:val="22"/>
          <w:color w:val="auto"/>
        </w:rPr>
      </w:pPr>
    </w:p>
    <w:p>
      <w:pPr>
        <w:ind w:left="3980" w:hanging="732"/>
        <w:spacing w:after="0"/>
        <w:tabs>
          <w:tab w:leader="none" w:pos="39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Common Stock issued or issuable upon conversion of the Series A Preferred Stock.</w:t>
      </w:r>
    </w:p>
    <w:p>
      <w:pPr>
        <w:spacing w:after="0" w:line="173" w:lineRule="exact"/>
        <w:rPr>
          <w:rFonts w:ascii="Arial" w:cs="Arial" w:eastAsia="Arial" w:hAnsi="Arial"/>
          <w:sz w:val="19"/>
          <w:szCs w:val="19"/>
          <w:color w:val="auto"/>
        </w:rPr>
      </w:pPr>
    </w:p>
    <w:p>
      <w:pPr>
        <w:jc w:val="both"/>
        <w:ind w:firstLine="2600"/>
        <w:spacing w:after="0" w:line="210" w:lineRule="auto"/>
        <w:tabs>
          <w:tab w:leader="none" w:pos="3528"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event the corporation should at any time or from time to time after the Purchase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Series A Preferred Stock shall be appropriately decreased so that the number of shares of Common Stock issuable on conversion of each share of such series shall be increased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proportion to such increase of outstanding shares determined in accordance with subsection 3(c)(i)(E).</w:t>
      </w:r>
    </w:p>
    <w:p>
      <w:pPr>
        <w:spacing w:after="0" w:line="139" w:lineRule="exact"/>
        <w:rPr>
          <w:sz w:val="20"/>
          <w:szCs w:val="20"/>
          <w:color w:val="auto"/>
        </w:rPr>
      </w:pPr>
    </w:p>
    <w:p>
      <w:pPr>
        <w:jc w:val="both"/>
        <w:ind w:firstLine="2600"/>
        <w:spacing w:after="0" w:line="257" w:lineRule="auto"/>
        <w:tabs>
          <w:tab w:leader="none" w:pos="3421" w:val="left"/>
        </w:tabs>
        <w:numPr>
          <w:ilvl w:val="1"/>
          <w:numId w:val="24"/>
        </w:numPr>
        <w:rPr>
          <w:rFonts w:ascii="Arial" w:cs="Arial" w:eastAsia="Arial" w:hAnsi="Arial"/>
          <w:sz w:val="19"/>
          <w:szCs w:val="19"/>
          <w:color w:val="auto"/>
        </w:rPr>
      </w:pPr>
      <w:r>
        <w:rPr>
          <w:rFonts w:ascii="Arial" w:cs="Arial" w:eastAsia="Arial" w:hAnsi="Arial"/>
          <w:sz w:val="19"/>
          <w:szCs w:val="19"/>
          <w:color w:val="auto"/>
        </w:rPr>
        <w:t>If the number of shares of common stock outstanding at any time after the Purchase Date is decreased by a combination of the outstanding shares of Common Stock, then following the record date of such combination, the Conversion Price for the Series A Preferred Stock shall be appropriately increased so that the number of shares of Common Stock issuable on conversion of each share of such series shall be decreased in proportion to such decrease in outstanding shares.</w:t>
      </w:r>
    </w:p>
    <w:p>
      <w:pPr>
        <w:spacing w:after="0" w:line="117" w:lineRule="exact"/>
        <w:rPr>
          <w:rFonts w:ascii="Arial" w:cs="Arial" w:eastAsia="Arial" w:hAnsi="Arial"/>
          <w:sz w:val="19"/>
          <w:szCs w:val="19"/>
          <w:color w:val="auto"/>
        </w:rPr>
      </w:pPr>
    </w:p>
    <w:p>
      <w:pPr>
        <w:jc w:val="both"/>
        <w:ind w:firstLine="1952"/>
        <w:spacing w:after="0" w:line="212" w:lineRule="auto"/>
        <w:tabs>
          <w:tab w:leader="none" w:pos="271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Other Distributions</w:t>
      </w:r>
      <w:r>
        <w:rPr>
          <w:rFonts w:ascii="Arial" w:cs="Arial" w:eastAsia="Arial" w:hAnsi="Arial"/>
          <w:sz w:val="22"/>
          <w:szCs w:val="22"/>
          <w:color w:val="auto"/>
          <w:highlight w:val="white"/>
        </w:rPr>
        <w:t>. In the event the corporation shall declare a distribution payable in securities</w:t>
      </w:r>
      <w:r>
        <w:rPr>
          <w:rFonts w:ascii="Arial" w:cs="Arial" w:eastAsia="Arial" w:hAnsi="Arial"/>
          <w:sz w:val="22"/>
          <w:szCs w:val="22"/>
          <w:color w:val="auto"/>
        </w:rPr>
        <w:t xml:space="preserve"> </w:t>
      </w:r>
      <w:r>
        <w:rPr>
          <w:rFonts w:ascii="Arial" w:cs="Arial" w:eastAsia="Arial" w:hAnsi="Arial"/>
          <w:sz w:val="22"/>
          <w:szCs w:val="22"/>
          <w:color w:val="auto"/>
          <w:highlight w:val="white"/>
        </w:rPr>
        <w:t xml:space="preserve">of other persons, evidences of indebtedness issued by the corporation or other persons, assets (excluding cash dividends) or options or rights not referred to in subsection 3(c)(1), then, in each such case for the purpose of this subsection 3(d), the holders </w:t>
      </w:r>
      <w:r>
        <w:rPr>
          <w:rFonts w:ascii="Arial" w:cs="Arial" w:eastAsia="Arial" w:hAnsi="Arial"/>
          <w:sz w:val="22"/>
          <w:szCs w:val="22"/>
          <w:color w:val="auto"/>
        </w:rPr>
        <w:t xml:space="preserve">of the Series A Preferred Stock shall be entitled to a proportionate share of any such distribution as though they were the holders of the number of shares of Common Stock of the corporation into which their shares of Series A Preferred Stock are convertible as of the record date fixed for the determination of the holders of Common Stock of the corporation entitled to receive such </w:t>
      </w:r>
      <w:r>
        <w:rPr>
          <w:rFonts w:ascii="Arial" w:cs="Arial" w:eastAsia="Arial" w:hAnsi="Arial"/>
          <w:sz w:val="22"/>
          <w:szCs w:val="22"/>
          <w:color w:val="auto"/>
          <w:highlight w:val="white"/>
        </w:rPr>
        <w:t>distribution.</w:t>
      </w:r>
    </w:p>
    <w:p>
      <w:pPr>
        <w:spacing w:after="0" w:line="123" w:lineRule="exact"/>
        <w:rPr>
          <w:rFonts w:ascii="Arial" w:cs="Arial" w:eastAsia="Arial" w:hAnsi="Arial"/>
          <w:sz w:val="22"/>
          <w:szCs w:val="22"/>
          <w:color w:val="auto"/>
        </w:rPr>
      </w:pPr>
    </w:p>
    <w:p>
      <w:pPr>
        <w:jc w:val="both"/>
        <w:ind w:firstLine="1952"/>
        <w:spacing w:after="0" w:line="244" w:lineRule="auto"/>
        <w:tabs>
          <w:tab w:leader="none" w:pos="288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Recapitalizations</w:t>
      </w:r>
      <w:r>
        <w:rPr>
          <w:rFonts w:ascii="Arial" w:cs="Arial" w:eastAsia="Arial" w:hAnsi="Arial"/>
          <w:sz w:val="19"/>
          <w:szCs w:val="19"/>
          <w:color w:val="auto"/>
          <w:highlight w:val="white"/>
        </w:rPr>
        <w:t>. If at any time or from time to time there shall be a recapitalization of the</w:t>
      </w:r>
      <w:r>
        <w:rPr>
          <w:rFonts w:ascii="Arial" w:cs="Arial" w:eastAsia="Arial" w:hAnsi="Arial"/>
          <w:sz w:val="19"/>
          <w:szCs w:val="19"/>
          <w:color w:val="auto"/>
        </w:rPr>
        <w:t xml:space="preserve"> Common Stock (other than a subdivision, combination or merger or sale of assets transaction provided for elsewhere in this Section 3) provision shall be made so that the holders of the Series A Preferred Stock shall thereafter be entitled to receive upon conversion of the Series A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3 with respect to the rights of the holders of the Series A Preferred Stock after the recapitalization to the end that the provisions of this Section 3 (including adjustment of the Conversion Price then in effect and the number of shares purchasable upon conversion of the Series </w:t>
      </w:r>
      <w:r>
        <w:rPr>
          <w:rFonts w:ascii="Arial" w:cs="Arial" w:eastAsia="Arial" w:hAnsi="Arial"/>
          <w:sz w:val="19"/>
          <w:szCs w:val="19"/>
          <w:color w:val="auto"/>
          <w:highlight w:val="white"/>
        </w:rPr>
        <w:t>A Preferred Stock) shall be applicable after that event as nearly equivalent as may be practicable.</w:t>
      </w:r>
    </w:p>
    <w:p>
      <w:pPr>
        <w:spacing w:after="0" w:line="120" w:lineRule="exact"/>
        <w:rPr>
          <w:rFonts w:ascii="Arial" w:cs="Arial" w:eastAsia="Arial" w:hAnsi="Arial"/>
          <w:sz w:val="19"/>
          <w:szCs w:val="19"/>
          <w:color w:val="auto"/>
        </w:rPr>
      </w:pPr>
    </w:p>
    <w:p>
      <w:pPr>
        <w:jc w:val="both"/>
        <w:ind w:firstLine="1952"/>
        <w:spacing w:after="0" w:line="214" w:lineRule="auto"/>
        <w:tabs>
          <w:tab w:leader="none" w:pos="306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 Impairment</w:t>
      </w:r>
      <w:r>
        <w:rPr>
          <w:rFonts w:ascii="Arial" w:cs="Arial" w:eastAsia="Arial" w:hAnsi="Arial"/>
          <w:sz w:val="22"/>
          <w:szCs w:val="22"/>
          <w:color w:val="auto"/>
          <w:highlight w:val="white"/>
        </w:rPr>
        <w:t>. The corporation will not, by amendment of its Articles or through any</w:t>
      </w:r>
      <w:r>
        <w:rPr>
          <w:rFonts w:ascii="Arial" w:cs="Arial" w:eastAsia="Arial" w:hAnsi="Arial"/>
          <w:sz w:val="22"/>
          <w:szCs w:val="22"/>
          <w:color w:val="auto"/>
        </w:rPr>
        <w:t xml:space="preserve"> </w:t>
      </w:r>
      <w:r>
        <w:rPr>
          <w:rFonts w:ascii="Arial" w:cs="Arial" w:eastAsia="Arial" w:hAnsi="Arial"/>
          <w:sz w:val="22"/>
          <w:szCs w:val="22"/>
          <w:color w:val="auto"/>
          <w:highlight w:val="white"/>
        </w:rPr>
        <w:t xml:space="preserve">reorganization, recapitalization, transfer of assets, consolidation, merger, dissolution, issue or sale of securities or any other </w:t>
      </w:r>
      <w:r>
        <w:rPr>
          <w:rFonts w:ascii="Arial" w:cs="Arial" w:eastAsia="Arial" w:hAnsi="Arial"/>
          <w:sz w:val="22"/>
          <w:szCs w:val="22"/>
          <w:color w:val="auto"/>
        </w:rPr>
        <w:t xml:space="preserve">voluntary action, avoid or seek to avoid the observance or performance of any of the terms to be observed or performed hereunder by the corporation, but will at all times, in good faith assist in the carrying out of all the provisions of this Section 3 and in the taking of all such action as may be necessary or appropriate in order to protect the conversion rights of the holders of </w:t>
      </w:r>
      <w:r>
        <w:rPr>
          <w:rFonts w:ascii="Arial" w:cs="Arial" w:eastAsia="Arial" w:hAnsi="Arial"/>
          <w:sz w:val="22"/>
          <w:szCs w:val="22"/>
          <w:color w:val="auto"/>
          <w:highlight w:val="white"/>
        </w:rPr>
        <w:t>the Series A Preferred Stock against impairment.</w:t>
      </w:r>
    </w:p>
    <w:p>
      <w:pPr>
        <w:spacing w:after="0" w:line="131" w:lineRule="exact"/>
        <w:rPr>
          <w:rFonts w:ascii="Arial" w:cs="Arial" w:eastAsia="Arial" w:hAnsi="Arial"/>
          <w:sz w:val="22"/>
          <w:szCs w:val="22"/>
          <w:color w:val="auto"/>
        </w:rPr>
      </w:pPr>
    </w:p>
    <w:p>
      <w:pPr>
        <w:ind w:left="2620" w:hanging="668"/>
        <w:spacing w:after="0"/>
        <w:tabs>
          <w:tab w:leader="none" w:pos="262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 Fractional Shares; Certificate as to Adjustments</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jc w:val="both"/>
        <w:ind w:firstLine="2600"/>
        <w:spacing w:after="0" w:line="216" w:lineRule="auto"/>
        <w:tabs>
          <w:tab w:leader="none" w:pos="3353" w:val="left"/>
        </w:tabs>
        <w:numPr>
          <w:ilvl w:val="1"/>
          <w:numId w:val="25"/>
        </w:numPr>
        <w:rPr>
          <w:rFonts w:ascii="Arial" w:cs="Arial" w:eastAsia="Arial" w:hAnsi="Arial"/>
          <w:sz w:val="22"/>
          <w:szCs w:val="22"/>
          <w:color w:val="auto"/>
        </w:rPr>
      </w:pPr>
      <w:r>
        <w:rPr>
          <w:rFonts w:ascii="Arial" w:cs="Arial" w:eastAsia="Arial" w:hAnsi="Arial"/>
          <w:sz w:val="22"/>
          <w:szCs w:val="22"/>
          <w:color w:val="auto"/>
        </w:rPr>
        <w:t>No fractional shares shall be issued upon conversion of the Series A Preferred Stock, and the number of shares of Common Stock to be issued shall be rounded to the nearest whole share. Whether or not fractional shares are issuable upon such conversion shall be determined on the basis of the total number of shares of Series A Preferred Stock the holder is at the time converting into Common Stock and the number of shares of Common Stock issuable upon such aggregate conversion.</w:t>
      </w:r>
    </w:p>
    <w:p>
      <w:pPr>
        <w:spacing w:after="0" w:line="117" w:lineRule="exact"/>
        <w:rPr>
          <w:rFonts w:ascii="Arial" w:cs="Arial" w:eastAsia="Arial" w:hAnsi="Arial"/>
          <w:sz w:val="22"/>
          <w:szCs w:val="22"/>
          <w:color w:val="auto"/>
        </w:rPr>
      </w:pPr>
    </w:p>
    <w:p>
      <w:pPr>
        <w:jc w:val="both"/>
        <w:ind w:firstLine="2600"/>
        <w:spacing w:after="0" w:line="257" w:lineRule="auto"/>
        <w:tabs>
          <w:tab w:leader="none" w:pos="3346" w:val="left"/>
        </w:tabs>
        <w:numPr>
          <w:ilvl w:val="1"/>
          <w:numId w:val="25"/>
        </w:numPr>
        <w:rPr>
          <w:rFonts w:ascii="Arial" w:cs="Arial" w:eastAsia="Arial" w:hAnsi="Arial"/>
          <w:sz w:val="19"/>
          <w:szCs w:val="19"/>
          <w:color w:val="auto"/>
        </w:rPr>
      </w:pPr>
      <w:r>
        <w:rPr>
          <w:rFonts w:ascii="Arial" w:cs="Arial" w:eastAsia="Arial" w:hAnsi="Arial"/>
          <w:sz w:val="19"/>
          <w:szCs w:val="19"/>
          <w:color w:val="auto"/>
        </w:rPr>
        <w:t>Upon the occurrence of each adjustment or readjustment of the Conversion Price of Series A Preferred Stock pursuant to this Section 3, the corporation, at its expense, shall promptly compute such adjustment or readjustment in accordance with the terms hereof and prepare and furnish to each holder of Series A Preferred Stock a certificate setting forth such adjustment or readjustment and showing in detail the facts upon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-4574540</wp:posOffset>
            </wp:positionV>
            <wp:extent cx="7132320" cy="420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-3777615</wp:posOffset>
            </wp:positionV>
            <wp:extent cx="7132320" cy="9690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969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-2294255</wp:posOffset>
            </wp:positionV>
            <wp:extent cx="7132320" cy="419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adjustment, or readjustment is based. The Corporation shall, upon the written request at any time of any holder of Series A Preferred Stock, furnish or cause to be furnished to such holder a like certificate setting forth (A) such adjustment and readjustment, (B) the Conversion Price at the time in effect, and (C) the number of shares of Common Stock and the amount, if any, of other property which at the time would be received upon the conversion of a share of Series A Preferred Stock.</w:t>
      </w:r>
    </w:p>
    <w:p>
      <w:pPr>
        <w:spacing w:after="0" w:line="104" w:lineRule="exact"/>
        <w:rPr>
          <w:sz w:val="20"/>
          <w:szCs w:val="20"/>
          <w:color w:val="auto"/>
        </w:rPr>
      </w:pPr>
    </w:p>
    <w:p>
      <w:pPr>
        <w:jc w:val="both"/>
        <w:ind w:firstLine="1952"/>
        <w:spacing w:after="0" w:line="249" w:lineRule="auto"/>
        <w:tabs>
          <w:tab w:leader="none" w:pos="2659"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Notices of Record Date</w:t>
      </w:r>
      <w:r>
        <w:rPr>
          <w:rFonts w:ascii="Arial" w:cs="Arial" w:eastAsia="Arial" w:hAnsi="Arial"/>
          <w:sz w:val="19"/>
          <w:szCs w:val="19"/>
          <w:color w:val="auto"/>
        </w:rPr>
        <w:t>. In the event of any taking by the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or any class of any other securities or property, or to receive any other right, this corporation shall mail to each holder of Series A Preferred Stock, at least 20 days prior to the date specified therein, a notice specifying the date on which any such record is to be taken for the purpose of such dividend, distribution or right, and the amount and character of such dividend, distribution or right.</w:t>
      </w:r>
    </w:p>
    <w:p>
      <w:pPr>
        <w:spacing w:after="0" w:line="124" w:lineRule="exact"/>
        <w:rPr>
          <w:rFonts w:ascii="Arial" w:cs="Arial" w:eastAsia="Arial" w:hAnsi="Arial"/>
          <w:sz w:val="19"/>
          <w:szCs w:val="19"/>
          <w:color w:val="auto"/>
        </w:rPr>
      </w:pPr>
    </w:p>
    <w:p>
      <w:pPr>
        <w:jc w:val="both"/>
        <w:ind w:firstLine="1952"/>
        <w:spacing w:after="0" w:line="246" w:lineRule="auto"/>
        <w:tabs>
          <w:tab w:leader="none" w:pos="2781"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Reservation of Stock Issuable Upon Conversion</w:t>
      </w:r>
      <w:r>
        <w:rPr>
          <w:rFonts w:ascii="Arial" w:cs="Arial" w:eastAsia="Arial" w:hAnsi="Arial"/>
          <w:sz w:val="19"/>
          <w:szCs w:val="19"/>
          <w:color w:val="auto"/>
        </w:rPr>
        <w:t>. This corporation shall at all times reserve and keep available out of its authorized but unissued shares of Common Stock solely for the purpose of effecting the conversion of the shares of the Series A Preferred Stock such number of its shares of Common Stock as shall from time to time be sufficient to effect the conversion of all outstanding shares of the Series A Preferred Stock; and if at any time the number of authorized but unissued shares of Common Stock shall not be sufficient to effect the conversion of all then outstanding shares of the Series A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w:t>
      </w:r>
    </w:p>
    <w:p>
      <w:pPr>
        <w:spacing w:after="0" w:line="111" w:lineRule="exact"/>
        <w:rPr>
          <w:rFonts w:ascii="Arial" w:cs="Arial" w:eastAsia="Arial" w:hAnsi="Arial"/>
          <w:sz w:val="19"/>
          <w:szCs w:val="19"/>
          <w:color w:val="auto"/>
        </w:rPr>
      </w:pPr>
    </w:p>
    <w:p>
      <w:pPr>
        <w:jc w:val="both"/>
        <w:ind w:firstLine="1952"/>
        <w:spacing w:after="0" w:line="223" w:lineRule="auto"/>
        <w:tabs>
          <w:tab w:leader="none" w:pos="2597"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highlight w:val="white"/>
        </w:rPr>
        <w:t>. Any notice required by the provisions of this Section 3 to be given to the holders of shares</w:t>
      </w:r>
      <w:r>
        <w:rPr>
          <w:rFonts w:ascii="Arial" w:cs="Arial" w:eastAsia="Arial" w:hAnsi="Arial"/>
          <w:sz w:val="22"/>
          <w:szCs w:val="22"/>
          <w:color w:val="auto"/>
        </w:rPr>
        <w:t xml:space="preserve"> </w:t>
      </w:r>
      <w:r>
        <w:rPr>
          <w:rFonts w:ascii="Arial" w:cs="Arial" w:eastAsia="Arial" w:hAnsi="Arial"/>
          <w:sz w:val="22"/>
          <w:szCs w:val="22"/>
          <w:color w:val="auto"/>
          <w:highlight w:val="white"/>
        </w:rPr>
        <w:t>of Series A Preferred Stock shall be deemed given if deposited in the United States mail, postage prepaid, and addressed to each, holder of record at his address appearing on the books of this corporation.</w:t>
      </w:r>
    </w:p>
    <w:p>
      <w:pPr>
        <w:spacing w:after="0" w:line="118" w:lineRule="exact"/>
        <w:rPr>
          <w:rFonts w:ascii="Arial" w:cs="Arial" w:eastAsia="Arial" w:hAnsi="Arial"/>
          <w:sz w:val="22"/>
          <w:szCs w:val="22"/>
          <w:color w:val="auto"/>
        </w:rPr>
      </w:pPr>
    </w:p>
    <w:p>
      <w:pPr>
        <w:jc w:val="both"/>
        <w:ind w:firstLine="1304"/>
        <w:spacing w:after="0" w:line="222" w:lineRule="auto"/>
        <w:tabs>
          <w:tab w:leader="none" w:pos="2029"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Voting Rights</w:t>
      </w:r>
      <w:r>
        <w:rPr>
          <w:rFonts w:ascii="Arial" w:cs="Arial" w:eastAsia="Arial" w:hAnsi="Arial"/>
          <w:sz w:val="21"/>
          <w:szCs w:val="21"/>
          <w:color w:val="auto"/>
          <w:highlight w:val="white"/>
        </w:rPr>
        <w:t>. The holder of each share of Series A Preferred Stock shall have the right to one vote for</w:t>
      </w:r>
      <w:r>
        <w:rPr>
          <w:rFonts w:ascii="Arial" w:cs="Arial" w:eastAsia="Arial" w:hAnsi="Arial"/>
          <w:sz w:val="21"/>
          <w:szCs w:val="21"/>
          <w:color w:val="auto"/>
        </w:rPr>
        <w:t xml:space="preserve"> </w:t>
      </w:r>
      <w:r>
        <w:rPr>
          <w:rFonts w:ascii="Arial" w:cs="Arial" w:eastAsia="Arial" w:hAnsi="Arial"/>
          <w:sz w:val="21"/>
          <w:szCs w:val="21"/>
          <w:color w:val="auto"/>
          <w:highlight w:val="white"/>
        </w:rPr>
        <w:t xml:space="preserve">each share of Common Stock into which such Series A Preferred Stock could then be converted (with any fractional share </w:t>
      </w:r>
      <w:r>
        <w:rPr>
          <w:rFonts w:ascii="Arial" w:cs="Arial" w:eastAsia="Arial" w:hAnsi="Arial"/>
          <w:sz w:val="21"/>
          <w:szCs w:val="21"/>
          <w:color w:val="auto"/>
        </w:rPr>
        <w:t xml:space="preserve">determined on an aggregate conversion basis being rounded to the nearest whole share), and with respect to such vote, such holder shall have full voting rights and powers equal to the voting rights and powers of the holders of Common Stock, and shall </w:t>
      </w:r>
      <w:r>
        <w:rPr>
          <w:rFonts w:ascii="Arial" w:cs="Arial" w:eastAsia="Arial" w:hAnsi="Arial"/>
          <w:sz w:val="21"/>
          <w:szCs w:val="21"/>
          <w:color w:val="auto"/>
          <w:highlight w:val="white"/>
        </w:rPr>
        <w:t>be entitled, notwithstanding any provision hereof, to notice of any shareholders’ meeting in accordance, with the by-laws of this corporation, and shall be entitled to vote, together with holders of Common Stock, with respect to any question upon which holders of Common Stock have the right to vote.</w:t>
      </w:r>
    </w:p>
    <w:p>
      <w:pPr>
        <w:spacing w:after="0" w:line="137" w:lineRule="exact"/>
        <w:rPr>
          <w:rFonts w:ascii="Arial" w:cs="Arial" w:eastAsia="Arial" w:hAnsi="Arial"/>
          <w:sz w:val="21"/>
          <w:szCs w:val="21"/>
          <w:color w:val="auto"/>
        </w:rPr>
      </w:pPr>
    </w:p>
    <w:p>
      <w:pPr>
        <w:jc w:val="both"/>
        <w:ind w:firstLine="1304"/>
        <w:spacing w:after="0" w:line="218" w:lineRule="auto"/>
        <w:tabs>
          <w:tab w:leader="none" w:pos="1921"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Status of Converted Stock</w:t>
      </w:r>
      <w:r>
        <w:rPr>
          <w:rFonts w:ascii="Arial" w:cs="Arial" w:eastAsia="Arial" w:hAnsi="Arial"/>
          <w:sz w:val="22"/>
          <w:szCs w:val="22"/>
          <w:color w:val="auto"/>
        </w:rPr>
        <w:t>. In the event any shares of Series A Preferred Stock shall be converted pursuant to Section 3 hereof, the shares so converted shall be cancelled and shall not be reissuable by the corporation, and the Articles of this corporation shall be appropriately amended to affect the corresponding reduction in the corporation’s authorized capital stock.</w:t>
      </w:r>
    </w:p>
    <w:p>
      <w:pPr>
        <w:spacing w:after="0" w:line="120" w:lineRule="exact"/>
        <w:rPr>
          <w:rFonts w:ascii="Arial" w:cs="Arial" w:eastAsia="Arial" w:hAnsi="Arial"/>
          <w:sz w:val="22"/>
          <w:szCs w:val="22"/>
          <w:color w:val="auto"/>
        </w:rPr>
      </w:pPr>
    </w:p>
    <w:p>
      <w:pPr>
        <w:jc w:val="both"/>
        <w:ind w:firstLine="1304"/>
        <w:spacing w:after="0" w:line="229" w:lineRule="auto"/>
        <w:tabs>
          <w:tab w:leader="none" w:pos="2043"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Optional Redemption</w:t>
      </w:r>
      <w:r>
        <w:rPr>
          <w:rFonts w:ascii="Arial" w:cs="Arial" w:eastAsia="Arial" w:hAnsi="Arial"/>
          <w:sz w:val="21"/>
          <w:szCs w:val="21"/>
          <w:color w:val="auto"/>
        </w:rPr>
        <w:t>. The Series A Preferred Stock may be called for redemption and redeemed at the option of the corporation by resolution of the Board of Directors, in whole at any time or in part at any time or from time to time, but in no event earlier than January 1, 1998, upon notice given to the record holders of any such shares, by the payment therefor of $11.00 per share of such Series A Preferred Stock, plus an amount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-2037080</wp:posOffset>
            </wp:positionV>
            <wp:extent cx="7123430" cy="28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2343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accrued and unpaid cumulative dividends thereon to the date fixed by the Board of Directors as the redemption date. The record holders of any such shares to be redeemed pursuant to this subsection (C)6 may convert, each such share (as well as any accrued and unpaid cumulative dividends thereon) pursuant to subsection (C)3 </w:t>
      </w:r>
      <w:r>
        <w:rPr>
          <w:rFonts w:ascii="Arial" w:cs="Arial" w:eastAsia="Arial" w:hAnsi="Arial"/>
          <w:sz w:val="22"/>
          <w:szCs w:val="22"/>
          <w:u w:val="single" w:color="auto"/>
          <w:color w:val="auto"/>
        </w:rPr>
        <w:t>Conversion</w:t>
      </w:r>
      <w:r>
        <w:rPr>
          <w:rFonts w:ascii="Arial" w:cs="Arial" w:eastAsia="Arial" w:hAnsi="Arial"/>
          <w:sz w:val="22"/>
          <w:szCs w:val="22"/>
          <w:color w:val="auto"/>
        </w:rPr>
        <w:t xml:space="preserve"> of Article 4 of the Articles of Incorporation at any time prior to the date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-295275</wp:posOffset>
            </wp:positionV>
            <wp:extent cx="258889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88895" cy="145415"/>
                    </a:xfrm>
                    <a:prstGeom prst="rect">
                      <a:avLst/>
                    </a:prstGeom>
                    <a:noFill/>
                  </pic:spPr>
                </pic:pic>
              </a:graphicData>
            </a:graphic>
          </wp:anchor>
        </w:drawing>
      </w:r>
    </w:p>
    <w:p>
      <w:pPr>
        <w:spacing w:after="0" w:line="100"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656"/>
        <w:spacing w:after="0" w:line="218" w:lineRule="auto"/>
        <w:tabs>
          <w:tab w:leader="none" w:pos="1327"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Dividend Rights</w:t>
      </w:r>
      <w:r>
        <w:rPr>
          <w:rFonts w:ascii="Arial" w:cs="Arial" w:eastAsia="Arial" w:hAnsi="Arial"/>
          <w:sz w:val="22"/>
          <w:szCs w:val="22"/>
          <w:color w:val="auto"/>
        </w:rPr>
        <w:t>. Subject to the prior rights of holders of all classes of stock at the time outstanding having prior rights as to dividends, the holders of the Common Stock shall be entitled to receive, when and as declared by the Board of Directors, out of any assets of the corporation legally available therefor, such dividends as may be declared from time to time by the Board of Directors.</w:t>
      </w:r>
    </w:p>
    <w:p>
      <w:pPr>
        <w:spacing w:after="0" w:line="120" w:lineRule="exact"/>
        <w:rPr>
          <w:rFonts w:ascii="Arial" w:cs="Arial" w:eastAsia="Arial" w:hAnsi="Arial"/>
          <w:sz w:val="22"/>
          <w:szCs w:val="22"/>
          <w:color w:val="auto"/>
        </w:rPr>
      </w:pPr>
    </w:p>
    <w:p>
      <w:pPr>
        <w:jc w:val="both"/>
        <w:ind w:firstLine="656"/>
        <w:spacing w:after="0" w:line="223" w:lineRule="auto"/>
        <w:tabs>
          <w:tab w:leader="none" w:pos="1395"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Liquidation Rights</w:t>
      </w:r>
      <w:r>
        <w:rPr>
          <w:rFonts w:ascii="Arial" w:cs="Arial" w:eastAsia="Arial" w:hAnsi="Arial"/>
          <w:sz w:val="22"/>
          <w:szCs w:val="22"/>
          <w:color w:val="auto"/>
        </w:rPr>
        <w:t>. Subject to the prior rights of holders of, all classes of stock at the time outstanding having prior rights as to liquidation, upon the liquidation, dissolution or winding up of the corporation, the assets of the corporation shall be distributed to the holders of Common Stock.</w:t>
      </w:r>
    </w:p>
    <w:p>
      <w:pPr>
        <w:spacing w:after="0" w:line="118" w:lineRule="exact"/>
        <w:rPr>
          <w:rFonts w:ascii="Arial" w:cs="Arial" w:eastAsia="Arial" w:hAnsi="Arial"/>
          <w:sz w:val="22"/>
          <w:szCs w:val="22"/>
          <w:color w:val="auto"/>
        </w:rPr>
      </w:pPr>
    </w:p>
    <w:p>
      <w:pPr>
        <w:ind w:left="1260" w:hanging="604"/>
        <w:spacing w:after="0"/>
        <w:tabs>
          <w:tab w:leader="none" w:pos="126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rPr>
        <w:t>. The Common Stock is not redeemable.</w:t>
      </w:r>
    </w:p>
    <w:p>
      <w:pPr>
        <w:spacing w:after="0" w:line="152" w:lineRule="exact"/>
        <w:rPr>
          <w:rFonts w:ascii="Arial" w:cs="Arial" w:eastAsia="Arial" w:hAnsi="Arial"/>
          <w:sz w:val="22"/>
          <w:szCs w:val="22"/>
          <w:color w:val="auto"/>
        </w:rPr>
      </w:pPr>
    </w:p>
    <w:p>
      <w:pPr>
        <w:jc w:val="both"/>
        <w:ind w:right="20" w:firstLine="656"/>
        <w:spacing w:after="0" w:line="223" w:lineRule="auto"/>
        <w:tabs>
          <w:tab w:leader="none" w:pos="1273"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highlight w:val="white"/>
        </w:rPr>
        <w:t>. The holder of each share of Common Stock shall have the right to one vote, and shall be entitled to</w:t>
      </w:r>
      <w:r>
        <w:rPr>
          <w:rFonts w:ascii="Arial" w:cs="Arial" w:eastAsia="Arial" w:hAnsi="Arial"/>
          <w:sz w:val="22"/>
          <w:szCs w:val="22"/>
          <w:color w:val="auto"/>
        </w:rPr>
        <w:t xml:space="preserve"> </w:t>
      </w:r>
      <w:r>
        <w:rPr>
          <w:rFonts w:ascii="Arial" w:cs="Arial" w:eastAsia="Arial" w:hAnsi="Arial"/>
          <w:sz w:val="22"/>
          <w:szCs w:val="22"/>
          <w:color w:val="auto"/>
          <w:highlight w:val="white"/>
        </w:rPr>
        <w:t>notice of any shareholders’ meeting in accordance with the by-laws of this corporation, and shall be entitled to vote upon such other matters and in such manner as may be provided by law.</w:t>
      </w:r>
    </w:p>
    <w:p>
      <w:pPr>
        <w:spacing w:after="0" w:line="118" w:lineRule="exact"/>
        <w:rPr>
          <w:rFonts w:ascii="Arial" w:cs="Arial" w:eastAsia="Arial" w:hAnsi="Arial"/>
          <w:sz w:val="22"/>
          <w:szCs w:val="22"/>
          <w:color w:val="auto"/>
        </w:rPr>
      </w:pPr>
    </w:p>
    <w:p>
      <w:pPr>
        <w:jc w:val="both"/>
        <w:ind w:firstLine="8"/>
        <w:spacing w:after="0" w:line="212" w:lineRule="auto"/>
        <w:tabs>
          <w:tab w:leader="none" w:pos="75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Uncertificated Shares</w:t>
      </w:r>
      <w:r>
        <w:rPr>
          <w:rFonts w:ascii="Arial" w:cs="Arial" w:eastAsia="Arial" w:hAnsi="Arial"/>
          <w:sz w:val="22"/>
          <w:szCs w:val="22"/>
          <w:color w:val="auto"/>
        </w:rPr>
        <w:t>. Any or all classes and series of shares of the corporation, or any part thereof, may be represented by uncertificated shares, except that the foregoing shall not apply to shares represented by a certificate until the certificate is surrendered to the corporation. Within a reasonable time after the issuance or transfer of uncertificated shares, the corporation shall send to the registered owner thereof a written notice containing the information required by applicable law to be set forth or stated on certificates. Except as otherwise expressly provided by law, the rights and obligations of the holders of shares represented by certificates and the rights and obligations of the holders of uncertificated shares of the same class and series shall be identical.</w:t>
      </w:r>
    </w:p>
    <w:p>
      <w:pPr>
        <w:spacing w:after="0" w:line="123" w:lineRule="exact"/>
        <w:rPr>
          <w:sz w:val="20"/>
          <w:szCs w:val="20"/>
          <w:color w:val="auto"/>
        </w:rPr>
      </w:pPr>
    </w:p>
    <w:p>
      <w:pPr>
        <w:ind w:left="620" w:hanging="612"/>
        <w:spacing w:after="0"/>
        <w:tabs>
          <w:tab w:leader="none" w:pos="6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date of its incorporation is January 16, 1992.</w:t>
      </w:r>
    </w:p>
    <w:p>
      <w:pPr>
        <w:spacing w:after="0" w:line="152" w:lineRule="exact"/>
        <w:rPr>
          <w:rFonts w:ascii="Arial" w:cs="Arial" w:eastAsia="Arial" w:hAnsi="Arial"/>
          <w:sz w:val="22"/>
          <w:szCs w:val="22"/>
          <w:color w:val="auto"/>
        </w:rPr>
      </w:pPr>
    </w:p>
    <w:p>
      <w:pPr>
        <w:ind w:right="20" w:firstLine="8"/>
        <w:spacing w:after="0" w:line="232" w:lineRule="auto"/>
        <w:tabs>
          <w:tab w:leader="none" w:pos="66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shareholders of the corporation shall not have the right to cumulate their votes for the election of the directors of the corporation.</w:t>
      </w:r>
    </w:p>
    <w:p>
      <w:pPr>
        <w:spacing w:after="0" w:line="293" w:lineRule="exact"/>
        <w:rPr>
          <w:rFonts w:ascii="Arial" w:cs="Arial" w:eastAsia="Arial" w:hAnsi="Arial"/>
          <w:sz w:val="22"/>
          <w:szCs w:val="22"/>
          <w:color w:val="auto"/>
        </w:rPr>
      </w:pPr>
    </w:p>
    <w:p>
      <w:pPr>
        <w:jc w:val="both"/>
        <w:ind w:firstLine="8"/>
        <w:spacing w:after="0" w:line="223" w:lineRule="auto"/>
        <w:tabs>
          <w:tab w:leader="none" w:pos="652"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following provisions of the Pennsylvania Business Corporation Law shall not apply to the corporation (in the case of clause (b) from and after the date that is 18 months following the 2020 annual meeting of shareholders [corresponding to November 21, 2021]):</w:t>
      </w:r>
    </w:p>
    <w:p>
      <w:pPr>
        <w:spacing w:after="0" w:line="293" w:lineRule="exact"/>
        <w:rPr>
          <w:rFonts w:ascii="Arial" w:cs="Arial" w:eastAsia="Arial" w:hAnsi="Arial"/>
          <w:sz w:val="22"/>
          <w:szCs w:val="22"/>
          <w:color w:val="auto"/>
        </w:rPr>
      </w:pPr>
    </w:p>
    <w:p>
      <w:pPr>
        <w:ind w:left="1400" w:hanging="744"/>
        <w:spacing w:after="0"/>
        <w:tabs>
          <w:tab w:leader="none" w:pos="14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Subchapter 25E, “Control Transactions”;</w:t>
      </w:r>
    </w:p>
    <w:p>
      <w:pPr>
        <w:spacing w:after="0" w:line="314" w:lineRule="exact"/>
        <w:rPr>
          <w:rFonts w:ascii="Arial" w:cs="Arial" w:eastAsia="Arial" w:hAnsi="Arial"/>
          <w:sz w:val="22"/>
          <w:szCs w:val="22"/>
          <w:color w:val="auto"/>
        </w:rPr>
      </w:pPr>
    </w:p>
    <w:p>
      <w:pPr>
        <w:ind w:left="1400" w:hanging="744"/>
        <w:spacing w:after="0"/>
        <w:tabs>
          <w:tab w:leader="none" w:pos="14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Subchapter 25F,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30"/>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4,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 Wayne Jackson,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31"/>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4,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06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2021 (the “Report”), I, Sean Feeney, Chief Executive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4,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2021 (the “Report”), I, R. Wayne Jackson, Chief Financial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4, 2022</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decimal"/>
      <w:start w:val="101"/>
    </w:lvl>
  </w:abstractNum>
  <w:abstractNum w:abstractNumId="15">
    <w:nsid w:val="8EDBDAB"/>
    <w:multiLevelType w:val="hybridMultilevel"/>
    <w:lvl w:ilvl="0">
      <w:lvlJc w:val="left"/>
      <w:lvlText w:val="%1"/>
      <w:numFmt w:val="decimal"/>
      <w:start w:val="104"/>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8">
    <w:nsid w:val="B03E0C6"/>
    <w:multiLevelType w:val="hybridMultilevel"/>
    <w:lvl w:ilvl="0">
      <w:lvlJc w:val="left"/>
      <w:lvlText w:val="%1."/>
      <w:numFmt w:val="decimal"/>
      <w:start w:val="2"/>
    </w:lvl>
    <w:lvl w:ilvl="1">
      <w:lvlJc w:val="left"/>
      <w:lvlText w:val="(%2)"/>
      <w:numFmt w:val="lowerLetter"/>
      <w:start w:val="1"/>
    </w:lvl>
  </w:abstractNum>
  <w:abstractNum w:abstractNumId="19">
    <w:nsid w:val="189A76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54E49EB4"/>
    <w:multiLevelType w:val="hybridMultilevel"/>
    <w:lvl w:ilvl="0">
      <w:lvlJc w:val="left"/>
      <w:lvlText w:val="(%1)"/>
      <w:numFmt w:val="upperLetter"/>
      <w:start w:val="2"/>
    </w:lvl>
    <w:lvl w:ilvl="1">
      <w:lvlJc w:val="left"/>
      <w:lvlText w:val="%2."/>
      <w:numFmt w:val="decimal"/>
      <w:start w:val="1"/>
    </w:lvl>
  </w:abstractNum>
  <w:abstractNum w:abstractNumId="21">
    <w:nsid w:val="71F3245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22">
    <w:nsid w:val="2CA8861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3">
    <w:nsid w:val="836C40E"/>
    <w:multiLevelType w:val="hybridMultilevel"/>
    <w:lvl w:ilvl="0">
      <w:lvlJc w:val="left"/>
      <w:lvlText w:val="%1"/>
      <w:numFmt w:val="lowerLetter"/>
      <w:start w:val="1"/>
    </w:lvl>
    <w:lvl w:ilvl="1">
      <w:lvlJc w:val="left"/>
      <w:lvlText w:val="(%2)"/>
      <w:numFmt w:val="lowerRoman"/>
      <w:start w:val="4"/>
    </w:lvl>
  </w:abstractNum>
  <w:abstractNum w:abstractNumId="24">
    <w:nsid w:val="2901D82"/>
    <w:multiLevelType w:val="hybridMultilevel"/>
    <w:lvl w:ilvl="0">
      <w:lvlJc w:val="left"/>
      <w:lvlText w:val="(%1)"/>
      <w:numFmt w:val="lowerLetter"/>
      <w:start w:val="3"/>
    </w:lvl>
    <w:lvl w:ilvl="1">
      <w:lvlJc w:val="left"/>
      <w:lvlText w:val="(%2)"/>
      <w:numFmt w:val="lowerRoman"/>
      <w:start w:val="1"/>
    </w:lvl>
  </w:abstractNum>
  <w:abstractNum w:abstractNumId="25">
    <w:nsid w:val="3A95F874"/>
    <w:multiLevelType w:val="hybridMultilevel"/>
    <w:lvl w:ilvl="0">
      <w:lvlJc w:val="left"/>
      <w:lvlText w:val="%1"/>
      <w:numFmt w:val="decimal"/>
      <w:start w:val="1"/>
    </w:lvl>
    <w:lvl w:ilvl="1">
      <w:lvlJc w:val="left"/>
      <w:lvlText w:val="(%2)"/>
      <w:numFmt w:val="lowerLetter"/>
      <w:start w:val="7"/>
    </w:lvl>
  </w:abstractNum>
  <w:abstractNum w:abstractNumId="26">
    <w:nsid w:val="8138641"/>
    <w:multiLevelType w:val="hybridMultilevel"/>
    <w:lvl w:ilvl="0">
      <w:lvlJc w:val="left"/>
      <w:lvlText w:val="%1."/>
      <w:numFmt w:val="decimal"/>
      <w:start w:val="4"/>
    </w:lvl>
    <w:lvl w:ilvl="1">
      <w:lvlJc w:val="left"/>
      <w:lvlText w:val="%2"/>
      <w:numFmt w:val="lowerLetter"/>
      <w:start w:val="1"/>
    </w:lvl>
  </w:abstractNum>
  <w:abstractNum w:abstractNumId="27">
    <w:nsid w:val="1E7FF521"/>
    <w:multiLevelType w:val="hybridMultilevel"/>
    <w:lvl w:ilvl="0">
      <w:lvlJc w:val="left"/>
      <w:lvlText w:val="(%1)"/>
      <w:numFmt w:val="upperLetter"/>
      <w:start w:val="4"/>
    </w:lvl>
    <w:lvl w:ilvl="1">
      <w:lvlJc w:val="left"/>
      <w:lvlText w:val="%2."/>
      <w:numFmt w:val="decimal"/>
      <w:start w:val="1"/>
    </w:lvl>
  </w:abstractNum>
  <w:abstractNum w:abstractNumId="28">
    <w:nsid w:val="7C3DBD3D"/>
    <w:multiLevelType w:val="hybridMultilevel"/>
    <w:lvl w:ilvl="0">
      <w:lvlJc w:val="left"/>
      <w:lvlText w:val="%1."/>
      <w:numFmt w:val="decimal"/>
      <w:start w:val="5"/>
    </w:lvl>
    <w:lvl w:ilvl="1">
      <w:lvlJc w:val="left"/>
      <w:lvlText w:val="(%2)"/>
      <w:numFmt w:val="upp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76" Type="http://schemas.openxmlformats.org/officeDocument/2006/relationships/hyperlink" Target="https://www.sec.gov/ix?doc=/Archives/edgar/data/0000896429/000091412121005445/p56531664-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2022-02-04T07:28:37Z</dcterms:created>
  <dcterms:modified xsi:type="dcterms:W3CDTF">2022-02-04T07:28:37Z</dcterms:modified>
</cp:coreProperties>
</file>