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 (d)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For the quarterly period ended March 31, 2025</w:t>
      </w:r>
      <w:r>
        <w:rPr>
          <w:color w:val="000000"/>
        </w:rPr>
        <w:t xml:space="preserve">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162" w:type="dxa"/>
        <w:jc w:val="left"/>
        <w:tblInd w:w="0" w:type="dxa"/>
        <w:tblLayout w:type="fixed"/>
        <w:tblCellMar>
          <w:top w:w="28" w:type="dxa"/>
          <w:left w:w="28" w:type="dxa"/>
          <w:bottom w:w="28" w:type="dxa"/>
          <w:right w:w="28" w:type="dxa"/>
        </w:tblCellMar>
      </w:tblPr>
      <w:tblGrid>
        <w:gridCol w:w="124"/>
        <w:gridCol w:w="109"/>
        <w:gridCol w:w="109"/>
        <w:gridCol w:w="2583"/>
        <w:gridCol w:w="2583"/>
        <w:gridCol w:w="3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 (d) OF THE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001-33365 </w:t>
      </w:r>
    </w:p>
    <w:p>
      <w:pPr>
        <w:pStyle w:val="TextBody"/>
        <w:bidi w:val="0"/>
        <w:spacing w:before="40" w:after="283"/>
        <w:jc w:val="center"/>
        <w:rPr/>
      </w:pPr>
      <w:r>
        <w:rPr/>
        <w:drawing>
          <wp:inline distT="0" distB="0" distL="0" distR="0">
            <wp:extent cx="1905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42925"/>
                    </a:xfrm>
                    <a:prstGeom prst="rect">
                      <a:avLst/>
                    </a:prstGeom>
                  </pic:spPr>
                </pic:pic>
              </a:graphicData>
            </a:graphic>
          </wp:inline>
        </w:drawing>
      </w:r>
      <w:bookmarkStart w:id="0" w:name="i-1"/>
      <w:bookmarkEnd w:id="0"/>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Cantaloupe,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9"/>
        <w:gridCol w:w="1579"/>
        <w:gridCol w:w="1587"/>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23-2679963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6414" w:type="dxa"/>
        <w:jc w:val="left"/>
        <w:tblInd w:w="0" w:type="dxa"/>
        <w:tblLayout w:type="fixed"/>
        <w:tblCellMar>
          <w:top w:w="28" w:type="dxa"/>
          <w:left w:w="28" w:type="dxa"/>
          <w:bottom w:w="28" w:type="dxa"/>
          <w:right w:w="28" w:type="dxa"/>
        </w:tblCellMar>
      </w:tblPr>
      <w:tblGrid>
        <w:gridCol w:w="542"/>
        <w:gridCol w:w="474"/>
        <w:gridCol w:w="474"/>
        <w:gridCol w:w="474"/>
        <w:gridCol w:w="474"/>
        <w:gridCol w:w="484"/>
        <w:gridCol w:w="294"/>
        <w:gridCol w:w="294"/>
        <w:gridCol w:w="296"/>
        <w:gridCol w:w="415"/>
        <w:gridCol w:w="415"/>
        <w:gridCol w:w="416"/>
        <w:gridCol w:w="109"/>
        <w:gridCol w:w="109"/>
        <w:gridCol w:w="109"/>
        <w:gridCol w:w="303"/>
        <w:gridCol w:w="303"/>
        <w:gridCol w:w="429"/>
      </w:tblGrid>
      <w:tr>
        <w:trPr/>
        <w:tc>
          <w:tcPr>
            <w:tcW w:w="54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101 Lindenwood Drive, Suite 405</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Malvern,</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19355</w:t>
            </w:r>
          </w:p>
        </w:tc>
      </w:tr>
      <w:tr>
        <w:trPr/>
        <w:tc>
          <w:tcPr>
            <w:tcW w:w="50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(610) 989-0340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958" w:type="dxa"/>
        <w:jc w:val="left"/>
        <w:tblInd w:w="0" w:type="dxa"/>
        <w:tblLayout w:type="fixed"/>
        <w:tblCellMar>
          <w:top w:w="28" w:type="dxa"/>
          <w:left w:w="28" w:type="dxa"/>
          <w:bottom w:w="28" w:type="dxa"/>
          <w:right w:w="28" w:type="dxa"/>
        </w:tblCellMar>
      </w:tblPr>
      <w:tblGrid>
        <w:gridCol w:w="793"/>
        <w:gridCol w:w="694"/>
        <w:gridCol w:w="703"/>
        <w:gridCol w:w="419"/>
        <w:gridCol w:w="419"/>
        <w:gridCol w:w="421"/>
        <w:gridCol w:w="1028"/>
        <w:gridCol w:w="1028"/>
        <w:gridCol w:w="1453"/>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no par value</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CTLP</w:t>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r>
        <w:rPr>
          <w:rFonts w:ascii="Arial Unicode MS;sans-serif" w:hAnsi="Arial Unicode MS;sans-serif"/>
          <w:b w:val="false"/>
          <w:color w:val="000000"/>
          <w:sz w:val="18"/>
        </w:rPr>
        <w:br/>
        <w:br/>
      </w:r>
      <w:r>
        <w:rPr>
          <w:rFonts w:ascii="Times New Roman;sans-serif" w:hAnsi="Times New Roman;sans-serif"/>
          <w:b w:val="false"/>
          <w:color w:val="000000"/>
          <w:sz w:val="20"/>
        </w:rPr>
        <w:t>As of May 2, 2025, there were 73,058,462 outstanding shares of Common Stock, no par value.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60"/>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before="0" w:after="0"/>
        <w:ind w:left="0" w:right="0" w:firstLine="1260"/>
        <w:jc w:val="center"/>
        <w:rPr/>
      </w:pPr>
      <w:r>
        <w:rPr/>
      </w:r>
    </w:p>
    <w:p>
      <w:pPr>
        <w:pStyle w:val="TextBody"/>
        <w:bidi w:val="0"/>
        <w:spacing w:lineRule="auto" w:line="288" w:before="0" w:after="0"/>
        <w:ind w:left="0" w:right="0" w:firstLine="126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286"/>
        <w:gridCol w:w="221"/>
        <w:gridCol w:w="221"/>
        <w:gridCol w:w="226"/>
        <w:gridCol w:w="221"/>
        <w:gridCol w:w="221"/>
        <w:gridCol w:w="2824"/>
        <w:gridCol w:w="2749"/>
        <w:gridCol w:w="2859"/>
        <w:gridCol w:w="109"/>
        <w:gridCol w:w="109"/>
        <w:gridCol w:w="159"/>
      </w:tblGrid>
      <w:tr>
        <w:trPr/>
        <w:tc>
          <w:tcPr>
            <w:tcW w:w="2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82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0">
              <w:r>
                <w:rPr>
                  <w:rStyle w:val="InternetLink"/>
                  <w:rFonts w:ascii="Times New Roman;sans-serif" w:hAnsi="Times New Roman;sans-serif"/>
                  <w:b/>
                  <w:color w:val="0000EE"/>
                  <w:sz w:val="20"/>
                  <w:u w:val="single"/>
                </w:rPr>
                <w:t>Part I - Financial Information</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3">
              <w:r>
                <w:rPr>
                  <w:rStyle w:val="InternetLink"/>
                  <w:rFonts w:ascii="Times New Roman;sans-serif" w:hAnsi="Times New Roman;sans-serif"/>
                  <w:b w:val="false"/>
                  <w:color w:val="0000EE"/>
                  <w:sz w:val="20"/>
                  <w:u w:val="single"/>
                </w:rPr>
                <w:t>Item</w:t>
              </w:r>
            </w:hyperlink>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3">
              <w:r>
                <w:rPr>
                  <w:rStyle w:val="InternetLink"/>
                  <w:rFonts w:ascii="Times New Roman;sans-serif" w:hAnsi="Times New Roman;sans-serif"/>
                  <w:b w:val="false"/>
                  <w:color w:val="0000FF"/>
                  <w:sz w:val="20"/>
                  <w:u w:val="single"/>
                </w:rPr>
                <w:t>1.</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3">
              <w:r>
                <w:rPr>
                  <w:rStyle w:val="InternetLink"/>
                  <w:rFonts w:ascii="Times New Roman;sans-serif" w:hAnsi="Times New Roman;sans-serif"/>
                  <w:b w:val="false"/>
                  <w:color w:val="0000FF"/>
                  <w:sz w:val="20"/>
                  <w:u w:val="single"/>
                </w:rPr>
                <w:t>Condensed Consolidated Financial Statements</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52ac4e9a8fb14448b72ad6d4d630d408_16">
              <w:r>
                <w:rPr>
                  <w:rStyle w:val="InternetLink"/>
                  <w:rFonts w:ascii="Times New Roman;sans-serif" w:hAnsi="Times New Roman;sans-serif"/>
                  <w:b w:val="false"/>
                  <w:color w:val="000080"/>
                  <w:sz w:val="20"/>
                  <w:u w:val="single"/>
                </w:rPr>
                <w:t xml:space="preserve">Condensed Consolidated Balance Sheets - </w:t>
              </w:r>
            </w:hyperlink>
            <w:hyperlink w:anchor="i52ac4e9a8fb14448b72ad6d4d630d408_16">
              <w:r>
                <w:rPr>
                  <w:rStyle w:val="InternetLink"/>
                  <w:rFonts w:ascii="Times New Roman;sans-serif" w:hAnsi="Times New Roman;sans-serif"/>
                  <w:b w:val="false"/>
                  <w:color w:val="000080"/>
                  <w:sz w:val="20"/>
                  <w:u w:val="single"/>
                </w:rPr>
                <w:t>March</w:t>
              </w:r>
            </w:hyperlink>
            <w:hyperlink w:anchor="i52ac4e9a8fb14448b72ad6d4d630d408_16">
              <w:r>
                <w:rPr>
                  <w:rStyle w:val="InternetLink"/>
                  <w:rFonts w:ascii="Times New Roman;sans-serif" w:hAnsi="Times New Roman;sans-serif"/>
                  <w:b w:val="false"/>
                  <w:color w:val="000080"/>
                  <w:sz w:val="20"/>
                  <w:u w:val="single"/>
                </w:rPr>
                <w:t xml:space="preserve"> 31, 202</w:t>
              </w:r>
            </w:hyperlink>
            <w:hyperlink w:anchor="i52ac4e9a8fb14448b72ad6d4d630d408_16">
              <w:r>
                <w:rPr>
                  <w:rStyle w:val="InternetLink"/>
                  <w:rFonts w:ascii="Times New Roman;sans-serif" w:hAnsi="Times New Roman;sans-serif"/>
                  <w:b w:val="false"/>
                  <w:color w:val="000080"/>
                  <w:sz w:val="20"/>
                  <w:u w:val="single"/>
                </w:rPr>
                <w:t>5</w:t>
              </w:r>
            </w:hyperlink>
            <w:hyperlink w:anchor="i52ac4e9a8fb14448b72ad6d4d630d408_16">
              <w:r>
                <w:rPr>
                  <w:rStyle w:val="InternetLink"/>
                  <w:rFonts w:ascii="Times New Roman;sans-serif" w:hAnsi="Times New Roman;sans-serif"/>
                  <w:b w:val="false"/>
                  <w:color w:val="000080"/>
                  <w:sz w:val="20"/>
                  <w:u w:val="single"/>
                </w:rPr>
                <w:t xml:space="preserve"> (unaudited) and June 30, 2024</w:t>
              </w:r>
            </w:hyperlink>
            <w:r>
              <w:rPr>
                <w:color w:val="000000"/>
              </w:rPr>
              <w:t xml:space="preserve">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6">
              <w:r>
                <w:rPr>
                  <w:rStyle w:val="InternetLink"/>
                  <w:rFonts w:ascii="Times New Roman;sans-serif" w:hAnsi="Times New Roman;sans-serif"/>
                  <w:b w:val="false"/>
                  <w:strike w:val="false"/>
                  <w:dstrike w:val="false"/>
                  <w:color w:val="000000"/>
                  <w:sz w:val="20"/>
                  <w:u w:val="none"/>
                  <w:effect w:val="none"/>
                </w:rPr>
                <w:t>3</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9">
              <w:r>
                <w:rPr>
                  <w:rStyle w:val="InternetLink"/>
                  <w:rFonts w:ascii="Times New Roman;sans-serif" w:hAnsi="Times New Roman;sans-serif"/>
                  <w:b w:val="false"/>
                  <w:color w:val="000080"/>
                  <w:sz w:val="20"/>
                  <w:u w:val="single"/>
                </w:rPr>
                <w:t xml:space="preserve">Condensed Consolidated Statements of Operations - Three and </w:t>
              </w:r>
            </w:hyperlink>
            <w:hyperlink w:anchor="i52ac4e9a8fb14448b72ad6d4d630d408_19">
              <w:r>
                <w:rPr>
                  <w:rStyle w:val="InternetLink"/>
                  <w:rFonts w:ascii="Times New Roman;sans-serif" w:hAnsi="Times New Roman;sans-serif"/>
                  <w:b w:val="false"/>
                  <w:color w:val="000080"/>
                  <w:sz w:val="20"/>
                  <w:u w:val="single"/>
                </w:rPr>
                <w:t>Nine</w:t>
              </w:r>
            </w:hyperlink>
            <w:hyperlink w:anchor="i52ac4e9a8fb14448b72ad6d4d630d408_19">
              <w:r>
                <w:rPr>
                  <w:rStyle w:val="InternetLink"/>
                  <w:rFonts w:ascii="Times New Roman;sans-serif" w:hAnsi="Times New Roman;sans-serif"/>
                  <w:b w:val="false"/>
                  <w:color w:val="000080"/>
                  <w:sz w:val="20"/>
                  <w:u w:val="single"/>
                </w:rPr>
                <w:t xml:space="preserve"> Months ended </w:t>
              </w:r>
            </w:hyperlink>
            <w:hyperlink w:anchor="i52ac4e9a8fb14448b72ad6d4d630d408_19">
              <w:r>
                <w:rPr>
                  <w:rStyle w:val="InternetLink"/>
                  <w:rFonts w:ascii="Times New Roman;sans-serif" w:hAnsi="Times New Roman;sans-serif"/>
                  <w:b w:val="false"/>
                  <w:color w:val="000080"/>
                  <w:sz w:val="20"/>
                  <w:u w:val="single"/>
                </w:rPr>
                <w:t>March</w:t>
              </w:r>
            </w:hyperlink>
            <w:hyperlink w:anchor="i52ac4e9a8fb14448b72ad6d4d630d408_19">
              <w:r>
                <w:rPr>
                  <w:rStyle w:val="InternetLink"/>
                  <w:rFonts w:ascii="Times New Roman;sans-serif" w:hAnsi="Times New Roman;sans-serif"/>
                  <w:b w:val="false"/>
                  <w:color w:val="000080"/>
                  <w:sz w:val="20"/>
                  <w:u w:val="single"/>
                </w:rPr>
                <w:t xml:space="preserve"> 31, 202</w:t>
              </w:r>
            </w:hyperlink>
            <w:hyperlink w:anchor="i52ac4e9a8fb14448b72ad6d4d630d408_19">
              <w:r>
                <w:rPr>
                  <w:rStyle w:val="InternetLink"/>
                  <w:rFonts w:ascii="Times New Roman;sans-serif" w:hAnsi="Times New Roman;sans-serif"/>
                  <w:b w:val="false"/>
                  <w:color w:val="000080"/>
                  <w:sz w:val="20"/>
                  <w:u w:val="single"/>
                </w:rPr>
                <w:t>5</w:t>
              </w:r>
            </w:hyperlink>
            <w:hyperlink w:anchor="i52ac4e9a8fb14448b72ad6d4d630d408_19">
              <w:r>
                <w:rPr>
                  <w:rStyle w:val="InternetLink"/>
                  <w:rFonts w:ascii="Times New Roman;sans-serif" w:hAnsi="Times New Roman;sans-serif"/>
                  <w:b w:val="false"/>
                  <w:color w:val="000080"/>
                  <w:sz w:val="20"/>
                  <w:u w:val="single"/>
                </w:rPr>
                <w:t xml:space="preserve"> and 202</w:t>
              </w:r>
            </w:hyperlink>
            <w:hyperlink w:anchor="i52ac4e9a8fb14448b72ad6d4d630d408_19">
              <w:r>
                <w:rPr>
                  <w:rStyle w:val="InternetLink"/>
                  <w:rFonts w:ascii="Times New Roman;sans-serif" w:hAnsi="Times New Roman;sans-serif"/>
                  <w:b w:val="false"/>
                  <w:color w:val="000080"/>
                  <w:sz w:val="20"/>
                  <w:u w:val="single"/>
                </w:rPr>
                <w:t>4</w:t>
              </w:r>
            </w:hyperlink>
            <w:hyperlink w:anchor="i52ac4e9a8fb14448b72ad6d4d630d408_19">
              <w:r>
                <w:rPr>
                  <w:rStyle w:val="InternetLink"/>
                  <w:rFonts w:ascii="Times New Roman;sans-serif" w:hAnsi="Times New Roman;sans-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9">
              <w:r>
                <w:rPr>
                  <w:rStyle w:val="InternetLink"/>
                  <w:rFonts w:ascii="Times New Roman;sans-serif" w:hAnsi="Times New Roman;sans-serif"/>
                  <w:b w:val="false"/>
                  <w:strike w:val="false"/>
                  <w:dstrike w:val="false"/>
                  <w:color w:val="000000"/>
                  <w:sz w:val="20"/>
                  <w:u w:val="none"/>
                  <w:effect w:val="none"/>
                </w:rPr>
                <w:t>4</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22">
              <w:r>
                <w:rPr>
                  <w:rStyle w:val="InternetLink"/>
                  <w:rFonts w:ascii="Times New Roman;sans-serif" w:hAnsi="Times New Roman;sans-serif"/>
                  <w:b w:val="false"/>
                  <w:color w:val="000080"/>
                  <w:sz w:val="20"/>
                  <w:u w:val="single"/>
                </w:rPr>
                <w:t xml:space="preserve">Condensed Consolidated Statements of Comprehensive Income - Three and </w:t>
              </w:r>
            </w:hyperlink>
            <w:hyperlink w:anchor="i52ac4e9a8fb14448b72ad6d4d630d408_22">
              <w:r>
                <w:rPr>
                  <w:rStyle w:val="InternetLink"/>
                  <w:rFonts w:ascii="Times New Roman;sans-serif" w:hAnsi="Times New Roman;sans-serif"/>
                  <w:b w:val="false"/>
                  <w:color w:val="000080"/>
                  <w:sz w:val="20"/>
                  <w:u w:val="single"/>
                </w:rPr>
                <w:t>Nine</w:t>
              </w:r>
            </w:hyperlink>
            <w:hyperlink w:anchor="i52ac4e9a8fb14448b72ad6d4d630d408_22">
              <w:r>
                <w:rPr>
                  <w:rStyle w:val="InternetLink"/>
                  <w:rFonts w:ascii="Times New Roman;sans-serif" w:hAnsi="Times New Roman;sans-serif"/>
                  <w:b w:val="false"/>
                  <w:color w:val="000080"/>
                  <w:sz w:val="20"/>
                  <w:u w:val="single"/>
                </w:rPr>
                <w:t xml:space="preserve"> Months ended </w:t>
              </w:r>
            </w:hyperlink>
            <w:hyperlink w:anchor="i52ac4e9a8fb14448b72ad6d4d630d408_22">
              <w:r>
                <w:rPr>
                  <w:rStyle w:val="InternetLink"/>
                  <w:rFonts w:ascii="Times New Roman;sans-serif" w:hAnsi="Times New Roman;sans-serif"/>
                  <w:b w:val="false"/>
                  <w:color w:val="000080"/>
                  <w:sz w:val="20"/>
                  <w:u w:val="single"/>
                </w:rPr>
                <w:t>March</w:t>
              </w:r>
            </w:hyperlink>
            <w:hyperlink w:anchor="i52ac4e9a8fb14448b72ad6d4d630d408_22">
              <w:r>
                <w:rPr>
                  <w:rStyle w:val="InternetLink"/>
                  <w:rFonts w:ascii="Times New Roman;sans-serif" w:hAnsi="Times New Roman;sans-serif"/>
                  <w:b w:val="false"/>
                  <w:color w:val="000080"/>
                  <w:sz w:val="20"/>
                  <w:u w:val="single"/>
                </w:rPr>
                <w:t xml:space="preserve"> 31, 202</w:t>
              </w:r>
            </w:hyperlink>
            <w:hyperlink w:anchor="i52ac4e9a8fb14448b72ad6d4d630d408_22">
              <w:r>
                <w:rPr>
                  <w:rStyle w:val="InternetLink"/>
                  <w:rFonts w:ascii="Times New Roman;sans-serif" w:hAnsi="Times New Roman;sans-serif"/>
                  <w:b w:val="false"/>
                  <w:color w:val="000080"/>
                  <w:sz w:val="20"/>
                  <w:u w:val="single"/>
                </w:rPr>
                <w:t>5</w:t>
              </w:r>
            </w:hyperlink>
            <w:hyperlink w:anchor="i52ac4e9a8fb14448b72ad6d4d630d408_22">
              <w:r>
                <w:rPr>
                  <w:rStyle w:val="InternetLink"/>
                  <w:rFonts w:ascii="Times New Roman;sans-serif" w:hAnsi="Times New Roman;sans-serif"/>
                  <w:b w:val="false"/>
                  <w:color w:val="000080"/>
                  <w:sz w:val="20"/>
                  <w:u w:val="single"/>
                </w:rPr>
                <w:t xml:space="preserve"> and 202</w:t>
              </w:r>
            </w:hyperlink>
            <w:hyperlink w:anchor="i52ac4e9a8fb14448b72ad6d4d630d408_22">
              <w:r>
                <w:rPr>
                  <w:rStyle w:val="InternetLink"/>
                  <w:rFonts w:ascii="Times New Roman;sans-serif" w:hAnsi="Times New Roman;sans-serif"/>
                  <w:b w:val="false"/>
                  <w:color w:val="000080"/>
                  <w:sz w:val="20"/>
                  <w:u w:val="single"/>
                </w:rPr>
                <w:t>4</w:t>
              </w:r>
            </w:hyperlink>
            <w:hyperlink w:anchor="i52ac4e9a8fb14448b72ad6d4d630d408_22">
              <w:r>
                <w:rPr>
                  <w:rStyle w:val="InternetLink"/>
                  <w:rFonts w:ascii="Times New Roman;sans-serif" w:hAnsi="Times New Roman;sans-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22">
              <w:r>
                <w:rPr>
                  <w:rStyle w:val="InternetLink"/>
                  <w:rFonts w:ascii="Times New Roman;sans-serif" w:hAnsi="Times New Roman;sans-serif"/>
                  <w:b w:val="false"/>
                  <w:strike w:val="false"/>
                  <w:dstrike w:val="false"/>
                  <w:color w:val="000000"/>
                  <w:sz w:val="20"/>
                  <w:u w:val="none"/>
                  <w:effect w:val="none"/>
                </w:rPr>
                <w:t>5</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25">
              <w:r>
                <w:rPr>
                  <w:rStyle w:val="InternetLink"/>
                  <w:rFonts w:ascii="Times New Roman;sans-serif" w:hAnsi="Times New Roman;sans-serif"/>
                  <w:b w:val="false"/>
                  <w:color w:val="000080"/>
                  <w:sz w:val="20"/>
                  <w:u w:val="single"/>
                </w:rPr>
                <w:t xml:space="preserve">Condensed Consolidated Statements of Convertible Preferred Stock and Shareholders’ Equity - Three and </w:t>
              </w:r>
            </w:hyperlink>
            <w:hyperlink w:anchor="i52ac4e9a8fb14448b72ad6d4d630d408_25">
              <w:r>
                <w:rPr>
                  <w:rStyle w:val="InternetLink"/>
                  <w:rFonts w:ascii="Times New Roman;sans-serif" w:hAnsi="Times New Roman;sans-serif"/>
                  <w:b w:val="false"/>
                  <w:color w:val="000080"/>
                  <w:sz w:val="20"/>
                  <w:u w:val="single"/>
                </w:rPr>
                <w:t>Nine</w:t>
              </w:r>
            </w:hyperlink>
            <w:hyperlink w:anchor="i52ac4e9a8fb14448b72ad6d4d630d408_25">
              <w:r>
                <w:rPr>
                  <w:rStyle w:val="InternetLink"/>
                  <w:rFonts w:ascii="Times New Roman;sans-serif" w:hAnsi="Times New Roman;sans-serif"/>
                  <w:b w:val="false"/>
                  <w:color w:val="000080"/>
                  <w:sz w:val="20"/>
                  <w:u w:val="single"/>
                </w:rPr>
                <w:t xml:space="preserve"> Months ended </w:t>
              </w:r>
            </w:hyperlink>
            <w:hyperlink w:anchor="i52ac4e9a8fb14448b72ad6d4d630d408_25">
              <w:r>
                <w:rPr>
                  <w:rStyle w:val="InternetLink"/>
                  <w:rFonts w:ascii="Times New Roman;sans-serif" w:hAnsi="Times New Roman;sans-serif"/>
                  <w:b w:val="false"/>
                  <w:color w:val="000080"/>
                  <w:sz w:val="20"/>
                  <w:u w:val="single"/>
                </w:rPr>
                <w:t>March</w:t>
              </w:r>
            </w:hyperlink>
            <w:hyperlink w:anchor="i52ac4e9a8fb14448b72ad6d4d630d408_25">
              <w:r>
                <w:rPr>
                  <w:rStyle w:val="InternetLink"/>
                  <w:rFonts w:ascii="Times New Roman;sans-serif" w:hAnsi="Times New Roman;sans-serif"/>
                  <w:b w:val="false"/>
                  <w:color w:val="000080"/>
                  <w:sz w:val="20"/>
                  <w:u w:val="single"/>
                </w:rPr>
                <w:t xml:space="preserve"> 31, 202</w:t>
              </w:r>
            </w:hyperlink>
            <w:hyperlink w:anchor="i52ac4e9a8fb14448b72ad6d4d630d408_25">
              <w:r>
                <w:rPr>
                  <w:rStyle w:val="InternetLink"/>
                  <w:rFonts w:ascii="Times New Roman;sans-serif" w:hAnsi="Times New Roman;sans-serif"/>
                  <w:b w:val="false"/>
                  <w:color w:val="000080"/>
                  <w:sz w:val="20"/>
                  <w:u w:val="single"/>
                </w:rPr>
                <w:t>5</w:t>
              </w:r>
            </w:hyperlink>
            <w:hyperlink w:anchor="i52ac4e9a8fb14448b72ad6d4d630d408_25">
              <w:r>
                <w:rPr>
                  <w:rStyle w:val="InternetLink"/>
                  <w:rFonts w:ascii="Times New Roman;sans-serif" w:hAnsi="Times New Roman;sans-serif"/>
                  <w:b w:val="false"/>
                  <w:color w:val="000080"/>
                  <w:sz w:val="20"/>
                  <w:u w:val="single"/>
                </w:rPr>
                <w:t xml:space="preserve"> and 202</w:t>
              </w:r>
            </w:hyperlink>
            <w:hyperlink w:anchor="i52ac4e9a8fb14448b72ad6d4d630d408_25">
              <w:r>
                <w:rPr>
                  <w:rStyle w:val="InternetLink"/>
                  <w:rFonts w:ascii="Times New Roman;sans-serif" w:hAnsi="Times New Roman;sans-serif"/>
                  <w:b w:val="false"/>
                  <w:color w:val="000080"/>
                  <w:sz w:val="20"/>
                  <w:u w:val="single"/>
                </w:rPr>
                <w:t>4</w:t>
              </w:r>
            </w:hyperlink>
            <w:hyperlink w:anchor="i52ac4e9a8fb14448b72ad6d4d630d408_25">
              <w:r>
                <w:rPr>
                  <w:rStyle w:val="InternetLink"/>
                  <w:rFonts w:ascii="Times New Roman;sans-serif" w:hAnsi="Times New Roman;sans-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25">
              <w:r>
                <w:rPr>
                  <w:rStyle w:val="InternetLink"/>
                  <w:rFonts w:ascii="Times New Roman;sans-serif" w:hAnsi="Times New Roman;sans-serif"/>
                  <w:b w:val="false"/>
                  <w:strike w:val="false"/>
                  <w:dstrike w:val="false"/>
                  <w:color w:val="000000"/>
                  <w:sz w:val="20"/>
                  <w:u w:val="none"/>
                  <w:effect w:val="none"/>
                </w:rPr>
                <w:t>6</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28">
              <w:r>
                <w:rPr>
                  <w:rStyle w:val="InternetLink"/>
                  <w:rFonts w:ascii="Times New Roman;sans-serif" w:hAnsi="Times New Roman;sans-serif"/>
                  <w:b w:val="false"/>
                  <w:color w:val="000080"/>
                  <w:sz w:val="20"/>
                  <w:u w:val="single"/>
                </w:rPr>
                <w:t xml:space="preserve">Condensed Consolidated Statements of Cash Flows - </w:t>
              </w:r>
            </w:hyperlink>
            <w:hyperlink w:anchor="i52ac4e9a8fb14448b72ad6d4d630d408_28">
              <w:r>
                <w:rPr>
                  <w:rStyle w:val="InternetLink"/>
                  <w:rFonts w:ascii="Times New Roman;sans-serif" w:hAnsi="Times New Roman;sans-serif"/>
                  <w:b w:val="false"/>
                  <w:color w:val="000080"/>
                  <w:sz w:val="20"/>
                  <w:u w:val="single"/>
                </w:rPr>
                <w:t>Nine</w:t>
              </w:r>
            </w:hyperlink>
            <w:hyperlink w:anchor="i52ac4e9a8fb14448b72ad6d4d630d408_28">
              <w:r>
                <w:rPr>
                  <w:rStyle w:val="InternetLink"/>
                  <w:rFonts w:ascii="Times New Roman;sans-serif" w:hAnsi="Times New Roman;sans-serif"/>
                  <w:b w:val="false"/>
                  <w:color w:val="000080"/>
                  <w:sz w:val="20"/>
                  <w:u w:val="single"/>
                </w:rPr>
                <w:t xml:space="preserve"> Months ended </w:t>
              </w:r>
            </w:hyperlink>
            <w:hyperlink w:anchor="i52ac4e9a8fb14448b72ad6d4d630d408_28">
              <w:r>
                <w:rPr>
                  <w:rStyle w:val="InternetLink"/>
                  <w:rFonts w:ascii="Times New Roman;sans-serif" w:hAnsi="Times New Roman;sans-serif"/>
                  <w:b w:val="false"/>
                  <w:color w:val="000080"/>
                  <w:sz w:val="20"/>
                  <w:u w:val="single"/>
                </w:rPr>
                <w:t>March</w:t>
              </w:r>
            </w:hyperlink>
            <w:hyperlink w:anchor="i52ac4e9a8fb14448b72ad6d4d630d408_28">
              <w:r>
                <w:rPr>
                  <w:rStyle w:val="InternetLink"/>
                  <w:rFonts w:ascii="Times New Roman;sans-serif" w:hAnsi="Times New Roman;sans-serif"/>
                  <w:b w:val="false"/>
                  <w:color w:val="000080"/>
                  <w:sz w:val="20"/>
                  <w:u w:val="single"/>
                </w:rPr>
                <w:t xml:space="preserve"> 31, 202</w:t>
              </w:r>
            </w:hyperlink>
            <w:hyperlink w:anchor="i52ac4e9a8fb14448b72ad6d4d630d408_28">
              <w:r>
                <w:rPr>
                  <w:rStyle w:val="InternetLink"/>
                  <w:rFonts w:ascii="Times New Roman;sans-serif" w:hAnsi="Times New Roman;sans-serif"/>
                  <w:b w:val="false"/>
                  <w:color w:val="000080"/>
                  <w:sz w:val="20"/>
                  <w:u w:val="single"/>
                </w:rPr>
                <w:t>5</w:t>
              </w:r>
            </w:hyperlink>
            <w:hyperlink w:anchor="i52ac4e9a8fb14448b72ad6d4d630d408_28">
              <w:r>
                <w:rPr>
                  <w:rStyle w:val="InternetLink"/>
                  <w:rFonts w:ascii="Times New Roman;sans-serif" w:hAnsi="Times New Roman;sans-serif"/>
                  <w:b w:val="false"/>
                  <w:color w:val="000080"/>
                  <w:sz w:val="20"/>
                  <w:u w:val="single"/>
                </w:rPr>
                <w:t xml:space="preserve"> and 202</w:t>
              </w:r>
            </w:hyperlink>
            <w:hyperlink w:anchor="i52ac4e9a8fb14448b72ad6d4d630d408_28">
              <w:r>
                <w:rPr>
                  <w:rStyle w:val="InternetLink"/>
                  <w:rFonts w:ascii="Times New Roman;sans-serif" w:hAnsi="Times New Roman;sans-serif"/>
                  <w:b w:val="false"/>
                  <w:color w:val="000080"/>
                  <w:sz w:val="20"/>
                  <w:u w:val="single"/>
                </w:rPr>
                <w:t>4</w:t>
              </w:r>
            </w:hyperlink>
            <w:hyperlink w:anchor="i52ac4e9a8fb14448b72ad6d4d630d408_28">
              <w:r>
                <w:rPr>
                  <w:rStyle w:val="InternetLink"/>
                  <w:rFonts w:ascii="Times New Roman;sans-serif" w:hAnsi="Times New Roman;sans-serif"/>
                  <w:b w:val="false"/>
                  <w:color w:val="000080"/>
                  <w:sz w:val="20"/>
                  <w:u w:val="single"/>
                </w:rPr>
                <w:t xml:space="preserve">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28">
              <w:r>
                <w:rPr>
                  <w:rStyle w:val="InternetLink"/>
                  <w:rFonts w:ascii="Times New Roman;sans-serif" w:hAnsi="Times New Roman;sans-serif"/>
                  <w:b w:val="false"/>
                  <w:strike w:val="false"/>
                  <w:dstrike w:val="false"/>
                  <w:color w:val="000000"/>
                  <w:sz w:val="20"/>
                  <w:u w:val="none"/>
                  <w:effect w:val="none"/>
                </w:rPr>
                <w:t>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31">
              <w:r>
                <w:rPr>
                  <w:rStyle w:val="InternetLink"/>
                  <w:rFonts w:ascii="Times New Roman;sans-serif" w:hAnsi="Times New Roman;sans-serif"/>
                  <w:b w:val="false"/>
                  <w:color w:val="0000FF"/>
                  <w:sz w:val="20"/>
                  <w:u w:val="single"/>
                </w:rPr>
                <w:t>Notes to Condensed Consolidated Financial Statements (unaudited)</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31">
              <w:r>
                <w:rPr>
                  <w:rStyle w:val="InternetLink"/>
                  <w:rFonts w:ascii="Times New Roman;sans-serif" w:hAnsi="Times New Roman;sans-serif"/>
                  <w:b w:val="false"/>
                  <w:strike w:val="false"/>
                  <w:dstrike w:val="false"/>
                  <w:color w:val="000000"/>
                  <w:sz w:val="20"/>
                  <w:u w:val="none"/>
                  <w:effect w:val="none"/>
                </w:rPr>
                <w:t>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85">
              <w:r>
                <w:rPr>
                  <w:rStyle w:val="InternetLink"/>
                  <w:rFonts w:ascii="Times New Roman;sans-serif" w:hAnsi="Times New Roman;sans-serif"/>
                  <w:b w:val="false"/>
                  <w:color w:val="0000FF"/>
                  <w:sz w:val="20"/>
                  <w:u w:val="single"/>
                </w:rPr>
                <w:t>2.</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85">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85">
              <w:r>
                <w:rPr>
                  <w:rStyle w:val="InternetLink"/>
                  <w:rFonts w:ascii="Times New Roman;sans-serif" w:hAnsi="Times New Roman;sans-serif"/>
                  <w:b w:val="false"/>
                  <w:strike w:val="false"/>
                  <w:dstrike w:val="false"/>
                  <w:color w:val="000000"/>
                  <w:sz w:val="20"/>
                  <w:u w:val="none"/>
                  <w:effect w:val="none"/>
                </w:rPr>
                <w:t>25</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03">
              <w:r>
                <w:rPr>
                  <w:rStyle w:val="InternetLink"/>
                  <w:rFonts w:ascii="Times New Roman;sans-serif" w:hAnsi="Times New Roman;sans-serif"/>
                  <w:b w:val="false"/>
                  <w:color w:val="0000FF"/>
                  <w:sz w:val="20"/>
                  <w:u w:val="single"/>
                </w:rPr>
                <w:t>3.</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03">
              <w:r>
                <w:rPr>
                  <w:rStyle w:val="InternetLink"/>
                  <w:rFonts w:ascii="Times New Roman;sans-serif" w:hAnsi="Times New Roman;sans-serif"/>
                  <w:b w:val="false"/>
                  <w:color w:val="0000EE"/>
                  <w:sz w:val="20"/>
                  <w:u w:val="single"/>
                </w:rPr>
                <w:t>Quantitative and Qualitative Disclosures About Market Risk</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03">
              <w:r>
                <w:rPr>
                  <w:rStyle w:val="InternetLink"/>
                  <w:rFonts w:ascii="Times New Roman;sans-serif" w:hAnsi="Times New Roman;sans-serif"/>
                  <w:b w:val="false"/>
                  <w:strike w:val="false"/>
                  <w:dstrike w:val="false"/>
                  <w:color w:val="000000"/>
                  <w:sz w:val="20"/>
                  <w:u w:val="none"/>
                  <w:effect w:val="none"/>
                </w:rPr>
                <w:t>37</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06">
              <w:r>
                <w:rPr>
                  <w:rStyle w:val="InternetLink"/>
                  <w:rFonts w:ascii="Times New Roman;sans-serif" w:hAnsi="Times New Roman;sans-serif"/>
                  <w:b w:val="false"/>
                  <w:color w:val="0000FF"/>
                  <w:sz w:val="20"/>
                  <w:u w:val="single"/>
                </w:rPr>
                <w:t>4.</w:t>
              </w:r>
            </w:hyperlink>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06">
              <w:r>
                <w:rPr>
                  <w:rStyle w:val="InternetLink"/>
                  <w:rFonts w:ascii="Times New Roman;sans-serif" w:hAnsi="Times New Roman;sans-serif"/>
                  <w:b w:val="false"/>
                  <w:color w:val="0000EE"/>
                  <w:sz w:val="20"/>
                  <w:u w:val="single"/>
                </w:rPr>
                <w:t>Controls and Procedures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06">
              <w:r>
                <w:rPr>
                  <w:rStyle w:val="InternetLink"/>
                  <w:rFonts w:ascii="Times New Roman;sans-serif" w:hAnsi="Times New Roman;sans-serif"/>
                  <w:b w:val="false"/>
                  <w:strike w:val="false"/>
                  <w:dstrike w:val="false"/>
                  <w:color w:val="000000"/>
                  <w:sz w:val="20"/>
                  <w:u w:val="none"/>
                  <w:effect w:val="none"/>
                </w:rPr>
                <w:t>37</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8" w:type="dxa"/>
            <w:gridSpan w:val="9"/>
            <w:tcBorders/>
            <w:tcMar>
              <w:top w:w="0" w:type="dxa"/>
              <w:left w:w="0" w:type="dxa"/>
              <w:bottom w:w="0" w:type="dxa"/>
              <w:right w:w="0" w:type="dxa"/>
            </w:tcMar>
            <w:vAlign w:val="center"/>
          </w:tcPr>
          <w:p>
            <w:pPr>
              <w:pStyle w:val="TableContents"/>
              <w:bidi w:val="0"/>
              <w:spacing w:lineRule="auto" w:line="240" w:before="0" w:after="0"/>
              <w:jc w:val="both"/>
              <w:rPr/>
            </w:pPr>
            <w:hyperlink w:anchor="i52ac4e9a8fb14448b72ad6d4d630d408_109">
              <w:r>
                <w:rPr>
                  <w:rStyle w:val="InternetLink"/>
                  <w:rFonts w:ascii="Times New Roman;sans-serif" w:hAnsi="Times New Roman;sans-serif"/>
                  <w:b/>
                  <w:color w:val="0000EE"/>
                  <w:sz w:val="20"/>
                  <w:u w:val="single"/>
                </w:rPr>
                <w:t>Part II - Other Information</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12">
              <w:r>
                <w:rPr>
                  <w:rStyle w:val="InternetLink"/>
                  <w:rFonts w:ascii="Times New Roman;sans-serif" w:hAnsi="Times New Roman;sans-serif"/>
                  <w:b w:val="false"/>
                  <w:color w:val="0000EE"/>
                  <w:sz w:val="20"/>
                  <w:u w:val="single"/>
                </w:rPr>
                <w:t>Item</w:t>
              </w:r>
            </w:hyperlink>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1.</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12">
              <w:r>
                <w:rPr>
                  <w:rStyle w:val="InternetLink"/>
                  <w:rFonts w:ascii="Times New Roman;sans-serif" w:hAnsi="Times New Roman;sans-serif"/>
                  <w:b w:val="false"/>
                  <w:color w:val="0000EE"/>
                  <w:sz w:val="20"/>
                  <w:u w:val="single"/>
                </w:rPr>
                <w:t>Legal Proceedings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12">
              <w:r>
                <w:rPr>
                  <w:rStyle w:val="InternetLink"/>
                  <w:rFonts w:ascii="Times New Roman;sans-serif" w:hAnsi="Times New Roman;sans-serif"/>
                  <w:b w:val="false"/>
                  <w:strike w:val="false"/>
                  <w:dstrike w:val="false"/>
                  <w:color w:val="000000"/>
                  <w:sz w:val="20"/>
                  <w:u w:val="none"/>
                  <w:effect w:val="none"/>
                </w:rPr>
                <w:t>38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1A.</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15">
              <w:r>
                <w:rPr>
                  <w:rStyle w:val="InternetLink"/>
                  <w:rFonts w:ascii="Times New Roman;sans-serif" w:hAnsi="Times New Roman;sans-serif"/>
                  <w:b w:val="false"/>
                  <w:color w:val="0000FF"/>
                  <w:sz w:val="20"/>
                  <w:u w:val="single"/>
                </w:rPr>
                <w:t>Risk Factors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15">
              <w:r>
                <w:rPr>
                  <w:rStyle w:val="InternetLink"/>
                  <w:rFonts w:ascii="Times New Roman;sans-serif" w:hAnsi="Times New Roman;sans-serif"/>
                  <w:b w:val="false"/>
                  <w:strike w:val="false"/>
                  <w:dstrike w:val="false"/>
                  <w:color w:val="000000"/>
                  <w:sz w:val="20"/>
                  <w:u w:val="none"/>
                  <w:effect w:val="none"/>
                </w:rPr>
                <w:t>38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2.</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18">
              <w:r>
                <w:rPr>
                  <w:rStyle w:val="InternetLink"/>
                  <w:rFonts w:ascii="Times New Roman;sans-serif" w:hAnsi="Times New Roman;sans-serif"/>
                  <w:b w:val="false"/>
                  <w:color w:val="0000FF"/>
                  <w:sz w:val="20"/>
                  <w:u w:val="single"/>
                </w:rPr>
                <w:t>Unregistered Sales of Equity Securities and Use of Proceeds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18">
              <w:r>
                <w:rPr>
                  <w:rStyle w:val="InternetLink"/>
                  <w:rFonts w:ascii="Times New Roman;sans-serif" w:hAnsi="Times New Roman;sans-serif"/>
                  <w:b w:val="false"/>
                  <w:strike w:val="false"/>
                  <w:dstrike w:val="false"/>
                  <w:color w:val="000000"/>
                  <w:sz w:val="20"/>
                  <w:u w:val="none"/>
                  <w:effect w:val="none"/>
                </w:rPr>
                <w:t>38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3.</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21">
              <w:r>
                <w:rPr>
                  <w:rStyle w:val="InternetLink"/>
                  <w:rFonts w:ascii="Times New Roman;sans-serif" w:hAnsi="Times New Roman;sans-serif"/>
                  <w:b w:val="false"/>
                  <w:color w:val="0000FF"/>
                  <w:sz w:val="20"/>
                  <w:u w:val="single"/>
                </w:rPr>
                <w:t>Defaults Upon Senior Securities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21">
              <w:r>
                <w:rPr>
                  <w:rStyle w:val="InternetLink"/>
                  <w:rFonts w:ascii="Times New Roman;sans-serif" w:hAnsi="Times New Roman;sans-serif"/>
                  <w:b w:val="false"/>
                  <w:strike w:val="false"/>
                  <w:dstrike w:val="false"/>
                  <w:color w:val="000000"/>
                  <w:sz w:val="20"/>
                  <w:u w:val="none"/>
                  <w:effect w:val="none"/>
                </w:rPr>
                <w:t>38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4.</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24">
              <w:r>
                <w:rPr>
                  <w:rStyle w:val="InternetLink"/>
                  <w:rFonts w:ascii="Times New Roman;sans-serif" w:hAnsi="Times New Roman;sans-serif"/>
                  <w:b w:val="false"/>
                  <w:color w:val="0000FF"/>
                  <w:sz w:val="20"/>
                  <w:u w:val="single"/>
                </w:rPr>
                <w:t>Mine Safety Disclosures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24">
              <w:r>
                <w:rPr>
                  <w:rStyle w:val="InternetLink"/>
                  <w:rFonts w:ascii="Times New Roman;sans-serif" w:hAnsi="Times New Roman;sans-serif"/>
                  <w:b w:val="false"/>
                  <w:strike w:val="false"/>
                  <w:dstrike w:val="false"/>
                  <w:color w:val="000000"/>
                  <w:sz w:val="20"/>
                  <w:u w:val="none"/>
                  <w:effect w:val="none"/>
                </w:rPr>
                <w:t>38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5.</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27">
              <w:r>
                <w:rPr>
                  <w:rStyle w:val="InternetLink"/>
                  <w:rFonts w:ascii="Times New Roman;sans-serif" w:hAnsi="Times New Roman;sans-serif"/>
                  <w:b w:val="false"/>
                  <w:color w:val="0000FF"/>
                  <w:sz w:val="20"/>
                  <w:u w:val="single"/>
                </w:rPr>
                <w:t>Other Information</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27">
              <w:r>
                <w:rPr>
                  <w:rStyle w:val="InternetLink"/>
                  <w:rFonts w:ascii="Times New Roman;sans-serif" w:hAnsi="Times New Roman;sans-serif"/>
                  <w:b w:val="false"/>
                  <w:strike w:val="false"/>
                  <w:dstrike w:val="false"/>
                  <w:color w:val="000000"/>
                  <w:sz w:val="20"/>
                  <w:u w:val="none"/>
                  <w:effect w:val="none"/>
                </w:rPr>
                <w:t>38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6.</w:t>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Exhibits</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30">
              <w:r>
                <w:rPr>
                  <w:rStyle w:val="InternetLink"/>
                  <w:rFonts w:ascii="Times New Roman;sans-serif" w:hAnsi="Times New Roman;sans-serif"/>
                  <w:b w:val="false"/>
                  <w:strike w:val="false"/>
                  <w:dstrike w:val="false"/>
                  <w:color w:val="000000"/>
                  <w:sz w:val="20"/>
                  <w:u w:val="none"/>
                  <w:effect w:val="none"/>
                </w:rPr>
                <w:t>39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2ac4e9a8fb14448b72ad6d4d630d408_133">
              <w:r>
                <w:rPr>
                  <w:rStyle w:val="InternetLink"/>
                  <w:rFonts w:ascii="Times New Roman;sans-serif" w:hAnsi="Times New Roman;sans-serif"/>
                  <w:b w:val="false"/>
                  <w:color w:val="0000EE"/>
                  <w:sz w:val="20"/>
                  <w:u w:val="single"/>
                </w:rPr>
                <w:t>Signatures</w:t>
              </w:r>
            </w:hyperlink>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c4e9a8fb14448b72ad6d4d630d408_133">
              <w:r>
                <w:rPr>
                  <w:rStyle w:val="InternetLink"/>
                  <w:rFonts w:ascii="Times New Roman;sans-serif" w:hAnsi="Times New Roman;sans-serif"/>
                  <w:b w:val="false"/>
                  <w:strike w:val="false"/>
                  <w:dstrike w:val="false"/>
                  <w:color w:val="000000"/>
                  <w:sz w:val="20"/>
                  <w:u w:val="none"/>
                  <w:effect w:val="non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800"/>
        <w:gridCol w:w="2180"/>
        <w:gridCol w:w="2189"/>
        <w:gridCol w:w="279"/>
        <w:gridCol w:w="1092"/>
        <w:gridCol w:w="143"/>
        <w:gridCol w:w="109"/>
        <w:gridCol w:w="109"/>
        <w:gridCol w:w="109"/>
        <w:gridCol w:w="211"/>
        <w:gridCol w:w="826"/>
        <w:gridCol w:w="158"/>
      </w:tblGrid>
      <w:tr>
        <w:trPr/>
        <w:tc>
          <w:tcPr>
            <w:tcW w:w="280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7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net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370,524 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335,568 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shareholders’ equity</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obligations under long-term debt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14)</w:t>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900,000 shares authorized, 385,782 and 385,782 issued and outstanding, with liquidation preferences of $23,301 and $22,722 at March 31, 2025 and June 30, 2024, respectively</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640,000,000 shares authorized, 73,040,575 and 72,935,497 shares issued and outstanding at March 31, 2025 and June 30, 2024, respectively</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Accumulated other comprehensive loss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convertible preferred stock, and shareholders’ equity</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370,524 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335,568 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3"/>
        <w:gridCol w:w="1426"/>
        <w:gridCol w:w="1428"/>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4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of sales (exclusive of certain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(benefits)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8741" w:type="dxa"/>
        <w:jc w:val="center"/>
        <w:tblInd w:w="0" w:type="dxa"/>
        <w:tblLayout w:type="fixed"/>
        <w:tblCellMar>
          <w:top w:w="28" w:type="dxa"/>
          <w:left w:w="28" w:type="dxa"/>
          <w:bottom w:w="28" w:type="dxa"/>
          <w:right w:w="28" w:type="dxa"/>
        </w:tblCellMar>
      </w:tblPr>
      <w:tblGrid>
        <w:gridCol w:w="1240"/>
        <w:gridCol w:w="1091"/>
        <w:gridCol w:w="1103"/>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Convertible Preferred Stock and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269"/>
        <w:gridCol w:w="806"/>
        <w:gridCol w:w="141"/>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73,034,575 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D9D9D9"/>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D9D9D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73,040,575 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368"/>
        <w:gridCol w:w="656"/>
        <w:gridCol w:w="192"/>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72,739,058 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72,799,266 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pStyle w:val="TextBody"/>
        <w:bidi w:val="0"/>
        <w:spacing w:before="100" w:after="283"/>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Convertible Preferred Stock and Shareholders’ Equity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March 31, 2025</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269"/>
        <w:gridCol w:w="806"/>
        <w:gridCol w:w="141"/>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72,935,497 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73,040,575 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Nine Months Ended March 31, 2024</w:t>
      </w:r>
    </w:p>
    <w:tbl>
      <w:tblPr>
        <w:tblW w:w="12969" w:type="dxa"/>
        <w:jc w:val="center"/>
        <w:tblInd w:w="0" w:type="dxa"/>
        <w:tblLayout w:type="fixed"/>
        <w:tblCellMar>
          <w:top w:w="28" w:type="dxa"/>
          <w:left w:w="28" w:type="dxa"/>
          <w:bottom w:w="28" w:type="dxa"/>
          <w:right w:w="28" w:type="dxa"/>
        </w:tblCellMar>
      </w:tblPr>
      <w:tblGrid>
        <w:gridCol w:w="786"/>
        <w:gridCol w:w="282"/>
        <w:gridCol w:w="283"/>
        <w:gridCol w:w="109"/>
        <w:gridCol w:w="109"/>
        <w:gridCol w:w="109"/>
        <w:gridCol w:w="413"/>
        <w:gridCol w:w="413"/>
        <w:gridCol w:w="196"/>
        <w:gridCol w:w="109"/>
        <w:gridCol w:w="109"/>
        <w:gridCol w:w="109"/>
        <w:gridCol w:w="211"/>
        <w:gridCol w:w="616"/>
        <w:gridCol w:w="109"/>
        <w:gridCol w:w="109"/>
        <w:gridCol w:w="109"/>
        <w:gridCol w:w="109"/>
        <w:gridCol w:w="109"/>
        <w:gridCol w:w="109"/>
        <w:gridCol w:w="109"/>
        <w:gridCol w:w="540"/>
        <w:gridCol w:w="541"/>
        <w:gridCol w:w="196"/>
        <w:gridCol w:w="109"/>
        <w:gridCol w:w="109"/>
        <w:gridCol w:w="109"/>
        <w:gridCol w:w="211"/>
        <w:gridCol w:w="406"/>
        <w:gridCol w:w="109"/>
        <w:gridCol w:w="109"/>
        <w:gridCol w:w="109"/>
        <w:gridCol w:w="109"/>
        <w:gridCol w:w="211"/>
        <w:gridCol w:w="826"/>
        <w:gridCol w:w="109"/>
        <w:gridCol w:w="109"/>
        <w:gridCol w:w="109"/>
        <w:gridCol w:w="109"/>
        <w:gridCol w:w="211"/>
        <w:gridCol w:w="841"/>
        <w:gridCol w:w="109"/>
        <w:gridCol w:w="109"/>
        <w:gridCol w:w="109"/>
        <w:gridCol w:w="109"/>
        <w:gridCol w:w="353"/>
        <w:gridCol w:w="680"/>
        <w:gridCol w:w="183"/>
        <w:gridCol w:w="109"/>
        <w:gridCol w:w="109"/>
        <w:gridCol w:w="109"/>
        <w:gridCol w:w="211"/>
        <w:gridCol w:w="82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72,664,464 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72,799,266 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73" w:type="dxa"/>
        <w:jc w:val="left"/>
        <w:tblInd w:w="0" w:type="dxa"/>
        <w:tblLayout w:type="fixed"/>
        <w:tblCellMar>
          <w:top w:w="28" w:type="dxa"/>
          <w:left w:w="28" w:type="dxa"/>
          <w:bottom w:w="28" w:type="dxa"/>
          <w:right w:w="28" w:type="dxa"/>
        </w:tblCellMar>
      </w:tblPr>
      <w:tblGrid>
        <w:gridCol w:w="2429"/>
        <w:gridCol w:w="2140"/>
        <w:gridCol w:w="2150"/>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businesses,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consideration on the acquisition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currency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and its consolidated subsidiaries are referred to herein collectively as "Cantaloupe," the "Company," "we," "our" or "us," unless the context requires otherwise.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 SUMMARY OF SIGNIFICANT ACCOUNTING POLICIES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Preparation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wholly-owned subsidiaries. All intercompany transactions and balances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have been prepared in accordance with generally accepted accounting principles in the United States of America ("U.S. GAAP")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2024 Annual Report on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legal entities are based in the United States, Mexico, Canada and the United Kingdom. The functional currencies of our foreign wholly-owned subsidiaries are the local currencies. We translate the financial statements of these subsidiaries into U.S. dollars each reporting period for purposes of consolidation.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financial statements in conformity with U.S. GAAP requires management to make estimates, assumptions and judgments that affect the amounts reported in the condensed consolidated financial statements and accompanying notes. The Company evaluates these estimates on an ongoing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Estimates, judgments, and assumptions in these condensed consolidated financial statements include, but are not limited to, those related to revenue recognition, capitalization of internal-use software and cloud computing arrangements, fair value of acquired assets and liabilities including goodwill through purchase accounting, income taxes and sales tax reserves. See the Company's Annual Report, </w:t>
      </w:r>
      <w:r>
        <w:rPr>
          <w:rFonts w:ascii="Times New Roman;sans-serif" w:hAnsi="Times New Roman;sans-serif"/>
          <w:b w:val="false"/>
          <w:i/>
          <w:color w:val="000000"/>
          <w:sz w:val="20"/>
        </w:rPr>
        <w:t>Item 7. Management's Discussion and Analysis of Financial Condition and Results of Operations, section Critical Accounting Estimates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which primarily consists of computer equipment and software and leased equipment, are recorded at either cost or, in the instance of an acquisition, the estimated fair value on the date of the acquisition, and are depreciated on a straight-line basis over the estimated useful lives of the related assets. Capitalized internal-use software is amortized on the straight-line basis over the estimated useful lives of the software. Leasehold improvements are amortized on the straight-line basis over the lesser of the estimated useful life of the asset or the respective lease term. Depreciation expense on our property and equipment, excluding property and equipment used for rentals, is included in Depreciation and amortization in the Condensed Consolidated Statements of Operations. Depreciation expense on our property and equipment used for rentals is included in Cost of subscription and transaction fees in the Consolidated Statements of Operations.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the Company determined that certain capitalized internal use software projects are no longer expected to provide future economic benefits as a result of changes in business strategy and evolving technology initiatives. As a result, the Company recognized additional charges of $3.0 million during the quarter ended March 31, 2025, within Depreciation and amortization in the Condensed Consolidated Statements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ASU 2023-09, Income Taxes (Topic 740): Improvements to Income Tax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2023, the FASB issued ASU 2023-09, which expands income tax disclosure requirements to include additional information related to the rate reconciliation of effective tax rates to statutory rates as well as additional disaggregation of taxes paid. The amendments in the ASU also remove disclosures related to certain unrecognized tax benefits and deferred taxes. ASU 2023-09 is effective for fiscal years beginning after December 15, 2024, which is the Company's fiscal year ended June 30, 2026. The amendments may be applied prospectively or retrospectively, and early adoption is permitted. We are currently assessing the impact of the requirements on our consolidated financial statements and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ASU 2023-07 Segment Reporting (Topic 280): Improvements to Reportable Segment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which is the Company's fiscal year ended June 30, 2025. Interim disclosures are required for periods within fiscal years beginning after December 15, 2024, which is the Company's fiscal year ended June 30, 2026. Retrospective application is required for all prior periods presented, and early adoption is permitted. We are currently assessing the impact of the requirements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ASU 2024-03 Disaggregation of Income Statement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2024, the FASB issued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periods within annual reporting periods beginning after December 15, 2027. The requirements will be applied prospectively with the option for retrospective application. The Company is currently evaluating the impact that the adoption of this accounting standard will have on its financial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No other new accounting pronouncements issued or effective during the period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have had or are expected to have a significant impact on the Company’s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ACCOUNTS RECEIVABLE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credit losses were </w:t>
      </w:r>
      <w:r>
        <w:rPr>
          <w:rFonts w:ascii="Times New Roman;sans-serif" w:hAnsi="Times New Roman;sans-serif"/>
          <w:b w:val="false"/>
          <w:color w:val="000000"/>
          <w:sz w:val="20"/>
          <w:shd w:fill="FFFFFF" w:val="clear"/>
        </w:rPr>
        <w:t>$33.9 million</w:t>
      </w:r>
      <w:r>
        <w:rPr>
          <w:color w:val="000000"/>
        </w:rPr>
        <w:t xml:space="preserve"> </w:t>
      </w:r>
      <w:r>
        <w:rPr>
          <w:rFonts w:ascii="Times New Roman;sans-serif" w:hAnsi="Times New Roman;sans-serif"/>
          <w:b w:val="false"/>
          <w:color w:val="000000"/>
          <w:sz w:val="20"/>
        </w:rPr>
        <w:t>as of March 31, 2025 and $43.8 million as of June 30, 2024. The change in accounts receivable, net of allowance for uncollectible accounts is primarily related to the timing of settlements associated with payment processors and overall cash collections.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rollforward of the allowance for credit losses for the nine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720"/>
        <w:jc w:val="left"/>
        <w:rPr/>
      </w:pPr>
      <w:r>
        <w:rPr/>
      </w:r>
    </w:p>
    <w:tbl>
      <w:tblPr>
        <w:tblW w:w="4761"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211"/>
        <w:gridCol w:w="721"/>
        <w:gridCol w:w="109"/>
        <w:gridCol w:w="109"/>
        <w:gridCol w:w="109"/>
        <w:gridCol w:w="109"/>
        <w:gridCol w:w="211"/>
        <w:gridCol w:w="72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19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FINANCE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finance receivables consist of devices under its financing program. Substantially all of the Company’s finance receivables agreements are classified as non-cancellable sixty-month sales-type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collects lease payments from customers primarily as part of the flow of funds from our transaction processing services. Balances are considered past due if customers do not have sufficient transaction revenue to cover the monthly lease payment by the end of the monthly billing period.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gross lease receivable by current payment performance on a contractual basis and year of origination consisted of the following:</w:t>
      </w:r>
    </w:p>
    <w:tbl>
      <w:tblPr>
        <w:tblW w:w="10205" w:type="dxa"/>
        <w:jc w:val="left"/>
        <w:tblInd w:w="0" w:type="dxa"/>
        <w:tblLayout w:type="fixed"/>
        <w:tblCellMar>
          <w:top w:w="28" w:type="dxa"/>
          <w:left w:w="28" w:type="dxa"/>
          <w:bottom w:w="28" w:type="dxa"/>
          <w:right w:w="28" w:type="dxa"/>
        </w:tblCellMar>
      </w:tblPr>
      <w:tblGrid>
        <w:gridCol w:w="511"/>
        <w:gridCol w:w="286"/>
        <w:gridCol w:w="288"/>
        <w:gridCol w:w="109"/>
        <w:gridCol w:w="109"/>
        <w:gridCol w:w="109"/>
        <w:gridCol w:w="215"/>
        <w:gridCol w:w="629"/>
        <w:gridCol w:w="111"/>
        <w:gridCol w:w="109"/>
        <w:gridCol w:w="109"/>
        <w:gridCol w:w="109"/>
        <w:gridCol w:w="222"/>
        <w:gridCol w:w="650"/>
        <w:gridCol w:w="115"/>
        <w:gridCol w:w="109"/>
        <w:gridCol w:w="109"/>
        <w:gridCol w:w="109"/>
        <w:gridCol w:w="222"/>
        <w:gridCol w:w="650"/>
        <w:gridCol w:w="115"/>
        <w:gridCol w:w="109"/>
        <w:gridCol w:w="109"/>
        <w:gridCol w:w="109"/>
        <w:gridCol w:w="222"/>
        <w:gridCol w:w="650"/>
        <w:gridCol w:w="115"/>
        <w:gridCol w:w="109"/>
        <w:gridCol w:w="109"/>
        <w:gridCol w:w="109"/>
        <w:gridCol w:w="226"/>
        <w:gridCol w:w="501"/>
        <w:gridCol w:w="117"/>
        <w:gridCol w:w="109"/>
        <w:gridCol w:w="109"/>
        <w:gridCol w:w="109"/>
        <w:gridCol w:w="219"/>
        <w:gridCol w:w="642"/>
        <w:gridCol w:w="113"/>
        <w:gridCol w:w="109"/>
        <w:gridCol w:w="109"/>
        <w:gridCol w:w="109"/>
        <w:gridCol w:w="211"/>
        <w:gridCol w:w="721"/>
        <w:gridCol w:w="165"/>
      </w:tblGrid>
      <w:tr>
        <w:trPr/>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Leases by Origination</w:t>
            </w:r>
          </w:p>
        </w:tc>
      </w:tr>
      <w:tr>
        <w:trPr/>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31 - 60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61 - 90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gross lease receivable by current payment performance on a contractual basis and year of origination consisted of the following:</w:t>
      </w:r>
    </w:p>
    <w:tbl>
      <w:tblPr>
        <w:tblW w:w="10205" w:type="dxa"/>
        <w:jc w:val="left"/>
        <w:tblInd w:w="0" w:type="dxa"/>
        <w:tblLayout w:type="fixed"/>
        <w:tblCellMar>
          <w:top w:w="28" w:type="dxa"/>
          <w:left w:w="28" w:type="dxa"/>
          <w:bottom w:w="28" w:type="dxa"/>
          <w:right w:w="28" w:type="dxa"/>
        </w:tblCellMar>
      </w:tblPr>
      <w:tblGrid>
        <w:gridCol w:w="511"/>
        <w:gridCol w:w="286"/>
        <w:gridCol w:w="288"/>
        <w:gridCol w:w="109"/>
        <w:gridCol w:w="109"/>
        <w:gridCol w:w="109"/>
        <w:gridCol w:w="215"/>
        <w:gridCol w:w="629"/>
        <w:gridCol w:w="111"/>
        <w:gridCol w:w="109"/>
        <w:gridCol w:w="109"/>
        <w:gridCol w:w="109"/>
        <w:gridCol w:w="222"/>
        <w:gridCol w:w="650"/>
        <w:gridCol w:w="115"/>
        <w:gridCol w:w="109"/>
        <w:gridCol w:w="109"/>
        <w:gridCol w:w="109"/>
        <w:gridCol w:w="222"/>
        <w:gridCol w:w="650"/>
        <w:gridCol w:w="115"/>
        <w:gridCol w:w="109"/>
        <w:gridCol w:w="109"/>
        <w:gridCol w:w="109"/>
        <w:gridCol w:w="222"/>
        <w:gridCol w:w="650"/>
        <w:gridCol w:w="115"/>
        <w:gridCol w:w="109"/>
        <w:gridCol w:w="109"/>
        <w:gridCol w:w="109"/>
        <w:gridCol w:w="226"/>
        <w:gridCol w:w="501"/>
        <w:gridCol w:w="117"/>
        <w:gridCol w:w="109"/>
        <w:gridCol w:w="109"/>
        <w:gridCol w:w="109"/>
        <w:gridCol w:w="219"/>
        <w:gridCol w:w="642"/>
        <w:gridCol w:w="113"/>
        <w:gridCol w:w="109"/>
        <w:gridCol w:w="109"/>
        <w:gridCol w:w="109"/>
        <w:gridCol w:w="211"/>
        <w:gridCol w:w="721"/>
        <w:gridCol w:w="165"/>
      </w:tblGrid>
      <w:tr>
        <w:trPr/>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Leases by Origination</w:t>
            </w:r>
          </w:p>
        </w:tc>
      </w:tr>
      <w:tr>
        <w:trPr/>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31 - 60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61 - 90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shd w:fill="FFFFFF" w:val="clear"/>
        </w:rPr>
        <w:t xml:space="preserve">The following table represents a rollforward of the allowance for finance receivables for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tbl>
      <w:tblPr>
        <w:tblW w:w="5109" w:type="dxa"/>
        <w:jc w:val="left"/>
        <w:tblInd w:w="0" w:type="dxa"/>
        <w:tblLayout w:type="fixed"/>
        <w:tblCellMar>
          <w:top w:w="28" w:type="dxa"/>
          <w:left w:w="28" w:type="dxa"/>
          <w:bottom w:w="28" w:type="dxa"/>
          <w:right w:w="28" w:type="dxa"/>
        </w:tblCellMar>
      </w:tblPr>
      <w:tblGrid>
        <w:gridCol w:w="895"/>
        <w:gridCol w:w="787"/>
        <w:gridCol w:w="792"/>
        <w:gridCol w:w="109"/>
        <w:gridCol w:w="109"/>
        <w:gridCol w:w="109"/>
        <w:gridCol w:w="217"/>
        <w:gridCol w:w="634"/>
        <w:gridCol w:w="112"/>
        <w:gridCol w:w="112"/>
        <w:gridCol w:w="112"/>
        <w:gridCol w:w="112"/>
        <w:gridCol w:w="217"/>
        <w:gridCol w:w="634"/>
        <w:gridCol w:w="158"/>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write-offs of finance receivables for the nine months ended March 31, 2025 and 2024.</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to be collected on our performing finance receivables due for each of the fiscal years is as follows:</w:t>
      </w:r>
    </w:p>
    <w:tbl>
      <w:tblPr>
        <w:tblW w:w="3801" w:type="dxa"/>
        <w:jc w:val="left"/>
        <w:tblInd w:w="0" w:type="dxa"/>
        <w:tblLayout w:type="fixed"/>
        <w:tblCellMar>
          <w:top w:w="28" w:type="dxa"/>
          <w:left w:w="28" w:type="dxa"/>
          <w:bottom w:w="28" w:type="dxa"/>
          <w:right w:w="28" w:type="dxa"/>
        </w:tblCellMar>
      </w:tblPr>
      <w:tblGrid>
        <w:gridCol w:w="982"/>
        <w:gridCol w:w="864"/>
        <w:gridCol w:w="869"/>
        <w:gridCol w:w="211"/>
        <w:gridCol w:w="721"/>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7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to be collected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which are real estate leases used for corporate functions, product development, sales, and other purposes. The following table provides supplemental balance sheet information related to the Company's operating leases:</w:t>
      </w:r>
    </w:p>
    <w:tbl>
      <w:tblPr>
        <w:tblW w:w="7593" w:type="dxa"/>
        <w:jc w:val="left"/>
        <w:tblInd w:w="0" w:type="dxa"/>
        <w:tblLayout w:type="fixed"/>
        <w:tblCellMar>
          <w:top w:w="28" w:type="dxa"/>
          <w:left w:w="28" w:type="dxa"/>
          <w:bottom w:w="28" w:type="dxa"/>
          <w:right w:w="28" w:type="dxa"/>
        </w:tblCellMar>
      </w:tblPr>
      <w:tblGrid>
        <w:gridCol w:w="662"/>
        <w:gridCol w:w="583"/>
        <w:gridCol w:w="585"/>
        <w:gridCol w:w="109"/>
        <w:gridCol w:w="109"/>
        <w:gridCol w:w="109"/>
        <w:gridCol w:w="954"/>
        <w:gridCol w:w="954"/>
        <w:gridCol w:w="957"/>
        <w:gridCol w:w="109"/>
        <w:gridCol w:w="109"/>
        <w:gridCol w:w="109"/>
        <w:gridCol w:w="211"/>
        <w:gridCol w:w="616"/>
        <w:gridCol w:w="109"/>
        <w:gridCol w:w="109"/>
        <w:gridCol w:w="109"/>
        <w:gridCol w:w="109"/>
        <w:gridCol w:w="211"/>
        <w:gridCol w:w="61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our leases are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720"/>
        <w:jc w:val="left"/>
        <w:rPr/>
      </w:pPr>
      <w:r>
        <w:rPr/>
      </w:r>
    </w:p>
    <w:tbl>
      <w:tblPr>
        <w:tblW w:w="8874" w:type="dxa"/>
        <w:jc w:val="left"/>
        <w:tblInd w:w="0" w:type="dxa"/>
        <w:tblLayout w:type="fixed"/>
        <w:tblCellMar>
          <w:top w:w="28" w:type="dxa"/>
          <w:left w:w="28" w:type="dxa"/>
          <w:bottom w:w="28" w:type="dxa"/>
          <w:right w:w="28" w:type="dxa"/>
        </w:tblCellMar>
      </w:tblPr>
      <w:tblGrid>
        <w:gridCol w:w="2395"/>
        <w:gridCol w:w="2109"/>
        <w:gridCol w:w="2126"/>
        <w:gridCol w:w="211"/>
        <w:gridCol w:w="616"/>
        <w:gridCol w:w="109"/>
        <w:gridCol w:w="109"/>
        <w:gridCol w:w="109"/>
        <w:gridCol w:w="109"/>
        <w:gridCol w:w="211"/>
        <w:gridCol w:w="616"/>
        <w:gridCol w:w="154"/>
      </w:tblGrid>
      <w:tr>
        <w:trPr/>
        <w:tc>
          <w:tcPr>
            <w:tcW w:w="23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March 31,</w:t>
            </w:r>
          </w:p>
        </w:tc>
      </w:tr>
      <w:tr>
        <w:trPr/>
        <w:tc>
          <w:tcPr>
            <w:tcW w:w="6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activity: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our leases as of March 31, 2025 are as follows:</w:t>
      </w:r>
    </w:p>
    <w:tbl>
      <w:tblPr>
        <w:tblW w:w="3666" w:type="dxa"/>
        <w:jc w:val="left"/>
        <w:tblInd w:w="0" w:type="dxa"/>
        <w:tblLayout w:type="fixed"/>
        <w:tblCellMar>
          <w:top w:w="28" w:type="dxa"/>
          <w:left w:w="28" w:type="dxa"/>
          <w:bottom w:w="28" w:type="dxa"/>
          <w:right w:w="28" w:type="dxa"/>
        </w:tblCellMar>
      </w:tblPr>
      <w:tblGrid>
        <w:gridCol w:w="971"/>
        <w:gridCol w:w="855"/>
        <w:gridCol w:w="85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for the Cantaloupe One operating lease rental program consisted of the following:</w:t>
      </w:r>
    </w:p>
    <w:tbl>
      <w:tblPr>
        <w:tblW w:w="5046"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11"/>
        <w:gridCol w:w="721"/>
        <w:gridCol w:w="109"/>
        <w:gridCol w:w="109"/>
        <w:gridCol w:w="109"/>
        <w:gridCol w:w="109"/>
        <w:gridCol w:w="211"/>
        <w:gridCol w:w="72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For the three months ended March 31, 2025 and 2024, the Company recognize</w:t>
      </w:r>
      <w:r>
        <w:rPr>
          <w:rFonts w:ascii="Times New Roman;sans-serif" w:hAnsi="Times New Roman;sans-serif"/>
          <w:b w:val="false"/>
          <w:color w:val="000000"/>
          <w:sz w:val="20"/>
          <w:shd w:fill="FFFFFF" w:val="clear"/>
        </w:rPr>
        <w:t xml:space="preserve">d $2.3 million and $2.1 million of revenue from its device rental program, respectively, which is included in the Subscription and Transaction fees on its Condensed Consolidated Statements of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For the nine months ended March 31, 2025 and 2024, the Company recognized $6.8 million and $6.1 million of revenue from its device rental program, respectively, which is included in the Subscription and Trans</w:t>
      </w:r>
      <w:r>
        <w:rPr>
          <w:rFonts w:ascii="Times New Roman;sans-serif" w:hAnsi="Times New Roman;sans-serif"/>
          <w:b w:val="false"/>
          <w:color w:val="000000"/>
          <w:sz w:val="20"/>
        </w:rPr>
        <w:t>action fees on its Condensed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net investment in sales-type leases (carrying value of lease receivables) and the future minimum amounts to be collected on these lease receivables as of March 31, 2025 are disclosed within </w:t>
      </w:r>
      <w:r>
        <w:rPr>
          <w:rFonts w:ascii="Times New Roman;sans-serif" w:hAnsi="Times New Roman;sans-serif"/>
          <w:b w:val="false"/>
          <w:i/>
          <w:color w:val="000000"/>
          <w:sz w:val="20"/>
        </w:rPr>
        <w:t>Note 4 - Finance Receivables</w:t>
      </w:r>
      <w:r>
        <w:rPr>
          <w:rFonts w:ascii="Times New Roman;sans-serif" w:hAnsi="Times New Roman;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DEBT AND OTHER FINANCING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and other financing arrangements as of March 31, 2025 and June 30, 2024 consisted of the following:</w:t>
      </w:r>
    </w:p>
    <w:tbl>
      <w:tblPr>
        <w:tblW w:w="7477" w:type="dxa"/>
        <w:jc w:val="center"/>
        <w:tblInd w:w="0" w:type="dxa"/>
        <w:tblLayout w:type="fixed"/>
        <w:tblCellMar>
          <w:top w:w="28" w:type="dxa"/>
          <w:left w:w="28" w:type="dxa"/>
          <w:bottom w:w="28" w:type="dxa"/>
          <w:right w:w="28" w:type="dxa"/>
        </w:tblCellMar>
      </w:tblPr>
      <w:tblGrid>
        <w:gridCol w:w="1578"/>
        <w:gridCol w:w="1390"/>
        <w:gridCol w:w="1396"/>
        <w:gridCol w:w="109"/>
        <w:gridCol w:w="109"/>
        <w:gridCol w:w="109"/>
        <w:gridCol w:w="258"/>
        <w:gridCol w:w="883"/>
        <w:gridCol w:w="133"/>
        <w:gridCol w:w="109"/>
        <w:gridCol w:w="109"/>
        <w:gridCol w:w="109"/>
        <w:gridCol w:w="230"/>
        <w:gridCol w:w="787"/>
        <w:gridCol w:w="168"/>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Credit Facility/2022 Amended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and other financing arrangements,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and other financing arrangements,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interest (income) expense, net on debt and tax liabilities presented on the condensed consolidated statements of operations are as follows:</w:t>
      </w:r>
    </w:p>
    <w:tbl>
      <w:tblPr>
        <w:tblW w:w="9912" w:type="dxa"/>
        <w:jc w:val="center"/>
        <w:tblInd w:w="0" w:type="dxa"/>
        <w:tblLayout w:type="fixed"/>
        <w:tblCellMar>
          <w:top w:w="28" w:type="dxa"/>
          <w:left w:w="28" w:type="dxa"/>
          <w:bottom w:w="28" w:type="dxa"/>
          <w:right w:w="28" w:type="dxa"/>
        </w:tblCellMar>
      </w:tblPr>
      <w:tblGrid>
        <w:gridCol w:w="1861"/>
        <w:gridCol w:w="1638"/>
        <w:gridCol w:w="1646"/>
        <w:gridCol w:w="109"/>
        <w:gridCol w:w="109"/>
        <w:gridCol w:w="109"/>
        <w:gridCol w:w="211"/>
        <w:gridCol w:w="361"/>
        <w:gridCol w:w="109"/>
        <w:gridCol w:w="109"/>
        <w:gridCol w:w="109"/>
        <w:gridCol w:w="109"/>
        <w:gridCol w:w="211"/>
        <w:gridCol w:w="541"/>
        <w:gridCol w:w="109"/>
        <w:gridCol w:w="109"/>
        <w:gridCol w:w="109"/>
        <w:gridCol w:w="109"/>
        <w:gridCol w:w="211"/>
        <w:gridCol w:w="616"/>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Credit Facility/JPMorgan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expense on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(income),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2025 Credit Facility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2025 (the "Closing Date"), the Company entered into a second amended and restated credit agreement (the “2025 Credit Facility”) among the Company, as the borrower, certain of its subsidiaries, as guarantors, and JPMorgan Chase Bank, N.A., as a lender and the administrative agent, and Capital One, National Association as a lender.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2025 Credit Facility provides for a $40 million secured term loan facility (the "2025 Term Loan Facility"), a $30 million secured revolving credit facility (the "2025 Revolving Facility") and a $30 million secured delayed draw term loan facility (the "Delayed Draw Term Loan Facility"). Proceeds from the 2025 Term Loan Facility were used to repay borrowings under the Company's 2022 Amended JPMorgan Credit Facility (described below), which had total remaining net borrowings of $37.3 million, inclusive of accrued interest on these facilities. The remaining proceeds from the 2025 Credit Facility were used to finance working capital needs and for general corporate purposes including permitted acquisitions and investments.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2025 Delayed Draw Facility is available for a period of up to 24 months following the Closing Date. The Company has not borrowed against the 2025 Revolving Facility or the Delayed Draw Term Loan Facility.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470, the Company evaluated the 2025 Credit Facility on a lender-by-lender basis. The Company accounted for the 2025 Term Loan Facility and 2025 Revolving Facility as debt modifications. As such, previously unamortized debt issuance costs will be amortized over the term of the new credit agreement. The Company paid $1.0 million in lender fees and legal expenses in connection with the execution of the 2025 Credit Facility.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Interest on the 2025 Credit Facility is based, at the Company’s option, on a base rate or SOFR plus an applicable margin tied to the Company’s total net leverage ratio and having ranges between 1.75% and 2.50% for base rate loans and between 2.75% to 3.50% for SOFR loans. The 2025 Revolving Facility also carries an unused commitment fee tied to the Company's total net leverage ratio between 0.25% to 0.40% per annum. In an event of default, the interest rate may be increased by 2.00%. As of March 31, 2025, the weighted average interest rate for the 2025 Credit Facility is approximatel</w:t>
      </w:r>
      <w:r>
        <w:rPr>
          <w:rFonts w:ascii="Times New Roman;sans-serif" w:hAnsi="Times New Roman;sans-serif"/>
          <w:b w:val="false"/>
          <w:color w:val="000000"/>
          <w:sz w:val="20"/>
          <w:shd w:fill="FFFFFF" w:val="clear"/>
        </w:rPr>
        <w:t>y 7.24%</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2025 Term Loan Facility, the 2025 Revolving Facility and the Delayed Draw Term Loan Facility all mature on January 31, 2030. Principal in respect of the 2025 Term Loan Facility is payable quarterly with 5.0% due in year one and year two, 7.5% due in year three and year 4, 10% due in year 5, and the remainder payable upon maturity. To the extent funded, principal in respect of the Delayed Draw Term Loan Facility will be payable on the same terms as the 2025 Term Loan Facility. Principal on 2025 Revolving Facility is due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2025 Credit Facility is unconditionally guaranteed, jointly and severally, by the Company’s material direct and indirect wholly-owned domestic subsidiaries (the “Guarantors”). All obligations of the Company and the Guarantors under the 2025 Credit Facility are secured by first priority security interests in substantially all of the assets of the Company and the Guarantors.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2025 Credit Facility includes customary representations, warranties and covenants, and acceleration, indemnity and events of default provisions, including, among other things, two financial covenants. The first financial covenant requires the Company to maintain a total leverage ratio of not more than 3.50 to 1.00 on the last day of any fiscal quarter. However, if a material acquisition occurs, the Company is required to maintain a total leverage ratio not greater than 4.00 to 1.00 on the last day of the fiscal quarter for the next four fiscal quarters following the material acquisition. The second financial covenant does not permit the Company to have a fixed charge coverage ratio of less than 1.15 to 1.00 for four consecutive fiscal quarters. The Company was in compliance with its financial covenants for the 2025 Credit Facility as of March 31, 2025.</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2022 Amended JPMorgan Credit Facility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2022, the Company entered into an amended and restated credit agreement with JPMorgan Chase Bank, N.A. which provides for a $15 million secured revolving credit facility (the “2022 Amended Revolving Facility”) and a $15 million secured term facility (the “2022 Amended Secured Term Facility” and together with the 2022 Amended Revolving Facility, the “2022 Amended JPMorgan Credit Facility”), and fully replaced our previous 2021 credit facility with JPMorgan Chase Bank, N.A.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2022, the Company entered into an amendment to the 2022 Amended JPMorgan Credit Facility, dated as of March 17, 2022, which, among other things, amended the definition of the Company’s EBITDA under the Credit Agreement. On December 1, 2022, the Company borrowed an additional $25 million under the 2022 Amended JPMorgan Credit Facility, including $15 million from the revolving credit facility and increased the term facility by $10 million to a total of $25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proceeds from the 2025 Term Loan Facility were used to repay borrowings under the 2022 Amended Credit JPMorgan Facility, which had total remaining net borrowings of $37.3 million, inclusive of accrued interest on the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2022 Amended JPMorgan Credit Facility was based, at the Company’s option, on a base rate or SOFR plus an applicable margin tied to the Company’s total leverage ratio and having ranges of between 2.50% and 3.00% for base rate loans and between 3.50% and 4.00% for SOFR loans. Subject to the occurrence of a material acquisition and the Company’s total leverage ratio exceeding 3.00 to 1.00, the interest rate on the loans may increase by 0.25%. In an event of default, the interest rate may be increased by 2.00%. The 2022 Amended JPMorgan Credit Facility also carried a commitment fee of 0.50% per annum on the unused portion.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2022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 The Company was in compliance with its financial covenants for the 2022 Amended JPMorgan Credit Facility until the 2025 Credit Facility modification. See above for the new financial covenants.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Expected Maturities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maturities for each fiscal year associated with the Company’s outstanding debt and other financing arrangements as of March 31, 2025,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720"/>
        <w:jc w:val="left"/>
        <w:rPr/>
      </w:pPr>
      <w:r>
        <w:rPr/>
      </w:r>
    </w:p>
    <w:tbl>
      <w:tblPr>
        <w:tblW w:w="3636" w:type="dxa"/>
        <w:jc w:val="center"/>
        <w:tblInd w:w="0" w:type="dxa"/>
        <w:tblLayout w:type="fixed"/>
        <w:tblCellMar>
          <w:top w:w="28" w:type="dxa"/>
          <w:left w:w="28" w:type="dxa"/>
          <w:bottom w:w="28" w:type="dxa"/>
          <w:right w:w="28" w:type="dxa"/>
        </w:tblCellMar>
      </w:tblPr>
      <w:tblGrid>
        <w:gridCol w:w="922"/>
        <w:gridCol w:w="812"/>
        <w:gridCol w:w="816"/>
        <w:gridCol w:w="211"/>
        <w:gridCol w:w="721"/>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amounts payable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as of March 31, 2025 and June 30, 2024:</w:t>
      </w:r>
    </w:p>
    <w:tbl>
      <w:tblPr>
        <w:tblW w:w="7568" w:type="dxa"/>
        <w:jc w:val="left"/>
        <w:tblInd w:w="0" w:type="dxa"/>
        <w:tblLayout w:type="fixed"/>
        <w:tblCellMar>
          <w:top w:w="28" w:type="dxa"/>
          <w:left w:w="28" w:type="dxa"/>
          <w:bottom w:w="28" w:type="dxa"/>
          <w:right w:w="28" w:type="dxa"/>
        </w:tblCellMar>
      </w:tblPr>
      <w:tblGrid>
        <w:gridCol w:w="1611"/>
        <w:gridCol w:w="1419"/>
        <w:gridCol w:w="1425"/>
        <w:gridCol w:w="109"/>
        <w:gridCol w:w="109"/>
        <w:gridCol w:w="109"/>
        <w:gridCol w:w="258"/>
        <w:gridCol w:w="883"/>
        <w:gridCol w:w="133"/>
        <w:gridCol w:w="109"/>
        <w:gridCol w:w="109"/>
        <w:gridCol w:w="109"/>
        <w:gridCol w:w="230"/>
        <w:gridCol w:w="787"/>
        <w:gridCol w:w="168"/>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withheld for acquisitions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100" w:after="283"/>
        <w:jc w:val="both"/>
        <w:rPr/>
      </w:pP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See</w:t>
      </w:r>
      <w:r>
        <w:rPr>
          <w:color w:val="000000"/>
        </w:rPr>
        <w:t xml:space="preserve"> </w:t>
      </w:r>
      <w:r>
        <w:rPr>
          <w:rFonts w:ascii="Times New Roman;sans-serif" w:hAnsi="Times New Roman;sans-serif"/>
          <w:b w:val="false"/>
          <w:i/>
          <w:color w:val="000000"/>
          <w:sz w:val="18"/>
        </w:rPr>
        <w:t>Note 9 - Acquisitions</w:t>
      </w:r>
      <w:r>
        <w:rPr>
          <w:color w:val="000000"/>
        </w:rPr>
        <w:t xml:space="preserve"> </w:t>
      </w:r>
      <w:r>
        <w:rPr>
          <w:rFonts w:ascii="Times New Roman;sans-serif" w:hAnsi="Times New Roman;sans-serif"/>
          <w:b w:val="false"/>
          <w:color w:val="000000"/>
          <w:sz w:val="18"/>
        </w:rPr>
        <w:t>for a description of the arrangements.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GOODWILL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 balances and goodwill consisted of the following:</w:t>
      </w:r>
    </w:p>
    <w:tbl>
      <w:tblPr>
        <w:tblW w:w="10205" w:type="dxa"/>
        <w:jc w:val="left"/>
        <w:tblInd w:w="0" w:type="dxa"/>
        <w:tblLayout w:type="fixed"/>
        <w:tblCellMar>
          <w:top w:w="28" w:type="dxa"/>
          <w:left w:w="28" w:type="dxa"/>
          <w:bottom w:w="28" w:type="dxa"/>
          <w:right w:w="28" w:type="dxa"/>
        </w:tblCellMar>
      </w:tblPr>
      <w:tblGrid>
        <w:gridCol w:w="704"/>
        <w:gridCol w:w="566"/>
        <w:gridCol w:w="568"/>
        <w:gridCol w:w="211"/>
        <w:gridCol w:w="826"/>
        <w:gridCol w:w="109"/>
        <w:gridCol w:w="109"/>
        <w:gridCol w:w="109"/>
        <w:gridCol w:w="109"/>
        <w:gridCol w:w="357"/>
        <w:gridCol w:w="1342"/>
        <w:gridCol w:w="184"/>
        <w:gridCol w:w="109"/>
        <w:gridCol w:w="109"/>
        <w:gridCol w:w="109"/>
        <w:gridCol w:w="211"/>
        <w:gridCol w:w="826"/>
        <w:gridCol w:w="109"/>
        <w:gridCol w:w="109"/>
        <w:gridCol w:w="109"/>
        <w:gridCol w:w="109"/>
        <w:gridCol w:w="939"/>
        <w:gridCol w:w="936"/>
        <w:gridCol w:w="1336"/>
      </w:tblGrid>
      <w:tr>
        <w:trPr/>
        <w:tc>
          <w:tcPr>
            <w:tcW w:w="70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Useful Life (Years)</w:t>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trade names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(29,198)</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bl>
    <w:tbl>
      <w:tblPr>
        <w:tblW w:w="10038" w:type="dxa"/>
        <w:jc w:val="left"/>
        <w:tblInd w:w="0" w:type="dxa"/>
        <w:tblLayout w:type="fixed"/>
        <w:tblCellMar>
          <w:top w:w="28" w:type="dxa"/>
          <w:left w:w="28" w:type="dxa"/>
          <w:bottom w:w="28" w:type="dxa"/>
          <w:right w:w="28" w:type="dxa"/>
        </w:tblCellMar>
      </w:tblPr>
      <w:tblGrid>
        <w:gridCol w:w="721"/>
        <w:gridCol w:w="636"/>
        <w:gridCol w:w="638"/>
        <w:gridCol w:w="211"/>
        <w:gridCol w:w="721"/>
        <w:gridCol w:w="109"/>
        <w:gridCol w:w="109"/>
        <w:gridCol w:w="109"/>
        <w:gridCol w:w="109"/>
        <w:gridCol w:w="391"/>
        <w:gridCol w:w="1477"/>
        <w:gridCol w:w="202"/>
        <w:gridCol w:w="109"/>
        <w:gridCol w:w="109"/>
        <w:gridCol w:w="109"/>
        <w:gridCol w:w="211"/>
        <w:gridCol w:w="721"/>
        <w:gridCol w:w="109"/>
        <w:gridCol w:w="109"/>
        <w:gridCol w:w="109"/>
        <w:gridCol w:w="109"/>
        <w:gridCol w:w="851"/>
        <w:gridCol w:w="851"/>
        <w:gridCol w:w="1208"/>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(Years)</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trade names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During the three and nine months ended March 31, 2025, the Company recogniz</w:t>
      </w:r>
      <w:r>
        <w:rPr>
          <w:rFonts w:ascii="Times New Roman;sans-serif" w:hAnsi="Times New Roman;sans-serif"/>
          <w:b w:val="false"/>
          <w:color w:val="000000"/>
          <w:sz w:val="20"/>
          <w:shd w:fill="FFFFFF" w:val="clear"/>
        </w:rPr>
        <w:t>ed $1.6 million and $4.4 million, re</w:t>
      </w:r>
      <w:r>
        <w:rPr>
          <w:rFonts w:ascii="Times New Roman;sans-serif" w:hAnsi="Times New Roman;sans-serif"/>
          <w:b w:val="false"/>
          <w:color w:val="000000"/>
          <w:sz w:val="20"/>
        </w:rPr>
        <w:t xml:space="preserve">spectively, in amortization expense related to intangible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March 31, 2024, the Company recognized $1.3 million and $4.3 million, respectively, in amortization expense related to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an annual goodwill impairment test during the fourth quarter and more frequently if events and circumstances indicate that the asset might be impaired. The Company has determined that there is one single reporting unit for purposes of testing goodwill for impairment. During the nine months ended March 31, 2025 and March 31, 2024, the Company did not recognize any impairment charges related to goodwill.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9. ACQUISITIONS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5, 2024, the Company acquired all of the equity interests of SB Software Limited ("SB Software"), a United Kingdom private limited company. SB Software is in the business of vending and coffee machine management in the United Kingdom. The acquisition enhances Cantaloupe’s operational capabilities and market reach in Europe.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2024, the Company acquired all of the equity interests of Cheq Lifestyle Technology, Inc. ("Cheq"). Cheq powers payments for numerous professional sports teams, entertainment venues and festival operators through its enterprise-grade payment devices and mobile ordering platform. The acquisition positions Cantaloupe for expansion into the large and rapidly growing sports, entertainment, and restaurant sectors with a comprehensive suite of self-service solutions.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Both acquisitions were accounted for as business combinations using the acquisition method of accounting. The purchase price of each acquired company was allocated between tangible and intangible assets acquired and liabilities assumed from the acquired businesses based on their estimated fair values using primarily Level 3 inputs under ASC Topic 820, "Fair Value Measurement", with the residual of the purchase price recorded as goodwill.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SB Software</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SB Software, the Company paid a purchase price of approximately $11.4 million which includes cash paid of $10.0 million and the estimated fair value of contingent consideration of $1.4 million. The acquisition was funded by the Company's cash on hand.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$1.4 million fair value of the contingent consideration represented the present value of up to $3.3 million in contingent consideration based on a Monte Carlo Simulation should SB Software achieve certain revenue growth targets as defined in the share purchase agreement. Should these targets be achieved, approximately $1.3 million, $1.0 million and $1.0 million, denominated in British Pounds, will be payable in September 2025, September 2026 and September 2027, respectively. Should the targets be achieved, the Company may choose to pay this contingent consideration in either cash or common stock valued based on the average stock price for the 10 trading days preceding the release of these shares.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recognized a $0.6 million gain due to the decrease in the fair value of the contingent consideration which was included in Integration and acquisition expenses on the Condensed Consolidated Statement of Operations. As of March 31, 2025 the fair value current and noncurrent portions of the fair value of the contingent consideration of $0.1 million and $0.6 million are included in Accrued expenses and Other non-current liabilities on the Condensed Consolidated Balance Sheet, respectively.</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 assigned to the assets acquired and liabilities assumed:</w:t>
      </w:r>
    </w:p>
    <w:p>
      <w:pPr>
        <w:pStyle w:val="TextBody"/>
        <w:bidi w:val="0"/>
        <w:spacing w:before="0" w:after="0"/>
        <w:jc w:val="both"/>
        <w:rPr/>
      </w:pPr>
      <w:r>
        <w:rPr/>
      </w:r>
    </w:p>
    <w:tbl>
      <w:tblPr>
        <w:tblW w:w="4776" w:type="dxa"/>
        <w:jc w:val="left"/>
        <w:tblInd w:w="0" w:type="dxa"/>
        <w:tblLayout w:type="fixed"/>
        <w:tblCellMar>
          <w:top w:w="28" w:type="dxa"/>
          <w:left w:w="28" w:type="dxa"/>
          <w:bottom w:w="28" w:type="dxa"/>
          <w:right w:w="28" w:type="dxa"/>
        </w:tblCellMar>
      </w:tblPr>
      <w:tblGrid>
        <w:gridCol w:w="1334"/>
        <w:gridCol w:w="1175"/>
        <w:gridCol w:w="1181"/>
        <w:gridCol w:w="211"/>
        <w:gridCol w:w="721"/>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considerations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estimated fair value of the identifiable intangible assets acquired with the assistance of third-party valuation consultants. Amounts allocated to identifiable intangible assets included $3.0 million related to developed technology, $0.2 million related to customer relationships, and $0.1 million related to trade names. The estimated fair value of the acquired developed technology was determined using a multi-period excess earnings method. The estimated fair value of the acquired customer relationships was determined using the distributor method which estimates the value using the cash flow impact in a scenario where the customer relationships are not in place. The estimated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 and trade names were 5, 3 and 3 years, respectively.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$7.8 million arising from the acquisition includes the expected synergies between SB Software and the Company. Goodwill, which is not deductible for income tax purposes, was assigned to the Company’s only reporting unit.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$0.3 million of integration and acquisition related costs that were expensed during the nine months ended March 31, 2025, which is offset with the previously described $0.6 million gain related to the adjusted fair value of contingent consideration. These net impact of these items are recorded within Integration and acquisition expenses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the purchase price is currently provisional and is subject to change over the remainder of the measurement period as the Company continues to evaluate and analyze the estimates and assumptions used in the valuation. For the quarter ended March 31, 2025, certain immaterial adjustments were made to the allocation of the purchase price. Pro forma financial information of the acquisition and revenue and net income since acquisition are not presented due to the immaterial impact of the financial results of SB Software in the Company's Condensed Consolidated Financial Statements.</w:t>
      </w:r>
    </w:p>
    <w:p>
      <w:pPr>
        <w:pStyle w:val="TextBody"/>
        <w:bidi w:val="0"/>
        <w:spacing w:lineRule="auto" w:line="276"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Cheq</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The Company acquired Cheq for</w:t>
      </w:r>
      <w:r>
        <w:rPr>
          <w:color w:val="000000"/>
        </w:rPr>
        <w:t xml:space="preserve"> </w:t>
      </w:r>
      <w:r>
        <w:rPr>
          <w:rFonts w:ascii="Times New Roman;sans-serif" w:hAnsi="Times New Roman;sans-serif"/>
          <w:b w:val="false"/>
          <w:color w:val="000000"/>
          <w:sz w:val="20"/>
        </w:rPr>
        <w:t>$4.5 million, including $1.1 million in accounts payable paid concurrently with the acquisition. The acquisition was funded by the Company's cash on hand. The original terms included $0.9 million in deferred cash consideration for net working capital and other post-closing adjustments. During the quarter ended March 31, 2025, the Company paid $0.7 million in deferred cash consideration, which was net of $0.2 million in other liabilities recognized as a measurement period adjustment.</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adjusted fair value assigned to the assets acquired and liabilities assumed:</w:t>
      </w:r>
    </w:p>
    <w:p>
      <w:pPr>
        <w:pStyle w:val="TextBody"/>
        <w:bidi w:val="0"/>
        <w:spacing w:before="0" w:after="0"/>
        <w:jc w:val="both"/>
        <w:rPr/>
      </w:pPr>
      <w:r>
        <w:rPr/>
      </w:r>
    </w:p>
    <w:tbl>
      <w:tblPr>
        <w:tblW w:w="4671" w:type="dxa"/>
        <w:jc w:val="left"/>
        <w:tblInd w:w="0" w:type="dxa"/>
        <w:tblLayout w:type="fixed"/>
        <w:tblCellMar>
          <w:top w:w="28" w:type="dxa"/>
          <w:left w:w="28" w:type="dxa"/>
          <w:bottom w:w="28" w:type="dxa"/>
          <w:right w:w="28" w:type="dxa"/>
        </w:tblCellMar>
      </w:tblPr>
      <w:tblGrid>
        <w:gridCol w:w="1334"/>
        <w:gridCol w:w="1175"/>
        <w:gridCol w:w="1181"/>
        <w:gridCol w:w="211"/>
        <w:gridCol w:w="616"/>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considerations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the fair value of the identifiable intangible assets acquired with the assistance of third-party valuation consultants. Amounts allocated to identifiable intangible assets included $1.4 million related to developed technology, $0.2 million related to customer relationships, and $0.2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royalties that a company would pay to license the trade name. The recognized intangible assets will be amortized on a straight-line basis over the estimated useful lives of the respective assets. The estimated useful lives for developed technology, customer relationships, trade names were 5, 3 and 3 years, respectively.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$2.0 million arising from the acquisition includes the expected synergies between Cheq and the Company. Goodwill, which is not deductible for income tax purposes, was assigned to the Company’s only reporting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above table represents the final allocation of the purchase price. For the quarter ended March 31, 2025, there were no measurement period adjustments other than other liabilities described above. Pro forma financial information of the acquisition and revenue and net income since acquisition are not presented due to the immaterial impact of the financial results of Cheq in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REVENUES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similar operational characteristics, the Company's revenues are disaggregated as follows: </w:t>
      </w:r>
    </w:p>
    <w:tbl>
      <w:tblPr>
        <w:tblW w:w="8613" w:type="dxa"/>
        <w:jc w:val="left"/>
        <w:tblInd w:w="0" w:type="dxa"/>
        <w:tblLayout w:type="fixed"/>
        <w:tblCellMar>
          <w:top w:w="28" w:type="dxa"/>
          <w:left w:w="28" w:type="dxa"/>
          <w:bottom w:w="28" w:type="dxa"/>
          <w:right w:w="28" w:type="dxa"/>
        </w:tblCellMar>
      </w:tblPr>
      <w:tblGrid>
        <w:gridCol w:w="1014"/>
        <w:gridCol w:w="892"/>
        <w:gridCol w:w="898"/>
        <w:gridCol w:w="109"/>
        <w:gridCol w:w="109"/>
        <w:gridCol w:w="135"/>
        <w:gridCol w:w="135"/>
        <w:gridCol w:w="261"/>
        <w:gridCol w:w="893"/>
        <w:gridCol w:w="135"/>
        <w:gridCol w:w="109"/>
        <w:gridCol w:w="109"/>
        <w:gridCol w:w="109"/>
        <w:gridCol w:w="211"/>
        <w:gridCol w:w="721"/>
        <w:gridCol w:w="109"/>
        <w:gridCol w:w="211"/>
        <w:gridCol w:w="826"/>
        <w:gridCol w:w="109"/>
        <w:gridCol w:w="109"/>
        <w:gridCol w:w="109"/>
        <w:gridCol w:w="109"/>
        <w:gridCol w:w="211"/>
        <w:gridCol w:w="82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 portion of the Company’s revenues relate to rental lease arrangements. The Company leases equipment to customers under the Cantaloupe One program which is accounted for as operating leases in accordance with ASC 842. Lease revenue is recognized on a straight-line basis over the term of the lease and is included in Subscription and transaction fees in the Consolidated Statement of Operations and Subscription fees in the table above. As described in </w:t>
      </w:r>
      <w:r>
        <w:rPr>
          <w:rFonts w:ascii="Times New Roman;sans-serif" w:hAnsi="Times New Roman;sans-serif"/>
          <w:b w:val="false"/>
          <w:i/>
          <w:color w:val="000000"/>
          <w:sz w:val="20"/>
        </w:rPr>
        <w:t>Note 4 - Finance Receivables</w:t>
      </w:r>
      <w:r>
        <w:rPr>
          <w:rFonts w:ascii="Times New Roman;sans-serif" w:hAnsi="Times New Roman;sans-serif"/>
          <w:b w:val="false"/>
          <w:color w:val="000000"/>
          <w:sz w:val="20"/>
        </w:rPr>
        <w:t>, the Company leases equipment under sales-type finance leases in accordance with ASC 842.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earned under ASC Topic 842 are as follows:</w:t>
      </w:r>
    </w:p>
    <w:tbl>
      <w:tblPr>
        <w:tblW w:w="7054" w:type="dxa"/>
        <w:jc w:val="left"/>
        <w:tblInd w:w="0" w:type="dxa"/>
        <w:tblLayout w:type="fixed"/>
        <w:tblCellMar>
          <w:top w:w="28" w:type="dxa"/>
          <w:left w:w="28" w:type="dxa"/>
          <w:bottom w:w="28" w:type="dxa"/>
          <w:right w:w="28" w:type="dxa"/>
        </w:tblCellMar>
      </w:tblPr>
      <w:tblGrid>
        <w:gridCol w:w="640"/>
        <w:gridCol w:w="564"/>
        <w:gridCol w:w="566"/>
        <w:gridCol w:w="109"/>
        <w:gridCol w:w="109"/>
        <w:gridCol w:w="147"/>
        <w:gridCol w:w="147"/>
        <w:gridCol w:w="285"/>
        <w:gridCol w:w="833"/>
        <w:gridCol w:w="147"/>
        <w:gridCol w:w="109"/>
        <w:gridCol w:w="109"/>
        <w:gridCol w:w="109"/>
        <w:gridCol w:w="211"/>
        <w:gridCol w:w="616"/>
        <w:gridCol w:w="109"/>
        <w:gridCol w:w="211"/>
        <w:gridCol w:w="616"/>
        <w:gridCol w:w="109"/>
        <w:gridCol w:w="109"/>
        <w:gridCol w:w="109"/>
        <w:gridCol w:w="109"/>
        <w:gridCol w:w="211"/>
        <w:gridCol w:w="61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Sales-type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Subscription and transaction fees in the Consolidated Statement of Operations and Subscription fees in the disaggregated revenue table above. Sales-type finance leases are included in Equipment sales in the Consolidated Statement of Operations and in the disaggregated revenue table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lineRule="auto" w:line="288" w:before="240" w:after="283"/>
        <w:jc w:val="both"/>
        <w:rPr/>
      </w:pPr>
      <w:r>
        <w:rPr>
          <w:rFonts w:ascii="Times New Roman;sans-serif" w:hAnsi="Times New Roman;sans-serif"/>
          <w:b w:val="false"/>
          <w:color w:val="000000"/>
          <w:sz w:val="20"/>
        </w:rPr>
        <w:t xml:space="preserve">Contract assets represent revenues earned from customers that are not yet billable to customers, generally due to the timing of when equipment and services are delivered to customers on bundled contracts, or as a result of contract costs as described below. Contract assets that will be billed within the next 12 months are included in Prepaid expenses and other current assets and all others are included in Other assets on the Condensed Consolidated Balance Sheets. Contract assets were </w:t>
      </w:r>
      <w:r>
        <w:rPr>
          <w:rFonts w:ascii="Times New Roman;sans-serif" w:hAnsi="Times New Roman;sans-serif"/>
          <w:b w:val="false"/>
          <w:color w:val="000000"/>
          <w:sz w:val="20"/>
          <w:shd w:fill="FFFFFF" w:val="clear"/>
        </w:rPr>
        <w:t xml:space="preserve">$2.2 </w:t>
      </w:r>
      <w:r>
        <w:rPr>
          <w:rFonts w:ascii="Times New Roman;sans-serif" w:hAnsi="Times New Roman;sans-serif"/>
          <w:b w:val="false"/>
          <w:color w:val="000000"/>
          <w:sz w:val="20"/>
        </w:rPr>
        <w:t>million and $2.6 million, as of March 31, 2025 and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contract liability balances, presented as Deferred revenue on the Condensed Consolidated Balance Sheets, is primarily the result of timing difference between the Company’s satisfaction of a performance obligation and payment from the customer.</w:t>
      </w:r>
    </w:p>
    <w:p>
      <w:pPr>
        <w:pStyle w:val="TextBody"/>
        <w:bidi w:val="0"/>
        <w:spacing w:lineRule="auto" w:line="288" w:before="3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liability (i.e., deferred revenue) balances are as follows:</w:t>
      </w:r>
    </w:p>
    <w:tbl>
      <w:tblPr>
        <w:tblW w:w="10205" w:type="dxa"/>
        <w:jc w:val="left"/>
        <w:tblInd w:w="0" w:type="dxa"/>
        <w:tblLayout w:type="fixed"/>
        <w:tblCellMar>
          <w:top w:w="28" w:type="dxa"/>
          <w:left w:w="28" w:type="dxa"/>
          <w:bottom w:w="28" w:type="dxa"/>
          <w:right w:w="28" w:type="dxa"/>
        </w:tblCellMar>
      </w:tblPr>
      <w:tblGrid>
        <w:gridCol w:w="2891"/>
        <w:gridCol w:w="2529"/>
        <w:gridCol w:w="2540"/>
        <w:gridCol w:w="211"/>
        <w:gridCol w:w="616"/>
        <w:gridCol w:w="109"/>
        <w:gridCol w:w="109"/>
        <w:gridCol w:w="109"/>
        <w:gridCol w:w="109"/>
        <w:gridCol w:w="211"/>
        <w:gridCol w:w="616"/>
        <w:gridCol w:w="155"/>
      </w:tblGrid>
      <w:tr>
        <w:trPr/>
        <w:tc>
          <w:tcPr>
            <w:tcW w:w="2891"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7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from amounts included in deferred revenue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(reversals)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891"/>
        <w:gridCol w:w="2529"/>
        <w:gridCol w:w="2540"/>
        <w:gridCol w:w="211"/>
        <w:gridCol w:w="616"/>
        <w:gridCol w:w="109"/>
        <w:gridCol w:w="109"/>
        <w:gridCol w:w="109"/>
        <w:gridCol w:w="109"/>
        <w:gridCol w:w="211"/>
        <w:gridCol w:w="616"/>
        <w:gridCol w:w="155"/>
      </w:tblGrid>
      <w:tr>
        <w:trPr/>
        <w:tc>
          <w:tcPr>
            <w:tcW w:w="2891"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March 31,</w:t>
            </w:r>
          </w:p>
        </w:tc>
      </w:tr>
      <w:tr>
        <w:trPr/>
        <w:tc>
          <w:tcPr>
            <w:tcW w:w="7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from amounts included in deferred revenue at the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Lessor Operating Lease Payment Receipts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March 31, 2025:</w:t>
      </w:r>
    </w:p>
    <w:tbl>
      <w:tblPr>
        <w:tblW w:w="4274" w:type="dxa"/>
        <w:jc w:val="left"/>
        <w:tblInd w:w="0" w:type="dxa"/>
        <w:tblLayout w:type="fixed"/>
        <w:tblCellMar>
          <w:top w:w="28" w:type="dxa"/>
          <w:left w:w="28" w:type="dxa"/>
          <w:bottom w:w="28" w:type="dxa"/>
          <w:right w:w="28" w:type="dxa"/>
        </w:tblCellMar>
      </w:tblPr>
      <w:tblGrid>
        <w:gridCol w:w="922"/>
        <w:gridCol w:w="812"/>
        <w:gridCol w:w="816"/>
        <w:gridCol w:w="371"/>
        <w:gridCol w:w="1083"/>
        <w:gridCol w:w="270"/>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2025</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had net capitalized costs to obtain contracts of</w:t>
      </w:r>
      <w:r>
        <w:rPr>
          <w:color w:val="000000"/>
          <w:shd w:fill="FFFFFF" w:val="clear"/>
        </w:rPr>
        <w:t xml:space="preserve"> </w:t>
      </w:r>
      <w:r>
        <w:rPr>
          <w:rFonts w:ascii="Times New Roman;sans-serif" w:hAnsi="Times New Roman;sans-serif"/>
          <w:b w:val="false"/>
          <w:color w:val="000000"/>
          <w:sz w:val="20"/>
          <w:shd w:fill="FFFFFF" w:val="clear"/>
        </w:rPr>
        <w:t xml:space="preserve">$1.0 million and </w:t>
      </w:r>
      <w:r>
        <w:rPr>
          <w:rFonts w:ascii="Times New Roman;sans-serif" w:hAnsi="Times New Roman;sans-serif"/>
          <w:b w:val="false"/>
          <w:color w:val="000000"/>
          <w:sz w:val="20"/>
        </w:rPr>
        <w:t xml:space="preserve">$0.9 million included in Prepaid expenses and other current assets and $2.6 million and $2.4 million included in Other noncurrent assets on the Condensed Consolidated Balance Sheets as of March 31, 2025 and June 30, 2024, respectively. None of these capitalized contract costs were impaired.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During the three and nine months ended March 31, 2025, amortization of capitalized contract costs was </w:t>
      </w:r>
      <w:r>
        <w:rPr>
          <w:rFonts w:ascii="Times New Roman;sans-serif" w:hAnsi="Times New Roman;sans-serif"/>
          <w:b w:val="false"/>
          <w:color w:val="000000"/>
          <w:sz w:val="20"/>
          <w:shd w:fill="FFFFFF" w:val="clear"/>
        </w:rPr>
        <w:t xml:space="preserve">$0.2 million </w:t>
      </w:r>
      <w:r>
        <w:rPr>
          <w:rFonts w:ascii="Times New Roman;sans-serif" w:hAnsi="Times New Roman;sans-serif"/>
          <w:b w:val="false"/>
          <w:color w:val="000000"/>
          <w:sz w:val="20"/>
        </w:rPr>
        <w:t>and $0.7 million, respectively. During the three and nine months ended March 31, 2024, amortization of capitalized contract costs was $0.2 million and $0.7 million, respectively. Amortization of costs to obtain a contract are included within Sales and marketing expenses within the Condensed Consolidated Statement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STOCK-BASED COMPENSATION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grant date fair value of the stock options with service conditions (i.e., a condition that requires an employee to render services to the Company for a stated period of time to vest)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during the nine months ended March 31, 2025 and 2024 were determined using the following assumptions and includes only options with an established grant date under ASC 718: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720"/>
        <w:jc w:val="left"/>
        <w:rPr/>
      </w:pPr>
      <w:r>
        <w:rPr/>
      </w:r>
    </w:p>
    <w:tbl>
      <w:tblPr>
        <w:tblW w:w="6579" w:type="dxa"/>
        <w:jc w:val="left"/>
        <w:tblInd w:w="0" w:type="dxa"/>
        <w:tblLayout w:type="fixed"/>
        <w:tblCellMar>
          <w:top w:w="28" w:type="dxa"/>
          <w:left w:w="28" w:type="dxa"/>
          <w:bottom w:w="28" w:type="dxa"/>
          <w:right w:w="28" w:type="dxa"/>
        </w:tblCellMar>
      </w:tblPr>
      <w:tblGrid>
        <w:gridCol w:w="1184"/>
        <w:gridCol w:w="1041"/>
        <w:gridCol w:w="1045"/>
        <w:gridCol w:w="109"/>
        <w:gridCol w:w="109"/>
        <w:gridCol w:w="109"/>
        <w:gridCol w:w="277"/>
        <w:gridCol w:w="672"/>
        <w:gridCol w:w="356"/>
        <w:gridCol w:w="109"/>
        <w:gridCol w:w="109"/>
        <w:gridCol w:w="109"/>
        <w:gridCol w:w="274"/>
        <w:gridCol w:w="665"/>
        <w:gridCol w:w="411"/>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49.5% - 50.5%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52.6% - 69.7%</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expected 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4.2 - 4.5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3.4% - 3.5%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 - 4.3%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options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stock options with an established grant date for the three months ended March 31, 2025 and 2024 was $0.2 million and $0.6 million, respectively. Stock-based compensation related to stock options with an established grant date for the nine months ended March 31, 2025 and 2024 was $0.9 million and $2.4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Stock Awards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has granted service based restricted stock awards to employees. The Company determines expense related to restricted stock awards using the closing stock price on the grant date and these awards are expensed under the accelerated attribution method over the vesting period which is typically a three-year service period. The total expense recognized for restricted stock awards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wa</w:t>
      </w:r>
      <w:r>
        <w:rPr>
          <w:rFonts w:ascii="Times New Roman;sans-serif" w:hAnsi="Times New Roman;sans-serif"/>
          <w:b w:val="false"/>
          <w:color w:val="000000"/>
          <w:sz w:val="20"/>
        </w:rPr>
        <w:t xml:space="preserve">s $0.4 million </w:t>
      </w:r>
      <w:r>
        <w:rPr>
          <w:rFonts w:ascii="Times New Roman;sans-serif" w:hAnsi="Times New Roman;sans-serif"/>
          <w:b w:val="false"/>
          <w:color w:val="000000"/>
          <w:sz w:val="20"/>
          <w:shd w:fill="FFFFFF" w:val="clear"/>
        </w:rPr>
        <w:t xml:space="preserve">and $0.5 million, respectively. The total expense recognized for restricted stock awards for both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and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wa</w:t>
      </w:r>
      <w:r>
        <w:rPr>
          <w:rFonts w:ascii="Times New Roman;sans-serif" w:hAnsi="Times New Roman;sans-serif"/>
          <w:b w:val="false"/>
          <w:color w:val="000000"/>
          <w:sz w:val="20"/>
        </w:rPr>
        <w:t>s $1.5 million and $1.6 million</w:t>
      </w:r>
      <w:r>
        <w:rPr>
          <w:rFonts w:ascii="Times New Roman;sans-serif" w:hAnsi="Times New Roman;sans-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has awarded performance stock awards to certain executives which vest each year over a three-year period. These stock awards are also subject to the achievement of performance goals established by the Company's Board of Directors each fiscal year.</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total expense recognized by the Company for these awards was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$0.2 million</w:t>
      </w:r>
      <w:r>
        <w:rPr>
          <w:rFonts w:ascii="Times New Roman;sans-serif" w:hAnsi="Times New Roman;sans-serif"/>
          <w:b w:val="false"/>
          <w:color w:val="000000"/>
          <w:sz w:val="20"/>
          <w:shd w:fill="FFFFFF" w:val="clear"/>
        </w:rPr>
        <w:t xml:space="preserve">. The total expense recognized for the </w:t>
      </w:r>
      <w:r>
        <w:rPr>
          <w:rFonts w:ascii="Times New Roman;sans-serif" w:hAnsi="Times New Roman;sans-serif"/>
          <w:b w:val="false"/>
          <w:color w:val="000000"/>
          <w:sz w:val="20"/>
        </w:rPr>
        <w:t>three months ended March 31, 2024 was immaterial on performance stock awards</w:t>
      </w:r>
      <w:r>
        <w:rPr>
          <w:rFonts w:ascii="Times New Roman;sans-serif" w:hAnsi="Times New Roman;sans-serif"/>
          <w:b w:val="false"/>
          <w:color w:val="000000"/>
          <w:sz w:val="20"/>
          <w:shd w:fill="FFFFFF" w:val="clear"/>
        </w:rPr>
        <w:t xml:space="preserve">. The total expense recognized on performance stock awards for the </w:t>
      </w:r>
      <w:r>
        <w:rPr>
          <w:rFonts w:ascii="Times New Roman;sans-serif" w:hAnsi="Times New Roman;sans-serif"/>
          <w:b w:val="false"/>
          <w:color w:val="000000"/>
          <w:sz w:val="20"/>
        </w:rPr>
        <w:t>nine months ended was $0.1 million.</w:t>
      </w:r>
      <w:r>
        <w:rPr>
          <w:color w:val="000000"/>
          <w:shd w:fill="FFFFFF" w:val="clear"/>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its interim period income tax provision using a forecasted estimated annual effective tax rate and adjusts for any discrete items arising during the interim period. The effective tax rate was negative for both the three and nine months ended March 31, 2025, due to the release of the valuation allowance described below. Excluding the impact of the valuation allowance release, the effective tax rate was 4.5% and 5.5% for the three and nine months ended March 31, 2025, respectively, and was based primarily on minimum state tax obligations.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The Company assesses the realizability of deferred tax assets by considering both positive and negative evidence including forecasts of future taxable income. As of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the Company concluded that it is more likely than not a portion of its deferred tax assets, primarily related to federal and state net operating loss carryforwards, will be realized. The Company therefore released $42.2 million of its valuation allowance associated with U.S. federal and certain state deferred tax assets. These U.S. federal and state deferred tax assets were created primarily as a result of net operating loss carryforwards from historical business operations. Key factors supporting the conclusion to release a portion of the valuation allowance in the third quarter included current fiscal year to date profitability, sustained cumulative profitability over the last three years and reasonable expectations of future period profitability both in the near and long term. These factors, amongst others, provided adequate positive evidence in the third quarter to support the conclusion that sufficient taxable income will be generated in the future and a portion of the valuation allowance is no longer warranted. The Company continues to maintain a valuation allowance associated with certain state net operating loss carryforwards due to state specific net operating loss utilization limitation rules.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the Company recorded an income tax benefit of $41.9 million and $41.3 million, respectively. The income tax benefit for the three and nine months ended March 31, 2025, relates to the $42.2 million valuation allowance release, offset by state income and deferred taxes related to goodwill amortization for tax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March 31, 2024, the Company recorded an income tax provision of $0.1 million and $0.2 million, respectively. The provisions for three and nine months ended March 31, 2024 primarily relates to state income and deferred taxes related to goodwill amortization for tax purposes. The provision was based upon actual income before income taxes for the nine months ended March 31, 2024, as this provided a more reliable estimate of the income tax provision than an estimated annual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 total unrecognized income tax benefit of $0.7 million and $0.7 million as of March 31, 2025 and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EARNINGS PER SHARE CALCULATION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earnings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per share is presented below:</w:t>
      </w:r>
    </w:p>
    <w:tbl>
      <w:tblPr>
        <w:tblW w:w="10205" w:type="dxa"/>
        <w:jc w:val="left"/>
        <w:tblInd w:w="0" w:type="dxa"/>
        <w:tblLayout w:type="fixed"/>
        <w:tblCellMar>
          <w:top w:w="28" w:type="dxa"/>
          <w:left w:w="28" w:type="dxa"/>
          <w:bottom w:w="28" w:type="dxa"/>
          <w:right w:w="28" w:type="dxa"/>
        </w:tblCellMar>
      </w:tblPr>
      <w:tblGrid>
        <w:gridCol w:w="2578"/>
        <w:gridCol w:w="2262"/>
        <w:gridCol w:w="2275"/>
        <w:gridCol w:w="109"/>
        <w:gridCol w:w="109"/>
        <w:gridCol w:w="109"/>
        <w:gridCol w:w="244"/>
        <w:gridCol w:w="837"/>
        <w:gridCol w:w="110"/>
        <w:gridCol w:w="110"/>
        <w:gridCol w:w="110"/>
        <w:gridCol w:w="110"/>
        <w:gridCol w:w="275"/>
        <w:gridCol w:w="806"/>
        <w:gridCol w:w="161"/>
      </w:tblGrid>
      <w:tr>
        <w:trPr/>
        <w:tc>
          <w:tcPr>
            <w:tcW w:w="2578"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share -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73,169,131 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72,851,498 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1,585,287 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share -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74,754,418 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74,068,437 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81"/>
        <w:gridCol w:w="2265"/>
        <w:gridCol w:w="2278"/>
        <w:gridCol w:w="109"/>
        <w:gridCol w:w="109"/>
        <w:gridCol w:w="109"/>
        <w:gridCol w:w="244"/>
        <w:gridCol w:w="837"/>
        <w:gridCol w:w="109"/>
        <w:gridCol w:w="109"/>
        <w:gridCol w:w="109"/>
        <w:gridCol w:w="109"/>
        <w:gridCol w:w="275"/>
        <w:gridCol w:w="806"/>
        <w:gridCol w:w="156"/>
      </w:tblGrid>
      <w:tr>
        <w:trPr/>
        <w:tc>
          <w:tcPr>
            <w:tcW w:w="2581"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7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share -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73,117,081 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72,770,582 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share -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74,519,951 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74,054,820 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anti-dilutive shares excluded from the calculation of diluted earnings per share were approximately 0.8 million and 1.0 million for the nine months ended March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 We do not expect any claims with a reasonably possible adverse outcome to have a material impact on us, and, accordingly, have not accrued for any material claims.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w:t>
      </w:r>
      <w:r>
        <w:rPr>
          <w:rFonts w:ascii="Times New Roman;sans-serif" w:hAnsi="Times New Roman;sans-serif"/>
          <w:b w:val="false"/>
          <w:color w:val="000000"/>
          <w:sz w:val="20"/>
          <w:shd w:fill="FFFFFF" w:val="clear"/>
        </w:rPr>
        <w:t xml:space="preserve">The total expense recognized within </w:t>
      </w:r>
      <w:r>
        <w:rPr>
          <w:rFonts w:ascii="Times New Roman;sans-serif" w:hAnsi="Times New Roman;sans-serif"/>
          <w:b w:val="false"/>
          <w:color w:val="000000"/>
          <w:sz w:val="20"/>
        </w:rPr>
        <w:t>General and administrative operating expenses</w:t>
      </w:r>
      <w:r>
        <w:rPr>
          <w:color w:val="000000"/>
          <w:shd w:fill="FFFFFF" w:val="clear"/>
        </w:rPr>
        <w:t xml:space="preserve"> </w:t>
      </w:r>
      <w:r>
        <w:rPr>
          <w:rFonts w:ascii="Times New Roman;sans-serif" w:hAnsi="Times New Roman;sans-serif"/>
          <w:b w:val="false"/>
          <w:color w:val="000000"/>
          <w:sz w:val="20"/>
          <w:shd w:fill="FFFFFF" w:val="clear"/>
        </w:rPr>
        <w:t>for these arrangements was</w:t>
      </w:r>
      <w:r>
        <w:rPr>
          <w:color w:val="000000"/>
        </w:rPr>
        <w:t xml:space="preserve"> </w:t>
      </w:r>
      <w:r>
        <w:rPr>
          <w:rFonts w:ascii="Times New Roman;sans-serif" w:hAnsi="Times New Roman;sans-serif"/>
          <w:b w:val="false"/>
          <w:color w:val="000000"/>
          <w:sz w:val="20"/>
        </w:rPr>
        <w:t xml:space="preserve">$0.1 million and $0.2 million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2025 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should be read in conjunction with the condensed consolidated financial statements and related notes included in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w:t>
        <w:noBreakHyphen/>
        <w:t>Q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market or business conditions unrelated to our operating performance, including inflation, elevated interest rates, supply chain disruptions, financial institution disruptions, geopolitical conflicts, public health emergencies, and declines in consumer confidence and discretionary spending;</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compete with our competitors and increase market share;</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failure to comply with the financial covenants in our debt facilities;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maintain compliance with rules and regulations applicable to our business operations and industry;</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disruptions in other card payment processors, software and manufacturing partners upon whom we rely;</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customers continue to utilize our transaction processing and related services, as our customer agreements are generally cancellable by the customer with thirty days’ notice;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acquire and develop relevant technology offerings for current, new and potential customers and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and uncertainties associated with our expansion into and our operations in Europe, Mexico and other foreign markets, including general economic conditions, policy changes affecting international trade (including the imposition of new tariffs by the presidential administration, or changes and adjustments to existing tariffs), political instability, inflation rates, recessions, sanctions, foreign currency exchange rates and controls, foreign investment and repatriation restrictions, legal and regulatory constraints, civil unrest, armed conflict, war, and other economic and political factors;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satisfy our trade obligations included in accounts payable and accrued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develop and retain key personnel, or our loss of the services of our key executives;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incurrence by us of any unanticipated or unusual non-operating expenses, which may require us to divert our cash resources from achieving our business plan;</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predict or estimate our future quarterly or annual revenue and expenses given the developing and unpredictable market for our products;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successfully integrate acquired companies into our current products and services structure;</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add new customers and retain key existing customers from whom a significant portion of our revenue is derived;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of a key customer to reduce or delay purchasing products from us;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obtain widespread commercial acceptance of our products and service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any patents issued to us will provide any competitive advantages or adequate protection for our products, or would be challenged, invalidated or circumvented by others;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of our products and services to avoid disruptions to our systems or unauthorized hacking or credit card fraud;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risks associated with cyber-attacks and data breaches;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maintain effective internal controls and to timely file periodic and current reports with the Securities and Exchange Commission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for the fiscal year ended June 30, 2024.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Quarterly Report speaks only as of the date of this Quarterly Report. Unless required by law, we undertake no obligation to publicly revise any forward-looking statement to reflect circumstances or events after the date of this Quarterly Report or to reflect the occurrence of unanticipated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(Nasdaq: CTLP) is organized under the laws of the Commonwealth of Pennsylvania. We are a global technology leader powering self-service commerce. Cantaloupe offers a comprehensive suite of solutions including micro-payment processing, self-checkout kiosks, mobile ordering, connected point-of-sale ("POS") systems, and enterprise cloud software. Handling more than a billion transactions annually, our solutions enhance operational efficiency and consumer engagement across sectors like food &amp; beverage markets, smart automated retail, hospitality, entertainment venues, laundromats and more. Committed to innovation, we aim to drive advancements in digital payments and business optimization, serving customers in the United States, United Kingdom, Mexico, European Union countries, Australia, and Canada.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streams consist of subscription, transaction processing and equipment sales. During the three and nine months ended March 31, 2025, we derived approximately 86% and 88%, respectively, from subscription and transaction fees, and 14% and 12%, respectively, from equipment sales. Our revenue streams consist of subscription, transaction processing and equipment sales. During the three and nine months ended March 31, 2024, we derived approximately 87% and 87%, respectively, from subscription and transaction fees, and 13% and 13%, respectively, from equipment sales.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Purchasing hardware directly from the Company or one of its authorized resellers;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Financing hardware under the Company’s financing</w:t>
      </w:r>
      <w:r>
        <w:rPr>
          <w:color w:val="000000"/>
          <w:shd w:fill="FFFFFF" w:val="clear"/>
        </w:rPr>
        <w:t xml:space="preserve"> </w:t>
      </w:r>
      <w:r>
        <w:rPr>
          <w:rFonts w:ascii="Times New Roman;sans-serif" w:hAnsi="Times New Roman;sans-serif"/>
          <w:b w:val="false"/>
          <w:color w:val="000000"/>
          <w:sz w:val="20"/>
          <w:shd w:fill="FFFFFF" w:val="clear"/>
        </w:rPr>
        <w:t>p</w:t>
      </w:r>
      <w:r>
        <w:rPr>
          <w:rFonts w:ascii="Times New Roman;sans-serif" w:hAnsi="Times New Roman;sans-serif"/>
          <w:b w:val="false"/>
          <w:color w:val="000000"/>
          <w:sz w:val="20"/>
        </w:rPr>
        <w:t>rogram, which are non-cancellable 60-month sales-type leases;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Renting devices under the Company’s Cantaloupe One program, which are typically 36-months duration agreements.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Key Developments during the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Highlights of the Company for the fiscal quarter ended March 31, 2025 are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January 2025, we amended our outstanding credit facilities and entered into the 2025 Credit Facility. The 2025 Credit Facility provides for a $40 million secured term loan facility, a $30 million secured revolving credit, and a $30 million secured delayed draw term loan facility, taking our total borrowing capacity to $100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January 2025, we launched Engage Pulse card readers for the arcade and amusement industry, which are designed to maximize revenue potential through a ladder pricing interface that allows players to pay once and then enjoy multiple plays. This feature enables the Engage Pulse to deliver a seamless consumer payment experience while increasing revenue for arcade and amusement operators.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February 2025, we collaborated with Fundbox to launch Cantaloupe Capital, which provides small businesses with streamlined access to capital for expansion through equipment investments and flexible access to cash flow.</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As of March 31, 2025, we have 375 full-time employees in the United States, United Kingdom, and Mexico and offices in Malvern, Pennsylvania; Atlanta, Georgia; River Falls, Wisconsin; Seattle, Washington; Birmingham and Sheffield, United Kingdom; and Mexico City,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following discussion should be read in conjunction with the condensed consolidated financial statements and related notes included in this Quarterly Report</w:t>
      </w:r>
      <w:r>
        <w:rPr>
          <w:rFonts w:ascii="Times New Roman;sans-serif" w:hAnsi="Times New Roman;sans-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Metrics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certain operating metrics (Active Devices, Active Customers, Total Number of Transactions and Total Dollar Volume of Transactions, and Average Revenue Per Unit, Gross Profit, and Gross Margin) and certain non-GAAP financial measures (Adjusted Gross Profit, Adjusted Gross Margin, and Adjusted EBITDA) which are defined below to evaluate our business and operations, measure our performance, identify trends affecting our business, project our future performance, and make strategic decisions. Additionally, refer to the non-GAAP Financial Measures section below for additional information and their reconciliation to the most comparable GAAP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Active Devices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Devices are devices that have communicated with us or have had a transaction in the last twelve months. Included in the number of Active Devices are devices that communicate through other devices that communicate or transact with us. For example, a self-service retail location that utilizes an ePort cashless payment device as well as Seed management services constitutes only one device.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Active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Active Customers as all customers with at least one active device.</w:t>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Total Number of Transactions and Total Dollar Volume of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are defined as electronic payment transactions that are processed by our technology-enabled solutions. Management uses Total Number and Dollar Volume of transactions to evaluate the effectiveness of our customer acquisition strategies and our ability to leverage existing customers and partners.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Average Revenue Per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defines average revenue per unit ("ARPU") as our total subscription and transaction fees for the trailing 12 months divided by average total active devices for the trailing 12 months.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represent our selected operating metrics for the periods indicated:</w:t>
      </w:r>
    </w:p>
    <w:tbl>
      <w:tblPr>
        <w:tblW w:w="10205" w:type="dxa"/>
        <w:jc w:val="left"/>
        <w:tblInd w:w="0" w:type="dxa"/>
        <w:tblLayout w:type="fixed"/>
        <w:tblCellMar>
          <w:top w:w="28" w:type="dxa"/>
          <w:left w:w="28" w:type="dxa"/>
          <w:bottom w:w="28" w:type="dxa"/>
          <w:right w:w="28" w:type="dxa"/>
        </w:tblCellMar>
      </w:tblPr>
      <w:tblGrid>
        <w:gridCol w:w="1058"/>
        <w:gridCol w:w="848"/>
        <w:gridCol w:w="856"/>
        <w:gridCol w:w="218"/>
        <w:gridCol w:w="856"/>
        <w:gridCol w:w="112"/>
        <w:gridCol w:w="109"/>
        <w:gridCol w:w="109"/>
        <w:gridCol w:w="109"/>
        <w:gridCol w:w="234"/>
        <w:gridCol w:w="919"/>
        <w:gridCol w:w="121"/>
        <w:gridCol w:w="109"/>
        <w:gridCol w:w="109"/>
        <w:gridCol w:w="109"/>
        <w:gridCol w:w="237"/>
        <w:gridCol w:w="931"/>
        <w:gridCol w:w="122"/>
        <w:gridCol w:w="109"/>
        <w:gridCol w:w="109"/>
        <w:gridCol w:w="109"/>
        <w:gridCol w:w="211"/>
        <w:gridCol w:w="826"/>
        <w:gridCol w:w="109"/>
        <w:gridCol w:w="109"/>
        <w:gridCol w:w="109"/>
        <w:gridCol w:w="109"/>
        <w:gridCol w:w="218"/>
        <w:gridCol w:w="854"/>
        <w:gridCol w:w="167"/>
      </w:tblGrid>
      <w:tr>
        <w:trPr/>
        <w:tc>
          <w:tcPr>
            <w:tcW w:w="10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r>
      <w:tr>
        <w:trPr/>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Devices: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Devices (thousands)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Transactions (millions)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Dollar Volume of Transactions (millions)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and transaction fees - Trailing 12 months (thousands) </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unit (ARPU)</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 Compared to Three Months Ended March 31, 2024</w:t>
      </w:r>
    </w:p>
    <w:tbl>
      <w:tblPr>
        <w:tblW w:w="8394" w:type="dxa"/>
        <w:jc w:val="left"/>
        <w:tblInd w:w="0" w:type="dxa"/>
        <w:tblLayout w:type="fixed"/>
        <w:tblCellMar>
          <w:top w:w="28" w:type="dxa"/>
          <w:left w:w="28" w:type="dxa"/>
          <w:bottom w:w="28" w:type="dxa"/>
          <w:right w:w="28" w:type="dxa"/>
        </w:tblCellMar>
      </w:tblPr>
      <w:tblGrid>
        <w:gridCol w:w="912"/>
        <w:gridCol w:w="802"/>
        <w:gridCol w:w="806"/>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320"/>
        <w:gridCol w:w="296"/>
        <w:gridCol w:w="773"/>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v. 2024</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transaction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 transaction</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transaction </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subscription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subscription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 equipment</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equipment</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br/>
      </w: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Company's internal-use software assets and developed technology assets are not associated with transaction fees and equipment revenue.</w:t>
      </w:r>
      <w:r>
        <w:rPr>
          <w:rFonts w:ascii="Times New Roman;sans-serif" w:hAnsi="Times New Roman;sans-serif"/>
          <w:b w:val="false"/>
          <w:color w:val="000000"/>
          <w:sz w:val="20"/>
        </w:rPr>
        <w:br/>
      </w: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Amortization of internal-use software assets and developed technology assets. In March 2025, the Company recognized additional charges of $3.0 million, due to certain capitalized internal use software is no longer expected to provide future economic benefits as a result of changes in business strategy and evolving technology initiatives.</w:t>
      </w:r>
    </w:p>
    <w:p>
      <w:pPr>
        <w:pStyle w:val="TextBody"/>
        <w:bidi w:val="0"/>
        <w:spacing w:before="240" w:after="283"/>
        <w:jc w:val="both"/>
        <w:rPr/>
      </w:pPr>
      <w:r>
        <w:rPr/>
      </w:r>
    </w:p>
    <w:p>
      <w:pPr>
        <w:pStyle w:val="TextBody"/>
        <w:bidi w:val="0"/>
        <w:spacing w:before="10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0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Highlights for the quarter ended March 31, 2025 include: </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Revenues of </w:t>
      </w:r>
      <w:r>
        <w:rPr>
          <w:rFonts w:ascii="Times New Roman;sans-serif" w:hAnsi="Times New Roman;sans-serif"/>
          <w:b w:val="false"/>
          <w:color w:val="000000"/>
          <w:sz w:val="20"/>
        </w:rPr>
        <w:t>$75.4 million</w:t>
      </w:r>
      <w:r>
        <w:rPr>
          <w:rFonts w:ascii="Times New Roman;sans-serif" w:hAnsi="Times New Roman;sans-serif"/>
          <w:b w:val="false"/>
          <w:color w:val="000000"/>
          <w:sz w:val="20"/>
          <w:shd w:fill="FFFFFF" w:val="clear"/>
        </w:rPr>
        <w:t>, an increase of 11.1% quarter over same quarter prior year. Transaction fees, subsc</w:t>
      </w:r>
      <w:r>
        <w:rPr>
          <w:rFonts w:ascii="Times New Roman;sans-serif" w:hAnsi="Times New Roman;sans-serif"/>
          <w:b w:val="false"/>
          <w:color w:val="000000"/>
          <w:sz w:val="20"/>
        </w:rPr>
        <w:t>ription fees and equipment sales all increased this quarter;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1.26 million Active Devices compared to the same quarter last year of 1.22 million, an increase of approximately 44 thousand Active Devices, or 3.6%;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34,115 Active Customers compared to the same quarter last year of 30,670, an increase of 3,445 Active Customers, or 11.2%;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$852.4 million in Total Dollar Volume of Transactions for the quarter ended March 31, 2025 compared to $767.4 million for the quarter ended March 31, 2024, an increase of $85.0 million, or 11.1%. See "</w:t>
      </w:r>
      <w:r>
        <w:rPr>
          <w:rFonts w:ascii="Times New Roman;sans-serif" w:hAnsi="Times New Roman;sans-serif"/>
          <w:b w:val="false"/>
          <w:i/>
          <w:color w:val="000000"/>
          <w:sz w:val="20"/>
        </w:rPr>
        <w:t xml:space="preserve">Revenues and </w:t>
      </w:r>
      <w:r>
        <w:rPr>
          <w:rFonts w:ascii="Times New Roman;sans-serif" w:hAnsi="Times New Roman;sans-serif"/>
          <w:b w:val="false"/>
          <w:i/>
          <w:color w:val="000000"/>
          <w:sz w:val="20"/>
          <w:shd w:fill="FFFFFF" w:val="clear"/>
        </w:rPr>
        <w:t>Gross Margin</w:t>
      </w:r>
      <w:r>
        <w:rPr>
          <w:rFonts w:ascii="Times New Roman;sans-serif" w:hAnsi="Times New Roman;sans-serif"/>
          <w:b w:val="false"/>
          <w:color w:val="000000"/>
          <w:sz w:val="20"/>
        </w:rPr>
        <w:t>" in Management’s Discussion and Analysis of Financial Condition and Results of Operations below for additional information.</w:t>
      </w:r>
    </w:p>
    <w:p>
      <w:pPr>
        <w:pStyle w:val="TextBody"/>
        <w:bidi w:val="0"/>
        <w:spacing w:lineRule="auto" w:line="288" w:before="240" w:after="283"/>
        <w:jc w:val="both"/>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Total revenues increased by $7.5 million for the three months ended March 31, 2025 compared to the same period in 2024. The increase in revenues is attributed to a $4.0 million increase in transaction fees, a $2.0 million increase in subscription fees and a $1.5 million increase in equipment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transaction fees was primarily driven by increased average ticket items sold, increased average ticket price, increased processing volumes, and the acquisition Cheq, resulting in a 11.1% increase in total dollar volumes of transactions for the current fiscal year quarter relative to the same quarter in the prior year. There was also an increase in the total number of active devices relative to the same quarter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subscription fees have increased 10.3% for the three months ended March 31, 2025 compared to the same period in 2024 which is attributed to a continued focus of management to grow our recurring subscription services to our customer base, an increase in our active devices compared to last year, and the acquisition of SB Software.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Equipment revenue increased to $10.2 million for the three months ended March 31, 2025, compared to $8.7 million for the same period in 2024, primarily due to increased sales of our Smart Stores product (which we launched in December 2024) in the current fiscal year quarter.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Costs of sales.</w:t>
      </w:r>
      <w:r>
        <w:rPr>
          <w:color w:val="000000"/>
        </w:rPr>
        <w:t xml:space="preserve"> </w:t>
      </w:r>
      <w:r>
        <w:rPr>
          <w:rFonts w:ascii="Times New Roman;sans-serif" w:hAnsi="Times New Roman;sans-serif"/>
          <w:b w:val="false"/>
          <w:color w:val="000000"/>
          <w:sz w:val="20"/>
        </w:rPr>
        <w:t xml:space="preserve">Costs of sales increased $3.1 million for the three months ended March 31, 2025 compared to the prior year period. The increase in costs of sales was primarily due to a $2.2 million increase in transaction costs as a result of increased processing volumes. Equipment cost of sales increased by $0.9 million as a result of increased equipment sales.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Amortization. </w:t>
      </w:r>
      <w:r>
        <w:rPr>
          <w:rFonts w:ascii="Times New Roman;sans-serif" w:hAnsi="Times New Roman;sans-serif"/>
          <w:b w:val="false"/>
          <w:color w:val="000000"/>
          <w:sz w:val="20"/>
        </w:rPr>
        <w:t>Amortization of internal-use software assets and developed technology assets increased $3.8 million for the three months ended March 31, 2025 compared to the prior year period primarily as a result of certain capitalized internal use software is no longer expected to provide future economic benefits as a result of changes in business strategy and evolving technology initiatives and our</w:t>
      </w:r>
      <w:r>
        <w:rPr>
          <w:color w:val="000000"/>
          <w:shd w:fill="FFFFFF" w:val="clear"/>
        </w:rPr>
        <w:t xml:space="preserve"> </w:t>
      </w:r>
      <w:r>
        <w:rPr>
          <w:rFonts w:ascii="Times New Roman;sans-serif" w:hAnsi="Times New Roman;sans-serif"/>
          <w:b w:val="false"/>
          <w:color w:val="000000"/>
          <w:sz w:val="20"/>
          <w:shd w:fill="FFFFFF" w:val="clear"/>
        </w:rPr>
        <w:t>acquisitions of Cheq and SB Software.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Gross margin. </w:t>
      </w:r>
      <w:r>
        <w:rPr>
          <w:rFonts w:ascii="Times New Roman;sans-serif" w:hAnsi="Times New Roman;sans-serif"/>
          <w:b w:val="false"/>
          <w:color w:val="000000"/>
          <w:sz w:val="20"/>
        </w:rPr>
        <w:t>Total U.S. GAAP gross margin decreased to 34.5% for the three months ended March 31, 2025 from 37.4% for the three months ended March 31, 2024. The decrease was primarily a result of the additional amortization expense described above.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8824" w:type="dxa"/>
        <w:jc w:val="left"/>
        <w:tblInd w:w="0" w:type="dxa"/>
        <w:tblLayout w:type="fixed"/>
        <w:tblCellMar>
          <w:top w:w="28" w:type="dxa"/>
          <w:left w:w="28" w:type="dxa"/>
          <w:bottom w:w="28" w:type="dxa"/>
          <w:right w:w="28" w:type="dxa"/>
        </w:tblCellMar>
      </w:tblPr>
      <w:tblGrid>
        <w:gridCol w:w="1172"/>
        <w:gridCol w:w="1031"/>
        <w:gridCol w:w="103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4"/>
        <w:gridCol w:w="346"/>
        <w:gridCol w:w="569"/>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Total operatin</w:t>
      </w:r>
      <w:r>
        <w:rPr>
          <w:rFonts w:ascii="Times New Roman;sans-serif" w:hAnsi="Times New Roman;sans-serif"/>
          <w:b w:val="false"/>
          <w:i/>
          <w:color w:val="000000"/>
          <w:sz w:val="20"/>
        </w:rPr>
        <w:t>g expenses. </w:t>
      </w:r>
      <w:r>
        <w:rPr>
          <w:rFonts w:ascii="Times New Roman;sans-serif" w:hAnsi="Times New Roman;sans-serif"/>
          <w:b w:val="false"/>
          <w:color w:val="000000"/>
          <w:sz w:val="20"/>
        </w:rPr>
        <w:t>Operating expenses increased 8.2% for the three months ended March 31, 2025 compared to the same period in 2024. This was primarily driven by increased depreciation and amortization related expenses. Total operating expense also increased as a result of the acquisitions of Cheq and SB Software. See further details on individual categories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increased approximately $0.1 million for the three months ended March 31, 2025 compared to the same period in 2024. This was due to a $0.4 million increase in advertising costs, offset by a $0.2 million decrease in compensation costs and a decrease in various sales and marketing expense reductions of approximately $0.1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Technology and product development. </w:t>
      </w:r>
      <w:r>
        <w:rPr>
          <w:rFonts w:ascii="Times New Roman;sans-serif" w:hAnsi="Times New Roman;sans-serif"/>
          <w:b w:val="false"/>
          <w:color w:val="000000"/>
          <w:sz w:val="20"/>
        </w:rPr>
        <w:t xml:space="preserve">Technology and product development expenses decreased by $0.6 million for the three months ended March 31, 2025 compared to the same period in 2024. The decrease was driven by a $0.4 million decrease in compensation and benefits and a $0.2 million decrease in subscriptions and cloud hosting fees.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General and administrative expenses. </w:t>
      </w:r>
      <w:r>
        <w:rPr>
          <w:rFonts w:ascii="Times New Roman;sans-serif" w:hAnsi="Times New Roman;sans-serif"/>
          <w:b w:val="false"/>
          <w:color w:val="000000"/>
          <w:sz w:val="20"/>
        </w:rPr>
        <w:t xml:space="preserve">General and administrative expenses decreased by $0.1 million for the three months ended March 31, 2025 compared to the same period in 2024. General and administrative expenses increased due to a $1.2 million decrease in the release in sales and use taxes reserves this quarter compared the same quarter last year. This is offset by a decrease of $1.3 million in non-recurring project work related to remediation of material weaknesses in internal controls over financial reporting, which was recorded in the same quarter last year.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Integration and acquisition expenses. </w:t>
      </w:r>
      <w:r>
        <w:rPr>
          <w:rFonts w:ascii="Times New Roman;sans-serif" w:hAnsi="Times New Roman;sans-serif"/>
          <w:b w:val="false"/>
          <w:color w:val="000000"/>
          <w:sz w:val="20"/>
        </w:rPr>
        <w:t xml:space="preserve">For the three months ended March 31, 2025, as described in </w:t>
      </w:r>
      <w:r>
        <w:rPr>
          <w:rFonts w:ascii="Times New Roman;sans-serif" w:hAnsi="Times New Roman;sans-serif"/>
          <w:b w:val="false"/>
          <w:i/>
          <w:color w:val="000000"/>
          <w:sz w:val="20"/>
        </w:rPr>
        <w:t>Note 9 - Acquisitions</w:t>
      </w:r>
      <w:r>
        <w:rPr>
          <w:rFonts w:ascii="Times New Roman;sans-serif" w:hAnsi="Times New Roman;sans-serif"/>
          <w:b w:val="false"/>
          <w:color w:val="000000"/>
          <w:sz w:val="20"/>
        </w:rPr>
        <w:t>, the Company recognized a $0.6 million gain due to the decrease in the fair value of the contingent consideration associated with our SB Software acquisition, offset by $0.1 million in integration expenses. For the three months ended March 31, 2024, the Company incurred integration and acquisition expenses of $0.9 million primarily due to professional services from accounting and legal advisors, as well as consulting services related to the Cheq acquisition.</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expenses increased $3.9 million for the three </w:t>
      </w:r>
      <w:r>
        <w:rPr>
          <w:rFonts w:ascii="Times New Roman;sans-serif" w:hAnsi="Times New Roman;sans-serif"/>
          <w:b w:val="false"/>
          <w:color w:val="000000"/>
          <w:sz w:val="20"/>
          <w:shd w:fill="FFFFFF" w:val="clear"/>
        </w:rPr>
        <w:t xml:space="preserve">months ended March 31, 2025 compared to the same period in </w:t>
      </w:r>
      <w:r>
        <w:rPr>
          <w:rFonts w:ascii="Times New Roman;sans-serif" w:hAnsi="Times New Roman;sans-serif"/>
          <w:b w:val="false"/>
          <w:color w:val="000000"/>
          <w:sz w:val="20"/>
        </w:rPr>
        <w:t>2024</w:t>
      </w:r>
      <w:r>
        <w:rPr>
          <w:color w:val="000000"/>
          <w:shd w:fill="FFFFFF" w:val="clear"/>
        </w:rPr>
        <w:t xml:space="preserve"> </w:t>
      </w:r>
      <w:r>
        <w:rPr>
          <w:rFonts w:ascii="Times New Roman;sans-serif" w:hAnsi="Times New Roman;sans-serif"/>
          <w:b w:val="false"/>
          <w:color w:val="000000"/>
          <w:sz w:val="20"/>
          <w:shd w:fill="FFFFFF" w:val="clear"/>
        </w:rPr>
        <w:t>du</w:t>
      </w:r>
      <w:r>
        <w:rPr>
          <w:rFonts w:ascii="Times New Roman;sans-serif" w:hAnsi="Times New Roman;sans-serif"/>
          <w:b w:val="false"/>
          <w:color w:val="000000"/>
          <w:sz w:val="20"/>
        </w:rPr>
        <w:t>e to certain capitalized internal use software is no longer expected to provide future economic benefits as a result of changes in business strategy and evolving technology initiatives and our acquisitions of Cheq and SB Software.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Other Expense, Net</w:t>
      </w:r>
    </w:p>
    <w:tbl>
      <w:tblPr>
        <w:tblW w:w="10045" w:type="dxa"/>
        <w:jc w:val="left"/>
        <w:tblInd w:w="0" w:type="dxa"/>
        <w:tblLayout w:type="fixed"/>
        <w:tblCellMar>
          <w:top w:w="28" w:type="dxa"/>
          <w:left w:w="28" w:type="dxa"/>
          <w:bottom w:w="28" w:type="dxa"/>
          <w:right w:w="28" w:type="dxa"/>
        </w:tblCellMar>
      </w:tblPr>
      <w:tblGrid>
        <w:gridCol w:w="1686"/>
        <w:gridCol w:w="1486"/>
        <w:gridCol w:w="1493"/>
        <w:gridCol w:w="109"/>
        <w:gridCol w:w="109"/>
        <w:gridCol w:w="109"/>
        <w:gridCol w:w="261"/>
        <w:gridCol w:w="578"/>
        <w:gridCol w:w="135"/>
        <w:gridCol w:w="135"/>
        <w:gridCol w:w="135"/>
        <w:gridCol w:w="135"/>
        <w:gridCol w:w="261"/>
        <w:gridCol w:w="578"/>
        <w:gridCol w:w="135"/>
        <w:gridCol w:w="109"/>
        <w:gridCol w:w="109"/>
        <w:gridCol w:w="109"/>
        <w:gridCol w:w="211"/>
        <w:gridCol w:w="541"/>
        <w:gridCol w:w="109"/>
        <w:gridCol w:w="109"/>
        <w:gridCol w:w="109"/>
        <w:gridCol w:w="109"/>
        <w:gridCol w:w="308"/>
        <w:gridCol w:w="308"/>
        <w:gridCol w:w="569"/>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Other expense, net</w:t>
      </w:r>
      <w:r>
        <w:rPr>
          <w:rFonts w:ascii="Times New Roman;sans-serif" w:hAnsi="Times New Roman;sans-serif"/>
          <w:b w:val="false"/>
          <w:color w:val="000000"/>
          <w:sz w:val="20"/>
        </w:rPr>
        <w:t>. Other expense, net decreased $0.1 million for the three months ended March 31, 2025 as compared to the same period in 2024. The $0.1 million decrease in interest income is primarily due to lower outstanding balances for our finance receivables. Our interest expense from debt and tax liabilities decreased by $0.2 million for three months ended March 31, 2025 as compared to the same period in 2024 primarily due to the reduction in interest component of sales tax liability. Other (expense) income, net increased by $0.2 million primarily due to foreign currency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Benefit from (provision for) income taxes</w:t>
      </w:r>
    </w:p>
    <w:tbl>
      <w:tblPr>
        <w:tblW w:w="8798" w:type="dxa"/>
        <w:jc w:val="left"/>
        <w:tblInd w:w="0" w:type="dxa"/>
        <w:tblLayout w:type="fixed"/>
        <w:tblCellMar>
          <w:top w:w="28" w:type="dxa"/>
          <w:left w:w="28" w:type="dxa"/>
          <w:bottom w:w="28" w:type="dxa"/>
          <w:right w:w="28" w:type="dxa"/>
        </w:tblCellMar>
      </w:tblPr>
      <w:tblGrid>
        <w:gridCol w:w="1253"/>
        <w:gridCol w:w="1103"/>
        <w:gridCol w:w="1109"/>
        <w:gridCol w:w="109"/>
        <w:gridCol w:w="109"/>
        <w:gridCol w:w="109"/>
        <w:gridCol w:w="234"/>
        <w:gridCol w:w="799"/>
        <w:gridCol w:w="120"/>
        <w:gridCol w:w="120"/>
        <w:gridCol w:w="120"/>
        <w:gridCol w:w="120"/>
        <w:gridCol w:w="234"/>
        <w:gridCol w:w="483"/>
        <w:gridCol w:w="120"/>
        <w:gridCol w:w="109"/>
        <w:gridCol w:w="109"/>
        <w:gridCol w:w="109"/>
        <w:gridCol w:w="211"/>
        <w:gridCol w:w="721"/>
        <w:gridCol w:w="109"/>
        <w:gridCol w:w="109"/>
        <w:gridCol w:w="109"/>
        <w:gridCol w:w="109"/>
        <w:gridCol w:w="281"/>
        <w:gridCol w:w="281"/>
        <w:gridCol w:w="399"/>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0"/>
        <w:jc w:val="both"/>
        <w:rPr>
          <w:rFonts w:ascii="Times New Roman;sans-serif" w:hAnsi="Times New Roman;sans-serif"/>
          <w:b w:val="false"/>
          <w:color w:val="000000"/>
          <w:sz w:val="10"/>
        </w:rPr>
      </w:pPr>
      <w:r>
        <w:rPr>
          <w:rFonts w:ascii="Times New Roman;sans-serif" w:hAnsi="Times New Roman;sans-serif"/>
          <w:b w:val="false"/>
          <w:color w:val="000000"/>
          <w:sz w:val="10"/>
        </w:rPr>
        <w:t>NM The percentage change is not meaningful due to the valuation allowance release described below.</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for the three months ended March 31, 2025, relates to the $42.2 million valuation allowance release, offset by state income and deferred taxes related to goodwill amortization for tax purposes. The income tax expense for the three months ended March 31, 2024 were the result of state income and deferred taxes related to goodwill amortization for tax purposes.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Nine Months Ended March 31, 2025 Compared to Nine Months Ended March 31, 2024</w:t>
      </w:r>
    </w:p>
    <w:tbl>
      <w:tblPr>
        <w:tblW w:w="8384" w:type="dxa"/>
        <w:jc w:val="left"/>
        <w:tblInd w:w="0" w:type="dxa"/>
        <w:tblLayout w:type="fixed"/>
        <w:tblCellMar>
          <w:top w:w="28" w:type="dxa"/>
          <w:left w:w="28" w:type="dxa"/>
          <w:bottom w:w="28" w:type="dxa"/>
          <w:right w:w="28" w:type="dxa"/>
        </w:tblCellMar>
      </w:tblPr>
      <w:tblGrid>
        <w:gridCol w:w="825"/>
        <w:gridCol w:w="725"/>
        <w:gridCol w:w="729"/>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66"/>
        <w:gridCol w:w="266"/>
        <w:gridCol w:w="773"/>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v. 2024</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transaction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 transaction</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transaction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subscription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subscription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 equipment</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equipment</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br/>
      </w: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Company's internal-use software assets and developed technology assets are not associated with transaction fees and equipment revenue.</w:t>
      </w:r>
      <w:r>
        <w:rPr>
          <w:rFonts w:ascii="Times New Roman;sans-serif" w:hAnsi="Times New Roman;sans-serif"/>
          <w:b w:val="false"/>
          <w:color w:val="000000"/>
          <w:sz w:val="20"/>
        </w:rPr>
        <w:br/>
      </w: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Amortization of internal-use software assets and developed technology assets. In March 2025, the Company recognized additional charges of $3.0 million, due to certain capitalized internal use software is no longer expected to provide future economic benefits as a result of changes in business strategy and evolving technology initiatives.</w:t>
      </w:r>
    </w:p>
    <w:p>
      <w:pPr>
        <w:pStyle w:val="TextBody"/>
        <w:bidi w:val="0"/>
        <w:spacing w:lineRule="auto" w:line="288" w:before="100" w:after="60"/>
        <w:jc w:val="both"/>
        <w:rPr/>
      </w:pPr>
      <w:r>
        <w:rPr>
          <w:rFonts w:ascii="Times New Roman;sans-serif" w:hAnsi="Times New Roman;sans-serif"/>
          <w:b w:val="false"/>
          <w:i/>
          <w:color w:val="000000"/>
          <w:sz w:val="20"/>
        </w:rPr>
        <w:t>Revenues.</w:t>
      </w:r>
      <w:r>
        <w:rPr>
          <w:color w:val="000000"/>
        </w:rPr>
        <w:t> </w:t>
      </w:r>
      <w:r>
        <w:rPr>
          <w:rFonts w:ascii="Times New Roman;sans-serif" w:hAnsi="Times New Roman;sans-serif"/>
          <w:b w:val="false"/>
          <w:color w:val="000000"/>
          <w:sz w:val="20"/>
        </w:rPr>
        <w:t>Total revenues increased by $24.0 million for the nine months ended March 31, 2025 compared to the same period in 2024. The increase in revenues is attributed to a $17.1 million increase in transaction fees, a $6.6 million increase in subscription fees and a $0.4 million increase in equipment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transaction fees was primarily driven by increased average ticket items sold, increased average ticket price, increased processing volumes, and the acquisition Cheq, resulting in a 13.5% increase in total dollar volumes of transactions for the nine months ended March 31, 2025 relative to the prior year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subscription fees have increased 11.9% for the nine months ended March 31, 2025 compared to the same period in 2024 which is attributed to a continued focus of management to grow our recurring subscription services to our customer base and an increase in our active devices compared to last year as well as the acquisition of SB Software and Cheq.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Equipment revenue increased slightly to $25.9 million for the nine months ended March 31, 2025, compared to $25.6 million for the prior year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Costs of sales.</w:t>
      </w:r>
      <w:r>
        <w:rPr>
          <w:color w:val="000000"/>
        </w:rPr>
        <w:t xml:space="preserve"> </w:t>
      </w:r>
      <w:r>
        <w:rPr>
          <w:rFonts w:ascii="Times New Roman;sans-serif" w:hAnsi="Times New Roman;sans-serif"/>
          <w:b w:val="false"/>
          <w:color w:val="000000"/>
          <w:sz w:val="20"/>
        </w:rPr>
        <w:t>Costs of sales increased $8.7 million for the nine months ended March 31, 2025 compared to the prior year period. The increase in costs of sales was primarily due to a $8.7 million increase in transaction costs as a direct result of increased transaction processing fees corresponding with an increase in processing volumes, a $0.7 million increase in subscription costs, offset by the decrease in cost of equipment of $0.8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Amortization. </w:t>
      </w:r>
      <w:r>
        <w:rPr>
          <w:rFonts w:ascii="Times New Roman;sans-serif" w:hAnsi="Times New Roman;sans-serif"/>
          <w:b w:val="false"/>
          <w:color w:val="000000"/>
          <w:sz w:val="20"/>
        </w:rPr>
        <w:t>Amortization of internal-use software assets and developed technology assets increased $4.2 million for the nine months ended March 31, 2025 compared to the prior year period, primarily as a result of certain capitalized internal use software which is no longer expected to provide future economic benefits as a result of changes in business strategy and evolving technology initiatives and amortization of intangibles from the acquisitions of Cheq and SB Software.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Total U.S. GAAP gross margin increased to 37.1% for the nine months ended March 31, 2025 from 35.9% for the nine months ended March 31, 2024. The increase was primarily a result of an increased transaction and equipment margins.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8824" w:type="dxa"/>
        <w:jc w:val="left"/>
        <w:tblInd w:w="0" w:type="dxa"/>
        <w:tblLayout w:type="fixed"/>
        <w:tblCellMar>
          <w:top w:w="28" w:type="dxa"/>
          <w:left w:w="28" w:type="dxa"/>
          <w:bottom w:w="28" w:type="dxa"/>
          <w:right w:w="28" w:type="dxa"/>
        </w:tblCellMar>
      </w:tblPr>
      <w:tblGrid>
        <w:gridCol w:w="1172"/>
        <w:gridCol w:w="1031"/>
        <w:gridCol w:w="103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3"/>
        <w:gridCol w:w="347"/>
        <w:gridCol w:w="569"/>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Total operating expenses. </w:t>
      </w:r>
      <w:r>
        <w:rPr>
          <w:rFonts w:ascii="Times New Roman;sans-serif" w:hAnsi="Times New Roman;sans-serif"/>
          <w:b w:val="false"/>
          <w:color w:val="000000"/>
          <w:sz w:val="20"/>
        </w:rPr>
        <w:t xml:space="preserve">Operating expenses increased 13.6% for the nine months ended March 31, 2025 compared to the same period in 2024. This is driven by increases in all categories other than integration and acquisition expenses. Total operating expense also increased as a result of the acquisitions of Cheq and SB Software. See further details on individual categories below.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increased approximately $2.4 million for the nine months ended March 31, 2025 compared to the same period in 2024. Sales and marketing expenses increased $1.7 million due to advertising and trade show expenses, $0.3 million increase due to travel expenses, $0.1 million related to compensation expenses and $0.3 million in various other marketing expenses. Overall, these increases are due to investments being made to drive revenue both domestically and internationally.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Technology and product development. </w:t>
      </w:r>
      <w:r>
        <w:rPr>
          <w:rFonts w:ascii="Times New Roman;sans-serif" w:hAnsi="Times New Roman;sans-serif"/>
          <w:b w:val="false"/>
          <w:color w:val="000000"/>
          <w:sz w:val="20"/>
        </w:rPr>
        <w:t>Technology and product development expenses increased by $1.2 million for the nine months ended March 31, 2025, due to $0.7 million increase in subscriptions and cloud hosting fees, a $0.6 million increase in compensation and benefits and a $0.1 million increase in travel expenses, offset by a $0.2 million decrease in other technology and product development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General and administrative expenses. </w:t>
      </w:r>
      <w:r>
        <w:rPr>
          <w:rFonts w:ascii="Times New Roman;sans-serif" w:hAnsi="Times New Roman;sans-serif"/>
          <w:b w:val="false"/>
          <w:color w:val="000000"/>
          <w:sz w:val="20"/>
        </w:rPr>
        <w:t xml:space="preserve">General and administrative expenses increased by $2.1 million for the nine months ended March 31, 2025 compared to the same period in 2024. This is due to a $1.3 million smaller release in sales and use taxes reserves compared to the same period last year, $1.0 million due to compensation and benefits and $0.1 million in other general and administrative expenses. This is offset by a $0.3 million decrease in rent expense.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Integration and acquisition expenses. </w:t>
      </w:r>
      <w:r>
        <w:rPr>
          <w:rFonts w:ascii="Times New Roman;sans-serif" w:hAnsi="Times New Roman;sans-serif"/>
          <w:b w:val="false"/>
          <w:color w:val="000000"/>
          <w:sz w:val="20"/>
        </w:rPr>
        <w:t>For the nine months ended March 31, 2025, the Company incurred integration and acquisition expenses associated with our acquisition of SB Software, however, these were offset by a $0.6 million decrease in the fair value of the contingent consideration. Integration and acquisition expenses for the nine months ended March 31, 2024 related to the acquisitions of 32M and Cheq.</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Depreciation and amortization expenses were increased $4.4 million for the nine months ended March 31, 2025 compared to the prior year period, as a result of certain capitalized internal use software which is no longer expected to provide future economic benefits as a result of changes in business strategy and evolving technology initiatives. Depreciation and amortization expenses also increased due to the amortization of intangibles from the acquisitions of Cheq and SB Software.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Other Expense, Net</w:t>
      </w:r>
    </w:p>
    <w:tbl>
      <w:tblPr>
        <w:tblW w:w="9998" w:type="dxa"/>
        <w:jc w:val="left"/>
        <w:tblInd w:w="0" w:type="dxa"/>
        <w:tblLayout w:type="fixed"/>
        <w:tblCellMar>
          <w:top w:w="28" w:type="dxa"/>
          <w:left w:w="28" w:type="dxa"/>
          <w:bottom w:w="28" w:type="dxa"/>
          <w:right w:w="28" w:type="dxa"/>
        </w:tblCellMar>
      </w:tblPr>
      <w:tblGrid>
        <w:gridCol w:w="1686"/>
        <w:gridCol w:w="1486"/>
        <w:gridCol w:w="1493"/>
        <w:gridCol w:w="109"/>
        <w:gridCol w:w="109"/>
        <w:gridCol w:w="109"/>
        <w:gridCol w:w="221"/>
        <w:gridCol w:w="647"/>
        <w:gridCol w:w="114"/>
        <w:gridCol w:w="114"/>
        <w:gridCol w:w="114"/>
        <w:gridCol w:w="114"/>
        <w:gridCol w:w="221"/>
        <w:gridCol w:w="647"/>
        <w:gridCol w:w="114"/>
        <w:gridCol w:w="109"/>
        <w:gridCol w:w="109"/>
        <w:gridCol w:w="109"/>
        <w:gridCol w:w="211"/>
        <w:gridCol w:w="541"/>
        <w:gridCol w:w="109"/>
        <w:gridCol w:w="109"/>
        <w:gridCol w:w="109"/>
        <w:gridCol w:w="109"/>
        <w:gridCol w:w="308"/>
        <w:gridCol w:w="308"/>
        <w:gridCol w:w="569"/>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Other expense, net</w:t>
      </w:r>
      <w:r>
        <w:rPr>
          <w:rFonts w:ascii="Times New Roman;sans-serif" w:hAnsi="Times New Roman;sans-serif"/>
          <w:b w:val="false"/>
          <w:color w:val="000000"/>
          <w:sz w:val="20"/>
        </w:rPr>
        <w:t>. Other expense increased $0.2 million for the nine months ended March 31, 2025 as compared to the same period in 2024. The decrease in interest income of $0.3 million is primarily due to lower outstanding balances for our finance receivables. Our interest expense from debt and tax liabilities decreased $0.1 million primarily due to the reduction of the interest component of our sales tax liability. Other income (expense), net increased $0.2 million primarily due to foreign currency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Benefit from (provision for) income taxes</w:t>
      </w:r>
    </w:p>
    <w:tbl>
      <w:tblPr>
        <w:tblW w:w="8756" w:type="dxa"/>
        <w:jc w:val="left"/>
        <w:tblInd w:w="0" w:type="dxa"/>
        <w:tblLayout w:type="fixed"/>
        <w:tblCellMar>
          <w:top w:w="28" w:type="dxa"/>
          <w:left w:w="28" w:type="dxa"/>
          <w:bottom w:w="28" w:type="dxa"/>
          <w:right w:w="28" w:type="dxa"/>
        </w:tblCellMar>
      </w:tblPr>
      <w:tblGrid>
        <w:gridCol w:w="1253"/>
        <w:gridCol w:w="1103"/>
        <w:gridCol w:w="1109"/>
        <w:gridCol w:w="109"/>
        <w:gridCol w:w="109"/>
        <w:gridCol w:w="109"/>
        <w:gridCol w:w="218"/>
        <w:gridCol w:w="747"/>
        <w:gridCol w:w="113"/>
        <w:gridCol w:w="113"/>
        <w:gridCol w:w="113"/>
        <w:gridCol w:w="113"/>
        <w:gridCol w:w="218"/>
        <w:gridCol w:w="560"/>
        <w:gridCol w:w="113"/>
        <w:gridCol w:w="109"/>
        <w:gridCol w:w="109"/>
        <w:gridCol w:w="109"/>
        <w:gridCol w:w="211"/>
        <w:gridCol w:w="721"/>
        <w:gridCol w:w="109"/>
        <w:gridCol w:w="109"/>
        <w:gridCol w:w="109"/>
        <w:gridCol w:w="109"/>
        <w:gridCol w:w="281"/>
        <w:gridCol w:w="281"/>
        <w:gridCol w:w="399"/>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76" w:before="0" w:after="0"/>
        <w:jc w:val="both"/>
        <w:rPr>
          <w:rFonts w:ascii="Times New Roman;sans-serif" w:hAnsi="Times New Roman;sans-serif"/>
          <w:b w:val="false"/>
          <w:color w:val="000000"/>
          <w:sz w:val="10"/>
        </w:rPr>
      </w:pPr>
      <w:r>
        <w:rPr>
          <w:rFonts w:ascii="Times New Roman;sans-serif" w:hAnsi="Times New Roman;sans-serif"/>
          <w:b w:val="false"/>
          <w:color w:val="000000"/>
          <w:sz w:val="10"/>
        </w:rPr>
        <w:t>NM The percentage change is not meaningful due to the valuation allowance release described below.</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for the nine months ended March 31, 2025, relates to the $42.2 million valuation allowance release, offset by state income and deferred taxes related to goodwill amortization for tax purposes. The income tax expense for the nine months ended March 31, 2024 were the result of state income and deferred taxes related to goodwill amortization for tax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their financial and operational decision making. The presentation of these financial measures is not intended to be considered in isolation or as a substitute for the financial measures prepared and presented in accordance with GAAP. Management recognizes that non-GAAP financial measures have limitations in that they do not reflect all of the items associated with our net income as determined in accordance with GAAP, and are not a substitute for or a measure of our profitability or net earnings.</w:t>
      </w:r>
    </w:p>
    <w:p>
      <w:pPr>
        <w:pStyle w:val="TextBody"/>
        <w:bidi w:val="0"/>
        <w:spacing w:lineRule="auto" w:line="256" w:before="240" w:after="283"/>
        <w:jc w:val="both"/>
        <w:rPr>
          <w:rFonts w:ascii="Times New Roman;sans-serif" w:hAnsi="Times New Roman;sans-serif"/>
          <w:b/>
          <w:i/>
          <w:color w:val="000000"/>
          <w:sz w:val="20"/>
        </w:rPr>
      </w:pPr>
      <w:r>
        <w:rPr>
          <w:rFonts w:ascii="Times New Roman;sans-serif" w:hAnsi="Times New Roman;sans-serif"/>
          <w:b/>
          <w:i/>
          <w:color w:val="000000"/>
          <w:sz w:val="20"/>
        </w:rPr>
        <w:t>Adjusted Gross Profit and Margin (non-GAAP)</w:t>
      </w:r>
    </w:p>
    <w:p>
      <w:pPr>
        <w:pStyle w:val="TextBody"/>
        <w:bidi w:val="0"/>
        <w:spacing w:lineRule="auto" w:line="288" w:before="240" w:after="283"/>
        <w:jc w:val="both"/>
        <w:rPr/>
      </w:pPr>
      <w:r>
        <w:rPr>
          <w:rFonts w:ascii="Times New Roman;sans-serif" w:hAnsi="Times New Roman;sans-serif"/>
          <w:b w:val="false"/>
          <w:color w:val="000000"/>
          <w:sz w:val="20"/>
        </w:rPr>
        <w:t xml:space="preserve">We define Adjusted Gross Profit (non-GAAP) as revenue less cost of sales, exclusive of </w:t>
      </w:r>
      <w:r>
        <w:rPr>
          <w:rFonts w:ascii="Times New Roman;sans-serif" w:hAnsi="Times New Roman;sans-serif"/>
          <w:b w:val="false"/>
          <w:color w:val="000000"/>
          <w:sz w:val="20"/>
          <w:shd w:fill="FFFFFF" w:val="clear"/>
        </w:rPr>
        <w:t>depreciation of internally-developed software and amortization of intangible assets related to technologies obtained through acquisitions. We believe this non-GAAP measure is useful to view the resulting figures excluding the aforementioned non-cash charges because the amount of such expenses in any specific period may not directly correlate to the underlying performance of our business operations and such amounts vary substantially from company to company depending on their financing and capital structures and the method by which their assets were acquired. We define Adjusted Gross Margin as Adjusted Gross Profit divided by revenue.</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pPr>
      <w:r>
        <w:rPr>
          <w:rFonts w:ascii="Times New Roman;sans-serif" w:hAnsi="Times New Roman;sans-serif"/>
          <w:b w:val="false"/>
          <w:color w:val="000000"/>
          <w:sz w:val="20"/>
          <w:shd w:fill="FFFFFF" w:val="clear"/>
        </w:rPr>
        <w:t>We have provided below</w:t>
      </w:r>
      <w:r>
        <w:rPr>
          <w:color w:val="000000"/>
        </w:rPr>
        <w:t xml:space="preserve"> </w:t>
      </w:r>
      <w:r>
        <w:rPr>
          <w:rFonts w:ascii="Times New Roman;sans-serif" w:hAnsi="Times New Roman;sans-serif"/>
          <w:b w:val="false"/>
          <w:color w:val="000000"/>
          <w:sz w:val="20"/>
        </w:rPr>
        <w:t>a reconciliation of U.S. GAAP gross profit to Adjusted Gross Profit and Adjusted Gross Margin for the three and nine months ended March 31, 2025 and 2024:</w:t>
      </w:r>
    </w:p>
    <w:tbl>
      <w:tblPr>
        <w:tblW w:w="10014" w:type="dxa"/>
        <w:jc w:val="left"/>
        <w:tblInd w:w="0" w:type="dxa"/>
        <w:tblLayout w:type="fixed"/>
        <w:tblCellMar>
          <w:top w:w="28" w:type="dxa"/>
          <w:left w:w="28" w:type="dxa"/>
          <w:bottom w:w="28" w:type="dxa"/>
          <w:right w:w="28" w:type="dxa"/>
        </w:tblCellMar>
      </w:tblPr>
      <w:tblGrid>
        <w:gridCol w:w="1497"/>
        <w:gridCol w:w="1318"/>
        <w:gridCol w:w="1325"/>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311"/>
        <w:gridCol w:w="305"/>
        <w:gridCol w:w="773"/>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v. 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transaction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transaction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subscription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subscription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subscription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equipment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equipment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Gross Profit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Gross Margin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jc w:val="both"/>
        <w:rPr/>
      </w:pPr>
      <w:r>
        <w:rPr>
          <w:rFonts w:ascii="Times New Roman;sans-serif" w:hAnsi="Times New Roman;sans-serif"/>
          <w:b w:val="false"/>
          <w:color w:val="000000"/>
          <w:sz w:val="20"/>
        </w:rPr>
        <w:br/>
      </w: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Amortization of internal-use software assets and developed technology assets. In March 2025, the Company recognized additional charges of $3.0 million, due to certain capitalized internal use software is no longer expected to provide future economic benefits as a result of changes in business strategy and evolving technology initiatives.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Total Adjusted Gross Margin (non-GAAP) was </w:t>
      </w:r>
      <w:r>
        <w:rPr>
          <w:rFonts w:ascii="Times New Roman;sans-serif" w:hAnsi="Times New Roman;sans-serif"/>
          <w:b w:val="false"/>
          <w:color w:val="000000"/>
          <w:sz w:val="20"/>
        </w:rPr>
        <w:t>41.6%</w:t>
      </w:r>
      <w:r>
        <w:rPr>
          <w:color w:val="000000"/>
          <w:shd w:fill="FFFFFF" w:val="clear"/>
        </w:rPr>
        <w:t xml:space="preserve"> </w:t>
      </w:r>
      <w:r>
        <w:rPr>
          <w:rFonts w:ascii="Times New Roman;sans-serif" w:hAnsi="Times New Roman;sans-serif"/>
          <w:b w:val="false"/>
          <w:color w:val="000000"/>
          <w:sz w:val="20"/>
          <w:shd w:fill="FFFFFF" w:val="clear"/>
        </w:rPr>
        <w:t>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from </w:t>
      </w:r>
      <w:r>
        <w:rPr>
          <w:rFonts w:ascii="Times New Roman;sans-serif" w:hAnsi="Times New Roman;sans-serif"/>
          <w:b w:val="false"/>
          <w:color w:val="000000"/>
          <w:sz w:val="20"/>
        </w:rPr>
        <w:t>39.6%</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The increase in Adjusted Gross Margin was driven by an increase in our subscription and transaction fee revenue due to increased transaction volumes</w:t>
      </w:r>
      <w:r>
        <w:rPr>
          <w:rFonts w:ascii="Times New Roman;sans-serif" w:hAnsi="Times New Roman;sans-serif"/>
          <w:b w:val="false"/>
          <w:color w:val="000000"/>
          <w:sz w:val="20"/>
        </w:rPr>
        <w:t>.</w:t>
      </w:r>
    </w:p>
    <w:p>
      <w:pPr>
        <w:pStyle w:val="TextBody"/>
        <w:bidi w:val="0"/>
        <w:spacing w:before="0" w:after="0"/>
        <w:jc w:val="both"/>
        <w:rPr/>
      </w:pPr>
      <w:r>
        <w:rPr/>
      </w:r>
    </w:p>
    <w:tbl>
      <w:tblPr>
        <w:tblW w:w="9920" w:type="dxa"/>
        <w:jc w:val="left"/>
        <w:tblInd w:w="0" w:type="dxa"/>
        <w:tblLayout w:type="fixed"/>
        <w:tblCellMar>
          <w:top w:w="28" w:type="dxa"/>
          <w:left w:w="28" w:type="dxa"/>
          <w:bottom w:w="28" w:type="dxa"/>
          <w:right w:w="28" w:type="dxa"/>
        </w:tblCellMar>
      </w:tblPr>
      <w:tblGrid>
        <w:gridCol w:w="1497"/>
        <w:gridCol w:w="1318"/>
        <w:gridCol w:w="1325"/>
        <w:gridCol w:w="211"/>
        <w:gridCol w:w="721"/>
        <w:gridCol w:w="271"/>
        <w:gridCol w:w="109"/>
        <w:gridCol w:w="109"/>
        <w:gridCol w:w="109"/>
        <w:gridCol w:w="211"/>
        <w:gridCol w:w="721"/>
        <w:gridCol w:w="271"/>
        <w:gridCol w:w="109"/>
        <w:gridCol w:w="109"/>
        <w:gridCol w:w="109"/>
        <w:gridCol w:w="360"/>
        <w:gridCol w:w="361"/>
        <w:gridCol w:w="367"/>
        <w:gridCol w:w="109"/>
        <w:gridCol w:w="109"/>
        <w:gridCol w:w="109"/>
        <w:gridCol w:w="266"/>
        <w:gridCol w:w="266"/>
        <w:gridCol w:w="773"/>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v. 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transaction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transaction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subscription (GAAP)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color w:val="000000"/>
              </w:rPr>
              <w:t xml:space="preserve">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Profit, subscription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subscription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equipment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equipment (GAAP)</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Gross Profit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Adjusted Gross Margin (non-GAAP)</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br/>
      </w: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Amortization of internal-use software assets and developed technology assets. In March 2025, the Company recognized additional charges of $3.0 million, due to certain capitalized internal use software is no longer expected to provide future economic benefits as a result of changes in business strategy and evolving technology initiatives.</w:t>
      </w:r>
    </w:p>
    <w:p>
      <w:pPr>
        <w:pStyle w:val="TextBody"/>
        <w:bidi w:val="0"/>
        <w:spacing w:lineRule="auto" w:line="288" w:before="100" w:after="60"/>
        <w:jc w:val="both"/>
        <w:rPr/>
      </w:pPr>
      <w:r>
        <w:rPr>
          <w:rFonts w:ascii="Times New Roman;sans-serif" w:hAnsi="Times New Roman;sans-serif"/>
          <w:b w:val="false"/>
          <w:color w:val="000000"/>
          <w:sz w:val="20"/>
          <w:shd w:fill="FFFFFF" w:val="clear"/>
        </w:rPr>
        <w:t xml:space="preserve">Total Adjusted Gross Margin (non-GAAP) was </w:t>
      </w:r>
      <w:r>
        <w:rPr>
          <w:rFonts w:ascii="Times New Roman;sans-serif" w:hAnsi="Times New Roman;sans-serif"/>
          <w:b w:val="false"/>
          <w:color w:val="000000"/>
          <w:sz w:val="20"/>
        </w:rPr>
        <w:t>41.3%</w:t>
      </w:r>
      <w:r>
        <w:rPr>
          <w:color w:val="000000"/>
          <w:shd w:fill="FFFFFF" w:val="clear"/>
        </w:rPr>
        <w:t xml:space="preserve"> </w:t>
      </w:r>
      <w:r>
        <w:rPr>
          <w:rFonts w:ascii="Times New Roman;sans-serif" w:hAnsi="Times New Roman;sans-serif"/>
          <w:b w:val="false"/>
          <w:color w:val="000000"/>
          <w:sz w:val="20"/>
          <w:shd w:fill="FFFFFF" w:val="clear"/>
        </w:rPr>
        <w:t>for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2025</w:t>
      </w:r>
      <w:r>
        <w:rPr>
          <w:rFonts w:ascii="Times New Roman;sans-serif" w:hAnsi="Times New Roman;sans-serif"/>
          <w:b w:val="false"/>
          <w:color w:val="000000"/>
          <w:sz w:val="20"/>
          <w:shd w:fill="FFFFFF" w:val="clear"/>
        </w:rPr>
        <w:t xml:space="preserve">, from </w:t>
      </w:r>
      <w:r>
        <w:rPr>
          <w:rFonts w:ascii="Times New Roman;sans-serif" w:hAnsi="Times New Roman;sans-serif"/>
          <w:b w:val="false"/>
          <w:color w:val="000000"/>
          <w:sz w:val="20"/>
        </w:rPr>
        <w:t>38.6%</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2024</w:t>
      </w:r>
      <w:r>
        <w:rPr>
          <w:rFonts w:ascii="Times New Roman;sans-serif" w:hAnsi="Times New Roman;sans-serif"/>
          <w:b w:val="false"/>
          <w:color w:val="000000"/>
          <w:sz w:val="20"/>
          <w:shd w:fill="FFFFFF" w:val="clear"/>
        </w:rPr>
        <w:t>. The increase in Adjusted Gross Margin was driven by an increase in our transaction fee revenue due to increased transaction volumes and increased in equipment sales</w:t>
      </w:r>
      <w:r>
        <w:rPr>
          <w:rFonts w:ascii="Times New Roman;sans-serif" w:hAnsi="Times New Roman;sans-serif"/>
          <w:b w:val="false"/>
          <w:color w:val="000000"/>
          <w:sz w:val="20"/>
        </w:rPr>
        <w:t>.</w:t>
      </w:r>
    </w:p>
    <w:p>
      <w:pPr>
        <w:pStyle w:val="TextBody"/>
        <w:bidi w:val="0"/>
        <w:spacing w:lineRule="auto" w:line="288" w:before="100" w:after="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EBITDA (non-GAAP)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defines Adjusted EBITDA (non-GAAP) as U.S. GAAP net income before (i) interest income, (ii) interest expense, (iii) income tax provision, (iv) depreciation, (v) amortization, (vi) stock-based compensation expense, and (vii)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significant infrequent or unusual losses and gains that are not indicative of our core operations such as integration and acquisition expenses and costs as a result of auditor transitions.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EBITDA is useful for investors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may obscure trends in the underlying performance of our business. Additionally, we utilize Adjusted EBITDA as a metric in our executive officer and management incentive compensation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tool and should not be considered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which are excluded from the calculation of Adjusted EBITDA may differ from the expenses and other items that other companies may exclude from Adjusted EBITDA when they report their financial results.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U.S. GAAP net income to Adjusted EBITDA for the three and nine months ended March 31, 2025 and 2024:</w:t>
      </w:r>
    </w:p>
    <w:tbl>
      <w:tblPr>
        <w:tblW w:w="10205" w:type="dxa"/>
        <w:jc w:val="left"/>
        <w:tblInd w:w="0" w:type="dxa"/>
        <w:tblLayout w:type="fixed"/>
        <w:tblCellMar>
          <w:top w:w="28" w:type="dxa"/>
          <w:left w:w="28" w:type="dxa"/>
          <w:bottom w:w="28" w:type="dxa"/>
          <w:right w:w="28" w:type="dxa"/>
        </w:tblCellMar>
      </w:tblPr>
      <w:tblGrid>
        <w:gridCol w:w="1957"/>
        <w:gridCol w:w="1689"/>
        <w:gridCol w:w="1694"/>
        <w:gridCol w:w="211"/>
        <w:gridCol w:w="721"/>
        <w:gridCol w:w="109"/>
        <w:gridCol w:w="109"/>
        <w:gridCol w:w="109"/>
        <w:gridCol w:w="109"/>
        <w:gridCol w:w="211"/>
        <w:gridCol w:w="721"/>
        <w:gridCol w:w="109"/>
        <w:gridCol w:w="211"/>
        <w:gridCol w:w="721"/>
        <w:gridCol w:w="109"/>
        <w:gridCol w:w="109"/>
        <w:gridCol w:w="109"/>
        <w:gridCol w:w="109"/>
        <w:gridCol w:w="211"/>
        <w:gridCol w:w="721"/>
        <w:gridCol w:w="156"/>
      </w:tblGrid>
      <w:tr>
        <w:trPr/>
        <w:tc>
          <w:tcPr>
            <w:tcW w:w="195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interest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depreciation expense included in cost of sales for rentals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depreciation and amortization expense in 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stock-based compensation </w:t>
            </w:r>
            <w:r>
              <w:rPr>
                <w:rFonts w:ascii="Times New Roman;sans-serif" w:hAnsi="Times New Roman;sans-serif"/>
                <w:b w:val="false"/>
                <w:color w:val="000000"/>
                <w:sz w:val="13"/>
              </w:rPr>
              <w:t>(a)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integration and acquisition (benefits) expenses </w:t>
            </w:r>
            <w:r>
              <w:rPr>
                <w:rFonts w:ascii="Times New Roman;sans-serif" w:hAnsi="Times New Roman;sans-serif"/>
                <w:b w:val="false"/>
                <w:color w:val="000000"/>
                <w:sz w:val="13"/>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auditor transition costs </w:t>
            </w:r>
            <w:r>
              <w:rPr>
                <w:rFonts w:ascii="Times New Roman;sans-serif" w:hAnsi="Times New Roman;sans-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remediation expenses </w:t>
            </w:r>
            <w:r>
              <w:rPr>
                <w:rFonts w:ascii="Times New Roman;sans-serif" w:hAnsi="Times New Roman;sans-serif"/>
                <w:b w:val="false"/>
                <w:color w:val="000000"/>
                <w:sz w:val="13"/>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severance expenses </w:t>
            </w:r>
            <w:r>
              <w:rPr>
                <w:rFonts w:ascii="Times New Roman;sans-serif" w:hAnsi="Times New Roman;sans-serif"/>
                <w:b w:val="false"/>
                <w:color w:val="000000"/>
                <w:sz w:val="13"/>
              </w:rPr>
              <w:t>(e)</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We have excluded stock-based compensation, as it does not reflect our cash-based operations.</w:t>
        <w:br/>
      </w: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We have excluded benefits and expenses incurred in connection with business acquisitions as they do not represent recurring costs or charges related to our core operations.</w:t>
      </w:r>
    </w:p>
    <w:p>
      <w:pPr>
        <w:pStyle w:val="TextBody"/>
        <w:bidi w:val="0"/>
        <w:spacing w:lineRule="auto" w:line="288" w:before="100" w:after="6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 xml:space="preserve">Costs incurred as a result of former auditor consent procedures. See </w:t>
      </w:r>
      <w:r>
        <w:rPr>
          <w:rFonts w:ascii="Times New Roman;sans-serif" w:hAnsi="Times New Roman;sans-serif"/>
          <w:b w:val="false"/>
          <w:i/>
          <w:color w:val="000000"/>
          <w:sz w:val="16"/>
        </w:rPr>
        <w:t xml:space="preserve">Item 9. Changes in and Disagreements with Accountants on Accounting and Financial Disclosure </w:t>
      </w:r>
      <w:r>
        <w:rPr>
          <w:rFonts w:ascii="Times New Roman;sans-serif" w:hAnsi="Times New Roman;sans-serif"/>
          <w:b w:val="false"/>
          <w:color w:val="000000"/>
          <w:sz w:val="16"/>
        </w:rPr>
        <w:t>of the Company's Annual Report</w:t>
      </w:r>
      <w:r>
        <w:rPr>
          <w:rFonts w:ascii="Times New Roman;sans-serif" w:hAnsi="Times New Roman;sans-serif"/>
          <w:b w:val="false"/>
          <w:i/>
          <w:color w:val="000000"/>
          <w:sz w:val="16"/>
        </w:rPr>
        <w:t>.</w:t>
      </w:r>
    </w:p>
    <w:p>
      <w:pPr>
        <w:pStyle w:val="TextBody"/>
        <w:bidi w:val="0"/>
        <w:spacing w:lineRule="auto" w:line="288" w:before="0" w:after="0"/>
        <w:jc w:val="both"/>
        <w:rPr/>
      </w:pPr>
      <w:r>
        <w:rPr>
          <w:rFonts w:ascii="Times New Roman;sans-serif" w:hAnsi="Times New Roman;sans-serif"/>
          <w:b w:val="false"/>
          <w:color w:val="000000"/>
          <w:sz w:val="10"/>
        </w:rPr>
        <w:t xml:space="preserve">(d) </w:t>
      </w:r>
      <w:r>
        <w:rPr>
          <w:rFonts w:ascii="Times New Roman;sans-serif" w:hAnsi="Times New Roman;sans-serif"/>
          <w:b w:val="false"/>
          <w:color w:val="000000"/>
          <w:sz w:val="16"/>
        </w:rPr>
        <w:t xml:space="preserve">Consists of one-time project expenses incurred in connection with remediation of previously identified material weaknesses in our internal control over financial reporting which were remediated during fiscal year ended June 30, 2024. See </w:t>
      </w:r>
      <w:r>
        <w:rPr>
          <w:rFonts w:ascii="Times New Roman;sans-serif" w:hAnsi="Times New Roman;sans-serif"/>
          <w:b w:val="false"/>
          <w:i/>
          <w:color w:val="000000"/>
          <w:sz w:val="16"/>
        </w:rPr>
        <w:t xml:space="preserve">Item 9A Section e - Remediation of Prior Material Weaknesses </w:t>
      </w:r>
      <w:r>
        <w:rPr>
          <w:rFonts w:ascii="Times New Roman;sans-serif" w:hAnsi="Times New Roman;sans-serif"/>
          <w:b w:val="false"/>
          <w:color w:val="000000"/>
          <w:sz w:val="16"/>
        </w:rPr>
        <w:t>of the Company's Annual Report</w:t>
      </w:r>
      <w:r>
        <w:rPr>
          <w:rFonts w:ascii="Times New Roman;sans-serif" w:hAnsi="Times New Roman;sans-serif"/>
          <w:b w:val="false"/>
          <w:i/>
          <w:color w:val="000000"/>
          <w:sz w:val="16"/>
        </w:rPr>
        <w:t>.</w:t>
      </w:r>
    </w:p>
    <w:p>
      <w:pPr>
        <w:pStyle w:val="TextBody"/>
        <w:bidi w:val="0"/>
        <w:spacing w:lineRule="auto" w:line="288" w:before="0" w:after="0"/>
        <w:jc w:val="both"/>
        <w:rPr/>
      </w:pPr>
      <w:r>
        <w:rPr>
          <w:rFonts w:ascii="Times New Roman;sans-serif" w:hAnsi="Times New Roman;sans-serif"/>
          <w:b w:val="false"/>
          <w:i/>
          <w:color w:val="000000"/>
          <w:sz w:val="10"/>
        </w:rPr>
        <w:t xml:space="preserve">(e) </w:t>
      </w:r>
      <w:r>
        <w:rPr>
          <w:rFonts w:ascii="Times New Roman;sans-serif" w:hAnsi="Times New Roman;sans-serif"/>
          <w:b w:val="false"/>
          <w:color w:val="000000"/>
          <w:sz w:val="16"/>
        </w:rPr>
        <w:t>Consists of expenses incurred in connection with non-recurring severance charges related to work force reduction.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Sources of Funds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primarily through cash from operating activities, debt financings, and equity issuances. The Company's primary sources of capital available are cash and cash equivalents on hand of $46.3 million as of March 31, 2025 and the cash that we expect to be provided by operating activities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 on various operational efficiencies to improve overall profitability of the business and continue to grow our business both domestically and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March 31, 2025, net cash provided by operating activities was $10.9 million which is the result of our net income of $57.7 million, offset by non-cash operating adjustments of $23.3 million and $23.5 million of cash utilized by working capital accounts. The change in working capital was primarily driven by an increase in cash utilized by accounts payable and accrued expenses of $26.0 million, offset by a $9.5 million decrease in accounts receivable primarily due to cash collections. Increases in cash utilized by accounts payable and accrued expenses and as well as the collection of accounts receivable were primarily the result of the timing of payments made for transaction processing as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March 31, 2024, net cash provided by operating activities was $13.5 million which reflects our net income of $9.8 million and non-cash operating charges of $18.5 million, partially offset by $14.8 million of cash utilized by working capital accounts. The change in working capital accounts was primarily driven by a $16.5 million increase in accounts receivable and a increase in accounts payable and accrued expenses of $8.5 million in the period. The increase in the accounts receivable balance as of March 31, 2024 was a result of increased sales during the nine months ended March 31, 2024 and the timing of the cash receipts compared to the prior year period.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Non-cash operating adjustments primarily consisted of the release of our income tax valuation allowance as described in </w:t>
      </w:r>
      <w:r>
        <w:rPr>
          <w:rFonts w:ascii="Times New Roman;sans-serif" w:hAnsi="Times New Roman;sans-serif"/>
          <w:b w:val="false"/>
          <w:i/>
          <w:color w:val="000000"/>
          <w:sz w:val="20"/>
        </w:rPr>
        <w:t>Note 12, Income Taxes</w:t>
      </w:r>
      <w:r>
        <w:rPr>
          <w:rFonts w:ascii="Times New Roman;sans-serif" w:hAnsi="Times New Roman;sans-serif"/>
          <w:b w:val="false"/>
          <w:color w:val="000000"/>
          <w:sz w:val="20"/>
        </w:rPr>
        <w:t xml:space="preserve">, offset by depreciation of property and equipment, amortization of our intangible assets, provisions for expected losses and stock-based compensation for the nine months ended March 31,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$23.0 million for the nine months ended March 31, 2025. We invested $11.9 million in property and equipment as the Company continued to focus on investing in innovative technologies and products, and increasing rental devices enrolled in the Company's Cantaloupe One program. Additionally, the Company invested $11.1 million through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$13.9 million for the nine months ended March 31, 2024. We invested $9.2 million in property and equipment. Additionally, the Company invested $4.8 million through its CHEQ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cash used in financing activities was $0.4 million and for the nine months ended March 31, 2025 which was primarily due to the amended and restated credit agreement, partially offset by debt repayments on the 2022 Amended JPMorgan Credit Facility and deferred cash consideration for the acquisition of Cheq, as described in </w:t>
      </w:r>
      <w:r>
        <w:rPr>
          <w:rFonts w:ascii="Times New Roman;sans-serif" w:hAnsi="Times New Roman;sans-serif"/>
          <w:b w:val="false"/>
          <w:i/>
          <w:color w:val="000000"/>
          <w:sz w:val="20"/>
        </w:rPr>
        <w:t>Note 6 - Debt and Other Financing Arrangements</w:t>
      </w:r>
      <w:r>
        <w:rPr>
          <w:rFonts w:ascii="Times New Roman;sans-serif" w:hAnsi="Times New Roman;sans-serif"/>
          <w:b w:val="false"/>
          <w:color w:val="000000"/>
          <w:sz w:val="20"/>
        </w:rPr>
        <w:t>. Net cash used in financing activities for the nine months ended March 31, 2024 was $0.3 million, which is primarily driven by debt repayments on the 2022 Amended JPMorgan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2025, there were no significant changes to our contractual obligations from those disclosed in the section “Management’s Discussion and Analysis of Financial Condition and Results of Operations” in our Annual Report for the fiscal year ended June 30, 2024, other than the amendment to our debt agreement noted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As described in </w:t>
      </w:r>
      <w:r>
        <w:rPr>
          <w:rFonts w:ascii="Times New Roman;sans-serif" w:hAnsi="Times New Roman;sans-serif"/>
          <w:b w:val="false"/>
          <w:i/>
          <w:color w:val="000000"/>
          <w:sz w:val="20"/>
        </w:rPr>
        <w:t>Note 6 - Debt and Other Financing Arrangements</w:t>
      </w:r>
      <w:r>
        <w:rPr>
          <w:rFonts w:ascii="Times New Roman;sans-serif" w:hAnsi="Times New Roman;sans-serif"/>
          <w:b w:val="false"/>
          <w:color w:val="000000"/>
          <w:sz w:val="20"/>
        </w:rPr>
        <w:t>, in January 2025 we amended our debt agreement to defer the maturity date until January 2030 and increase our borrowing capacity.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ESTIMATES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There have been no material changes to our critical accounting estimates from those disclosed in our Annual Report on for the fiscal year ended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for a description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pPr>
      <w:r>
        <w:rPr>
          <w:rFonts w:ascii="Times New Roman;sans-serif" w:hAnsi="Times New Roman;sans-serif"/>
          <w:b w:val="false"/>
          <w:color w:val="000000"/>
          <w:sz w:val="20"/>
        </w:rPr>
        <w:t xml:space="preserve">As of March 31, 2025, we are exposed to market risk related to changes in interest rates on our outstanding borrowings described in </w:t>
      </w:r>
      <w:r>
        <w:rPr>
          <w:rFonts w:ascii="Times New Roman;sans-serif" w:hAnsi="Times New Roman;sans-serif"/>
          <w:b w:val="false"/>
          <w:i/>
          <w:color w:val="000000"/>
          <w:sz w:val="20"/>
        </w:rPr>
        <w:t>Note 6 - Debt and Other Financing Arrangements</w:t>
      </w:r>
      <w:r>
        <w:rPr>
          <w:rFonts w:ascii="Times New Roman;sans-serif" w:hAnsi="Times New Roman;sans-serif"/>
          <w:b w:val="false"/>
          <w:color w:val="000000"/>
          <w:sz w:val="20"/>
        </w:rPr>
        <w:t>. As of March 31, 2025, we have $39.5 million total outstanding borrowings, an increase of 100 basis points in SOFR Rate would result in a change in interest expen</w:t>
      </w:r>
      <w:r>
        <w:rPr>
          <w:rFonts w:ascii="Times New Roman;sans-serif" w:hAnsi="Times New Roman;sans-serif"/>
          <w:b w:val="false"/>
          <w:color w:val="000000"/>
          <w:sz w:val="20"/>
          <w:shd w:fill="FFFFFF" w:val="clear"/>
        </w:rPr>
        <w:t xml:space="preserve">se of </w:t>
      </w:r>
      <w:r>
        <w:rPr>
          <w:rFonts w:ascii="Times New Roman;sans-serif" w:hAnsi="Times New Roman;sans-serif"/>
          <w:b w:val="false"/>
          <w:color w:val="000000"/>
          <w:sz w:val="20"/>
        </w:rPr>
        <w:t>$0.4 million</w:t>
      </w:r>
      <w:r>
        <w:rPr>
          <w:color w:val="000000"/>
          <w:shd w:fill="FFFFFF" w:val="clear"/>
        </w:rPr>
        <w:t xml:space="preserve"> </w:t>
      </w:r>
      <w:r>
        <w:rPr>
          <w:rFonts w:ascii="Times New Roman;sans-serif" w:hAnsi="Times New Roman;sans-serif"/>
          <w:b w:val="false"/>
          <w:color w:val="000000"/>
          <w:sz w:val="20"/>
          <w:shd w:fill="FFFFFF" w:val="clear"/>
        </w:rPr>
        <w:t>p</w:t>
      </w:r>
      <w:r>
        <w:rPr>
          <w:rFonts w:ascii="Times New Roman;sans-serif" w:hAnsi="Times New Roman;sans-serif"/>
          <w:b w:val="false"/>
          <w:color w:val="000000"/>
          <w:sz w:val="20"/>
        </w:rPr>
        <w:t xml:space="preserve">er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market risk related to changes in interest rates on our cash investments and foreign currency exchange rates.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risks on accounts receivable and equipment leases where the Company acts as the lessor. Exposure to market and credit risk is materially consistent with our presentation in Part II, Item 7A of our Annual Report for the year ended June 30, 2024.</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w:t>
      </w:r>
      <w:r>
        <w:rPr>
          <w:rFonts w:ascii="Times New Roman;sans-serif" w:hAnsi="Times New Roman;sans-serif"/>
          <w:b w:val="false"/>
          <w:color w:val="000000"/>
          <w:sz w:val="20"/>
          <w:shd w:fill="FFFFFF" w:val="clear"/>
        </w:rPr>
        <w:t xml:space="preserve">s were effective as of </w:t>
      </w:r>
      <w:r>
        <w:rPr>
          <w:rFonts w:ascii="Times New Roman;sans-serif" w:hAnsi="Times New Roman;sans-serif"/>
          <w:b w:val="false"/>
          <w:color w:val="000000"/>
          <w:sz w:val="20"/>
        </w:rPr>
        <w:t xml:space="preserve">March 31, 2025.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the Company’s internal control over financial reporting that occurred during the fiscal quarter ended March 31, 2025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information required by this Item is incorporated herein by reference to the Notes to condensed consolidated financial statements, </w:t>
      </w:r>
      <w:r>
        <w:rPr>
          <w:rFonts w:ascii="Times New Roman;sans-serif" w:hAnsi="Times New Roman;sans-serif"/>
          <w:b w:val="false"/>
          <w:i/>
          <w:color w:val="000000"/>
          <w:sz w:val="20"/>
        </w:rPr>
        <w:t>Note 14 – Commitments and Contingencies</w:t>
      </w:r>
      <w:r>
        <w:rPr>
          <w:color w:val="000000"/>
        </w:rPr>
        <w:t xml:space="preserve"> </w:t>
      </w:r>
      <w:r>
        <w:rPr>
          <w:rFonts w:ascii="Times New Roman;sans-serif" w:hAnsi="Times New Roman;sans-serif"/>
          <w:b w:val="false"/>
          <w:color w:val="000000"/>
          <w:sz w:val="20"/>
        </w:rPr>
        <w:t>in Part I, Item 1, of this Quarterly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Company’s risk factors, see the information under disclosed in Item 1A in the Company’s Annual Report on for the fiscal year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 10b5-1 Trading Plans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During the fiscal quarter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none of the </w:t>
      </w:r>
      <w:r>
        <w:rPr>
          <w:rFonts w:ascii="Times New Roman;sans-serif" w:hAnsi="Times New Roman;sans-serif"/>
          <w:b w:val="false"/>
          <w:color w:val="000000"/>
          <w:sz w:val="20"/>
        </w:rPr>
        <w:t>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2774"/>
        <w:gridCol w:w="2625"/>
        <w:gridCol w:w="3748"/>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Amended and Restated Articles of Incorporation (incorporated by reference to Exhibit 3.1 to Form 10-Q filed on February 4, 2022).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FF"/>
                  <w:sz w:val="20"/>
                  <w:u w:val="single"/>
                </w:rPr>
                <w:t>Second Amended and Restated Bylaws (incorporated by reference to Exhibit 3.1 to Form 8-K filed on August 10, 2021)</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FF"/>
                  <w:sz w:val="20"/>
                  <w:u w:val="single"/>
                </w:rPr>
                <w:t>Second Amended and Restated Credit Agreement, by and among the Company, certain of its subsidiaries, and JPMorgan Chase Bank, N.A. and Capital One, National Association, dated January 31, 2025 (incorporated by reference to Exhibit 10.1 to Form 8-K filed on February 5, 2025).</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x311.htm">
              <w:r>
                <w:rPr>
                  <w:rStyle w:val="InternetLink"/>
                  <w:rFonts w:ascii="Times New Roman;sans-serif" w:hAnsi="Times New Roman;sans-serif"/>
                  <w:b w:val="false"/>
                  <w:color w:val="0000FF"/>
                  <w:sz w:val="20"/>
                  <w:u w:val="single"/>
                </w:rPr>
                <w:t>Certifications of Chief Executive Officer pursuant to Rule 13a-14(a) under the Securities Exchange Act of 1934.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x312.htm">
              <w:r>
                <w:rPr>
                  <w:rStyle w:val="InternetLink"/>
                  <w:rFonts w:ascii="Times New Roman;sans-serif" w:hAnsi="Times New Roman;sans-serif"/>
                  <w:b w:val="false"/>
                  <w:color w:val="0000FF"/>
                  <w:sz w:val="20"/>
                  <w:u w:val="single"/>
                </w:rPr>
                <w:t>Certifications of Chief Financial Officer pursuant to Rule 13a-14(a) under the Securities Exchange Act of 1934.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0331-exx322.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our Quarterly Report on Form 10-Q for the quarter ended March 31, 2025, filed with the SEC on May 8, 2025, is formatted in Inline Extensible Business Reporting Language (“iXBRL”): (1) the Condensed Consolidated Balance Sheets as of March 31, 2025 and June 30, 2024, (2) the Condensed Consolidated Statements of Operations for the three-month and nine-month periods ended March 31, 2025 and 2024, (3) the Condensed Consolidated Statements of Other Comprehensive Income for the three-month and nine-month periods ended March 31, 2025 and 2024, (4) the Condensed Consolidated Statements of Convertible Preferred Stock and Shareholders’ Equity for the three-month and nine-month periods ended March 31, 2025 and 2024, (5) the Condensed Consolidated Statements of Cash Flows for the nine-month periods ended March 31, 2025 and 2024, and (6) the Notes to Condensed Consolidated Financial Statements.</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our Quarterly Report on Form 10-Q for the quarter ended March 31, 2025, filed with the SEC on May 8, 2025, is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704" w:type="dxa"/>
        <w:jc w:val="left"/>
        <w:tblInd w:w="0" w:type="dxa"/>
        <w:tblLayout w:type="fixed"/>
        <w:tblCellMar>
          <w:top w:w="28" w:type="dxa"/>
          <w:left w:w="28" w:type="dxa"/>
          <w:bottom w:w="28" w:type="dxa"/>
          <w:right w:w="28" w:type="dxa"/>
        </w:tblCellMar>
      </w:tblPr>
      <w:tblGrid>
        <w:gridCol w:w="591"/>
        <w:gridCol w:w="520"/>
        <w:gridCol w:w="523"/>
        <w:gridCol w:w="605"/>
        <w:gridCol w:w="605"/>
        <w:gridCol w:w="86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Cantaloupe,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Ravi Venkatesan,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Cantaloupe,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issuer’s internal control over financial reporting.</w:t>
      </w:r>
    </w:p>
    <w:p>
      <w:pPr>
        <w:pStyle w:val="TextBody"/>
        <w:bidi w:val="0"/>
        <w:spacing w:before="0" w:after="0"/>
        <w:ind w:left="0" w:right="0" w:hanging="360"/>
        <w:jc w:val="both"/>
        <w:rPr/>
      </w:pPr>
      <w:r>
        <w:rPr/>
      </w:r>
    </w:p>
    <w:tbl>
      <w:tblPr>
        <w:tblW w:w="3704" w:type="dxa"/>
        <w:jc w:val="left"/>
        <w:tblInd w:w="0" w:type="dxa"/>
        <w:tblLayout w:type="fixed"/>
        <w:tblCellMar>
          <w:top w:w="28" w:type="dxa"/>
          <w:left w:w="28" w:type="dxa"/>
          <w:bottom w:w="28" w:type="dxa"/>
          <w:right w:w="28" w:type="dxa"/>
        </w:tblCellMar>
      </w:tblPr>
      <w:tblGrid>
        <w:gridCol w:w="591"/>
        <w:gridCol w:w="520"/>
        <w:gridCol w:w="523"/>
        <w:gridCol w:w="606"/>
        <w:gridCol w:w="606"/>
        <w:gridCol w:w="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Stewart,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Cantaloupe,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issuer’s internal control over financial reporting.</w:t>
      </w:r>
    </w:p>
    <w:p>
      <w:pPr>
        <w:pStyle w:val="TextBody"/>
        <w:bidi w:val="0"/>
        <w:spacing w:before="0" w:after="0"/>
        <w:ind w:left="0" w:right="0" w:hanging="360"/>
        <w:jc w:val="both"/>
        <w:rPr/>
      </w:pPr>
      <w:r>
        <w:rPr/>
      </w:r>
    </w:p>
    <w:tbl>
      <w:tblPr>
        <w:tblW w:w="3644" w:type="dxa"/>
        <w:jc w:val="left"/>
        <w:tblInd w:w="0" w:type="dxa"/>
        <w:tblLayout w:type="fixed"/>
        <w:tblCellMar>
          <w:top w:w="28" w:type="dxa"/>
          <w:left w:w="28" w:type="dxa"/>
          <w:bottom w:w="28" w:type="dxa"/>
          <w:right w:w="28" w:type="dxa"/>
        </w:tblCellMar>
      </w:tblPr>
      <w:tblGrid>
        <w:gridCol w:w="591"/>
        <w:gridCol w:w="520"/>
        <w:gridCol w:w="523"/>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Cantaloupe, Inc., (the “Company”) on Form 10</w:t>
        <w:noBreakHyphen/>
        <w:t>Q for the period ended March 31, 2025 (the “Report”), I, Ravi Venkatesan, Chief Executive Officer of the Company, hereby certify that to my knowledge:</w:t>
      </w:r>
    </w:p>
    <w:p>
      <w:pPr>
        <w:pStyle w:val="TextBody"/>
        <w:bidi w:val="0"/>
        <w:spacing w:lineRule="auto" w:line="333"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704" w:type="dxa"/>
        <w:jc w:val="left"/>
        <w:tblInd w:w="0" w:type="dxa"/>
        <w:tblLayout w:type="fixed"/>
        <w:tblCellMar>
          <w:top w:w="28" w:type="dxa"/>
          <w:left w:w="28" w:type="dxa"/>
          <w:bottom w:w="28" w:type="dxa"/>
          <w:right w:w="28" w:type="dxa"/>
        </w:tblCellMar>
      </w:tblPr>
      <w:tblGrid>
        <w:gridCol w:w="591"/>
        <w:gridCol w:w="520"/>
        <w:gridCol w:w="523"/>
        <w:gridCol w:w="606"/>
        <w:gridCol w:w="606"/>
        <w:gridCol w:w="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Cantaloupe, Inc., (the “Company”) on Form 10</w:t>
        <w:noBreakHyphen/>
        <w:t>Q for the period ended March 31, 2025 (the “Report”), I, Scott Stewart, Chief Financial Officer of the Company, hereby certify that to my knowledge:</w:t>
      </w:r>
    </w:p>
    <w:p>
      <w:pPr>
        <w:pStyle w:val="TextBody"/>
        <w:bidi w:val="0"/>
        <w:spacing w:lineRule="auto" w:line="333"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644" w:type="dxa"/>
        <w:jc w:val="left"/>
        <w:tblInd w:w="0" w:type="dxa"/>
        <w:tblLayout w:type="fixed"/>
        <w:tblCellMar>
          <w:top w:w="28" w:type="dxa"/>
          <w:left w:w="28" w:type="dxa"/>
          <w:bottom w:w="28" w:type="dxa"/>
          <w:right w:w="28" w:type="dxa"/>
        </w:tblCellMar>
      </w:tblPr>
      <w:tblGrid>
        <w:gridCol w:w="591"/>
        <w:gridCol w:w="520"/>
        <w:gridCol w:w="523"/>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96429/000162828022001838/a31-amendedandrestatedarti.htm" TargetMode="External"/><Relationship Id="rId4" Type="http://schemas.openxmlformats.org/officeDocument/2006/relationships/hyperlink" Target="https://www.sec.gov/ix?doc=/Archives/edgar/data/0000896429/000091412121005445/p56531664-8ki.htm" TargetMode="External"/><Relationship Id="rId5" Type="http://schemas.openxmlformats.org/officeDocument/2006/relationships/hyperlink" Target="https://www.sec.gov/ix?doc=/Archives/edgar/data/896429/000162828025004018/usat-202501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18225</Words>
  <Characters>100762</Characters>
  <CharactersWithSpaces>117408</CharactersWithSpaces>
  <Paragraphs>2837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