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86"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144"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transition period from</w:t>
            </w:r>
          </w:p>
        </w:tc>
        <w:tc>
          <w:tcPr>
            <w:tcW w:w="3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to</w:t>
            </w:r>
          </w:p>
        </w:tc>
      </w:tr>
      <w:tr>
        <w:trPr>
          <w:trHeight w:val="324"/>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90"/>
              </w:rPr>
              <w:t>Commission file number 001-33365</w:t>
            </w:r>
          </w:p>
        </w:tc>
      </w:tr>
      <w:tr>
        <w:trPr>
          <w:trHeight w:val="301"/>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USA Technologies, Inc.</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76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2"/>
        </w:trPr>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38"/>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3460" w:type="dxa"/>
            <w:vAlign w:val="bottom"/>
            <w:gridSpan w:val="2"/>
          </w:tcPr>
          <w:p>
            <w:pPr>
              <w:spacing w:after="0"/>
              <w:rPr>
                <w:sz w:val="24"/>
                <w:szCs w:val="24"/>
                <w:color w:val="auto"/>
              </w:rPr>
            </w:pPr>
          </w:p>
        </w:tc>
        <w:tc>
          <w:tcPr>
            <w:tcW w:w="32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23-2679963</w:t>
            </w:r>
          </w:p>
        </w:tc>
      </w:tr>
      <w:tr>
        <w:trPr>
          <w:trHeight w:val="20"/>
        </w:trPr>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6120" w:type="dxa"/>
            <w:vAlign w:val="bottom"/>
            <w:gridSpan w:val="5"/>
          </w:tcPr>
          <w:p>
            <w:pPr>
              <w:jc w:val="center"/>
              <w:ind w:right="17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80" w:type="dxa"/>
            <w:vAlign w:val="bottom"/>
            <w:gridSpan w:val="5"/>
          </w:tcPr>
          <w:p>
            <w:pPr>
              <w:jc w:val="center"/>
              <w:ind w:left="570"/>
              <w:spacing w:after="0"/>
              <w:rPr>
                <w:sz w:val="20"/>
                <w:szCs w:val="20"/>
                <w:color w:val="auto"/>
              </w:rPr>
            </w:pPr>
            <w:r>
              <w:rPr>
                <w:rFonts w:ascii="Arial" w:cs="Arial" w:eastAsia="Arial" w:hAnsi="Arial"/>
                <w:sz w:val="18"/>
                <w:szCs w:val="18"/>
                <w:color w:val="auto"/>
                <w:w w:val="94"/>
              </w:rPr>
              <w:t>(I.R.S. Employer Identification No.)</w:t>
            </w:r>
          </w:p>
        </w:tc>
      </w:tr>
      <w:tr>
        <w:trPr>
          <w:trHeight w:val="365"/>
        </w:trPr>
        <w:tc>
          <w:tcPr>
            <w:tcW w:w="100" w:type="dxa"/>
            <w:vAlign w:val="bottom"/>
          </w:tcPr>
          <w:p>
            <w:pPr>
              <w:spacing w:after="0"/>
              <w:rPr>
                <w:sz w:val="24"/>
                <w:szCs w:val="24"/>
                <w:color w:val="auto"/>
              </w:rPr>
            </w:pPr>
          </w:p>
        </w:tc>
        <w:tc>
          <w:tcPr>
            <w:tcW w:w="6020" w:type="dxa"/>
            <w:vAlign w:val="bottom"/>
            <w:gridSpan w:val="4"/>
          </w:tcPr>
          <w:p>
            <w:pPr>
              <w:jc w:val="center"/>
              <w:ind w:right="1830"/>
              <w:spacing w:after="0"/>
              <w:rPr>
                <w:sz w:val="20"/>
                <w:szCs w:val="20"/>
                <w:color w:val="auto"/>
              </w:rPr>
            </w:pPr>
            <w:r>
              <w:rPr>
                <w:rFonts w:ascii="Arial" w:cs="Arial" w:eastAsia="Arial" w:hAnsi="Arial"/>
                <w:sz w:val="18"/>
                <w:szCs w:val="18"/>
                <w:b w:val="1"/>
                <w:bCs w:val="1"/>
                <w:color w:val="auto"/>
                <w:w w:val="90"/>
              </w:rPr>
              <w:t>100 Deerfield Lane, Suite 300, Malvern, Pennsylvania</w:t>
            </w:r>
          </w:p>
        </w:tc>
        <w:tc>
          <w:tcPr>
            <w:tcW w:w="2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91"/>
        </w:trPr>
        <w:tc>
          <w:tcPr>
            <w:tcW w:w="10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236"/>
        </w:trPr>
        <w:tc>
          <w:tcPr>
            <w:tcW w:w="612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(610) 989-0340</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1"/>
              </w:rPr>
              <w:t>Title of Each Class</w:t>
            </w:r>
          </w:p>
        </w:tc>
        <w:tc>
          <w:tcPr>
            <w:tcW w:w="2540" w:type="dxa"/>
            <w:vAlign w:val="bottom"/>
          </w:tcPr>
          <w:p>
            <w:pPr>
              <w:jc w:val="center"/>
              <w:ind w:left="119"/>
              <w:spacing w:after="0"/>
              <w:rPr>
                <w:sz w:val="20"/>
                <w:szCs w:val="20"/>
                <w:color w:val="auto"/>
              </w:rPr>
            </w:pPr>
            <w:r>
              <w:rPr>
                <w:rFonts w:ascii="Arial" w:cs="Arial" w:eastAsia="Arial" w:hAnsi="Arial"/>
                <w:sz w:val="16"/>
                <w:szCs w:val="16"/>
                <w:color w:val="auto"/>
                <w:w w:val="94"/>
              </w:rPr>
              <w:t>Trading Symbol</w:t>
            </w:r>
          </w:p>
        </w:tc>
        <w:tc>
          <w:tcPr>
            <w:tcW w:w="448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4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13"/>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2"/>
              </w:rPr>
              <w:t>Common Stock, no par value</w:t>
            </w:r>
          </w:p>
        </w:tc>
        <w:tc>
          <w:tcPr>
            <w:tcW w:w="2540" w:type="dxa"/>
            <w:vAlign w:val="bottom"/>
          </w:tcPr>
          <w:p>
            <w:pPr>
              <w:jc w:val="center"/>
              <w:ind w:left="139"/>
              <w:spacing w:after="0"/>
              <w:rPr>
                <w:sz w:val="20"/>
                <w:szCs w:val="20"/>
                <w:color w:val="auto"/>
              </w:rPr>
            </w:pPr>
            <w:r>
              <w:rPr>
                <w:rFonts w:ascii="Arial" w:cs="Arial" w:eastAsia="Arial" w:hAnsi="Arial"/>
                <w:sz w:val="16"/>
                <w:szCs w:val="16"/>
                <w:color w:val="auto"/>
                <w:w w:val="93"/>
              </w:rPr>
              <w:t>USAT</w:t>
            </w: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2"/>
              </w:rPr>
              <w:t>Series A Convertible Preferred Stock</w:t>
            </w:r>
          </w:p>
        </w:tc>
        <w:tc>
          <w:tcPr>
            <w:tcW w:w="2540" w:type="dxa"/>
            <w:vAlign w:val="bottom"/>
          </w:tcPr>
          <w:p>
            <w:pPr>
              <w:jc w:val="center"/>
              <w:ind w:left="119"/>
              <w:spacing w:after="0"/>
              <w:rPr>
                <w:sz w:val="20"/>
                <w:szCs w:val="20"/>
                <w:color w:val="auto"/>
              </w:rPr>
            </w:pPr>
            <w:r>
              <w:rPr>
                <w:rFonts w:ascii="Arial" w:cs="Arial" w:eastAsia="Arial" w:hAnsi="Arial"/>
                <w:sz w:val="16"/>
                <w:szCs w:val="16"/>
                <w:color w:val="auto"/>
                <w:w w:val="93"/>
              </w:rPr>
              <w:t>USATP</w:t>
            </w: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78"/>
        </w:trPr>
        <w:tc>
          <w:tcPr>
            <w:tcW w:w="5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0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w w:val="95"/>
              </w:rPr>
              <w:t>Non-accelerated filer (Do not check if a smaller reporting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30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February 3, 2020 there were 64,171,422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40" w:type="dxa"/>
            <w:vAlign w:val="bottom"/>
          </w:tcPr>
          <w:p>
            <w:pPr>
              <w:spacing w:after="0"/>
              <w:rPr>
                <w:sz w:val="17"/>
                <w:szCs w:val="17"/>
                <w:color w:val="auto"/>
              </w:rPr>
            </w:pPr>
          </w:p>
        </w:tc>
      </w:tr>
      <w:tr>
        <w:trPr>
          <w:trHeight w:val="434"/>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7"/>
          </w:tcPr>
          <w:p>
            <w:pPr>
              <w:jc w:val="center"/>
              <w:ind w:right="1960"/>
              <w:spacing w:after="0"/>
              <w:rPr>
                <w:sz w:val="20"/>
                <w:szCs w:val="20"/>
                <w:color w:val="auto"/>
              </w:rPr>
            </w:pPr>
            <w:r>
              <w:rPr>
                <w:rFonts w:ascii="Arial" w:cs="Arial" w:eastAsia="Arial" w:hAnsi="Arial"/>
                <w:sz w:val="18"/>
                <w:szCs w:val="18"/>
                <w:b w:val="1"/>
                <w:bCs w:val="1"/>
                <w:color w:val="auto"/>
              </w:rPr>
              <w:t>USA TECHNOLOGIES, INC.</w:t>
            </w:r>
          </w:p>
        </w:tc>
        <w:tc>
          <w:tcPr>
            <w:tcW w:w="19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19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 Financial Information</w:t>
              </w:r>
            </w:hyperlink>
          </w:p>
        </w:tc>
        <w:tc>
          <w:tcPr>
            <w:tcW w:w="7300" w:type="dxa"/>
            <w:vAlign w:val="bottom"/>
            <w:gridSpan w:val="11"/>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160" w:type="dxa"/>
            <w:vAlign w:val="bottom"/>
            <w:gridSpan w:val="14"/>
          </w:tcPr>
          <w:p>
            <w:pPr>
              <w:spacing w:after="0"/>
              <w:rPr>
                <w:sz w:val="20"/>
                <w:szCs w:val="20"/>
                <w:color w:val="auto"/>
              </w:rPr>
            </w:pPr>
            <w:r>
              <w:rPr>
                <w:rFonts w:ascii="Arial" w:cs="Arial" w:eastAsia="Arial" w:hAnsi="Arial"/>
                <w:sz w:val="18"/>
                <w:szCs w:val="18"/>
                <w:color w:val="0000EE"/>
              </w:rPr>
              <w:t>Condensed Consolidated Financial Statements</w:t>
            </w:r>
          </w:p>
        </w:tc>
        <w:tc>
          <w:tcPr>
            <w:tcW w:w="19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7"/>
              </w:rPr>
              <w:t>Condensed Consolidated Balance Sheets (unaudited)</w:t>
            </w:r>
          </w:p>
        </w:tc>
        <w:tc>
          <w:tcPr>
            <w:tcW w:w="4380" w:type="dxa"/>
            <w:vAlign w:val="bottom"/>
            <w:gridSpan w:val="7"/>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8"/>
              </w:rPr>
              <w:t>Condensed Consolidated Statements of Operations (unaudited)</w:t>
            </w:r>
          </w:p>
        </w:tc>
        <w:tc>
          <w:tcPr>
            <w:tcW w:w="3660" w:type="dxa"/>
            <w:vAlign w:val="bottom"/>
            <w:gridSpan w:val="4"/>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Condensed Consolidated Statements of Shareholders’ Equity (unaudited)</w:t>
            </w:r>
          </w:p>
        </w:tc>
        <w:tc>
          <w:tcPr>
            <w:tcW w:w="2920" w:type="dxa"/>
            <w:vAlign w:val="bottom"/>
            <w:gridSpan w:val="2"/>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8"/>
              </w:rPr>
              <w:t>Condensed Consolidated Statements of Cash Flows (unaudited)</w:t>
            </w:r>
          </w:p>
        </w:tc>
        <w:tc>
          <w:tcPr>
            <w:tcW w:w="3600" w:type="dxa"/>
            <w:vAlign w:val="bottom"/>
            <w:gridSpan w:val="3"/>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19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816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94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81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19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81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19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Part II - Other Information</w:t>
              </w:r>
            </w:hyperlink>
          </w:p>
        </w:tc>
        <w:tc>
          <w:tcPr>
            <w:tcW w:w="7440" w:type="dxa"/>
            <w:vAlign w:val="bottom"/>
            <w:gridSpan w:val="12"/>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816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9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816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19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9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1"/>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Accounts receivable, less allowance of $6,261 and $4,866, respectively</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21,906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68,928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63,945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114,447</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195,720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183,375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convertible preferred stock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24,496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23,351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65,367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and long-term debt, less current portion</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expenses, less current portion</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65,814</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preferences of $20,444 and $20,111 at December 31, 2019 and June 30, 2019, respectively</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Preferred stock, no par value, 1,800,000 shares authorized, no shares issued</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Common stock, no par value, 640,000,000 shares authorized, 64,171,422 and 60,008,481 shares issued and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2019 and June 30, 2019,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376,853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(282,316)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(262,430)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195,720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183,375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3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3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6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35,754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29,733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70,363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58,404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87,410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68,254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18,564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of sales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63,232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47,761</w:t>
            </w:r>
          </w:p>
        </w:tc>
        <w:tc>
          <w:tcPr>
            <w:tcW w:w="0" w:type="dxa"/>
            <w:vAlign w:val="bottom"/>
          </w:tcPr>
          <w:p>
            <w:pPr>
              <w:spacing w:after="0"/>
              <w:rPr>
                <w:sz w:val="1"/>
                <w:szCs w:val="1"/>
                <w:color w:val="auto"/>
              </w:rPr>
            </w:pPr>
          </w:p>
        </w:tc>
      </w:tr>
      <w:tr>
        <w:trPr>
          <w:trHeight w:val="3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20,493</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18,700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36,807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20,381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20,518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43,212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35,474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3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applicable to common shares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63,664,256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60,059,936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61,891,197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60,056,924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63,664,256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0"/>
              </w:rPr>
              <w:t>60,059,936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61,891,197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60,056,924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 Period Ended December 31,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2019</w:t>
            </w:r>
          </w:p>
        </w:tc>
        <w:tc>
          <w:tcPr>
            <w:tcW w:w="310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60,008,481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1720" w:type="dxa"/>
            <w:vAlign w:val="bottom"/>
            <w:gridSpan w:val="2"/>
          </w:tcPr>
          <w:p>
            <w:pPr>
              <w:spacing w:after="0"/>
              <w:rPr>
                <w:sz w:val="20"/>
                <w:szCs w:val="20"/>
                <w:color w:val="auto"/>
              </w:rPr>
            </w:pPr>
          </w:p>
        </w:tc>
        <w:tc>
          <w:tcPr>
            <w:tcW w:w="13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60,008,481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377,143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103,205</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Issuance of common stock in relation to private placement, net of offering</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of $1,102</w:t>
            </w:r>
          </w:p>
        </w:tc>
        <w:tc>
          <w:tcPr>
            <w:tcW w:w="310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3,800,000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3100" w:type="dxa"/>
            <w:vAlign w:val="bottom"/>
            <w:gridSpan w:val="3"/>
          </w:tcPr>
          <w:p>
            <w:pPr>
              <w:jc w:val="right"/>
              <w:ind w:right="56"/>
              <w:spacing w:after="0"/>
              <w:rPr>
                <w:sz w:val="20"/>
                <w:szCs w:val="20"/>
                <w:color w:val="auto"/>
              </w:rPr>
            </w:pPr>
            <w:r>
              <w:rPr>
                <w:rFonts w:ascii="Arial" w:cs="Arial" w:eastAsia="Arial" w:hAnsi="Arial"/>
                <w:sz w:val="18"/>
                <w:szCs w:val="18"/>
                <w:color w:val="auto"/>
              </w:rPr>
              <w:t>362,941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Pr>
          <w:p>
            <w:pPr>
              <w:ind w:left="40"/>
              <w:spacing w:after="0"/>
              <w:rPr>
                <w:sz w:val="20"/>
                <w:szCs w:val="20"/>
                <w:color w:val="auto"/>
              </w:rPr>
            </w:pPr>
            <w:r>
              <w:rPr>
                <w:rFonts w:ascii="Arial" w:cs="Arial" w:eastAsia="Arial" w:hAnsi="Arial"/>
                <w:sz w:val="18"/>
                <w:szCs w:val="18"/>
                <w:color w:val="auto"/>
              </w:rPr>
              <w:t>Balance, December 31, 2019</w:t>
            </w:r>
          </w:p>
        </w:tc>
        <w:tc>
          <w:tcPr>
            <w:tcW w:w="1720" w:type="dxa"/>
            <w:vAlign w:val="bottom"/>
            <w:gridSpan w:val="2"/>
          </w:tcPr>
          <w:p>
            <w:pPr>
              <w:spacing w:after="0"/>
              <w:rPr>
                <w:sz w:val="21"/>
                <w:szCs w:val="21"/>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64,171,422</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395,662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(282,316)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113,346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00" w:type="dxa"/>
            <w:vAlign w:val="bottom"/>
          </w:tcPr>
          <w:p>
            <w:pPr>
              <w:spacing w:after="0"/>
              <w:rPr>
                <w:sz w:val="24"/>
                <w:szCs w:val="24"/>
                <w:color w:val="auto"/>
              </w:rPr>
            </w:pPr>
          </w:p>
        </w:tc>
        <w:tc>
          <w:tcPr>
            <w:tcW w:w="364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3"/>
              </w:rPr>
              <w:t>Six Month Period Ended December 31, 2018</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310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59,998,811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142,688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3"/>
              </w:rPr>
              <w:t>Cumulative effect adjustment for ASC 606 adoption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1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10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13,344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310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60,012,155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137,970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3100" w:type="dxa"/>
            <w:vAlign w:val="bottom"/>
            <w:gridSpan w:val="3"/>
          </w:tcPr>
          <w:p>
            <w:pPr>
              <w:jc w:val="right"/>
              <w:ind w:right="56"/>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3100" w:type="dxa"/>
            <w:vAlign w:val="bottom"/>
            <w:gridSpan w:val="3"/>
          </w:tcPr>
          <w:p>
            <w:pPr>
              <w:jc w:val="right"/>
              <w:ind w:right="56"/>
              <w:spacing w:after="0"/>
              <w:rPr>
                <w:sz w:val="20"/>
                <w:szCs w:val="20"/>
                <w:color w:val="auto"/>
              </w:rPr>
            </w:pPr>
            <w:r>
              <w:rPr>
                <w:rFonts w:ascii="Arial" w:cs="Arial" w:eastAsia="Arial" w:hAnsi="Arial"/>
                <w:sz w:val="18"/>
                <w:szCs w:val="18"/>
                <w:color w:val="auto"/>
              </w:rPr>
              <w:t>60,013,718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376,363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(248,274)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128,089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89"/>
              </w:rPr>
              <w:t>2018</w:t>
            </w: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(19,886)</w:t>
            </w:r>
          </w:p>
        </w:tc>
        <w:tc>
          <w:tcPr>
            <w:tcW w:w="10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(15,726)</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stock based compensation</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972</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Loss (gain) on disposal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interest and amortization of debt discount</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Provision for inventory reserve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1,211</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3,972</w:t>
            </w: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lease expense</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4,332</w:t>
            </w: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Finance receivables,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(1,588)</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w:t>
            </w: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Operating lease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264"/>
        </w:trPr>
        <w:tc>
          <w:tcPr>
            <w:tcW w:w="8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Income taxes payable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(16,590)</w:t>
            </w: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(2,324)</w:t>
            </w: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(2,242)</w:t>
            </w:r>
          </w:p>
        </w:tc>
      </w:tr>
      <w:tr>
        <w:trPr>
          <w:trHeight w:val="249"/>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long-term debt and equity issuance by Antara</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34,950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Repayment of revolving credit facility</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Payment of debt and equity issuance costs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(1,633)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21,208</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(1,939)</w:t>
            </w:r>
          </w:p>
        </w:tc>
      </w:tr>
      <w:tr>
        <w:trPr>
          <w:trHeight w:val="249"/>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10,041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(20,771)</w:t>
            </w: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27,464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83,964</w:t>
            </w:r>
          </w:p>
        </w:tc>
      </w:tr>
      <w:tr>
        <w:trPr>
          <w:trHeight w:val="283"/>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37,505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63,193</w:t>
            </w:r>
          </w:p>
        </w:tc>
      </w:tr>
      <w:tr>
        <w:trPr>
          <w:trHeight w:val="224"/>
        </w:trPr>
        <w:tc>
          <w:tcPr>
            <w:tcW w:w="8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3"/>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Debt and equity issuance costs incurred but not yet paid related to Antara issuance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paid in cash</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w:t>
            </w:r>
          </w:p>
        </w:tc>
      </w:tr>
      <w:tr>
        <w:trPr>
          <w:trHeight w:val="21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Income taxes paid in cash</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2019 Annual Report on Form 10-K. In the opinion of management, all adjustments considered necessary for a fair presentation, consisting of normal recurring adjustments, have been included. Operating results for the three and six months ended December 31, 2019 are not necessarily indicative of the results that may be expected for the year ending June 30, 2020. The balance sheet at June 30, 2019 has been derived from the audited consolidated financial statements at that date, but does not include all disclosures required by accounting principles generally accepted in the United States of America.</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preparation of the condensed consolidated financial statements for the three months ended December 31, 2019, the Company identified certain adjustments that are required to be made to its fiscal year 2019 interim and annual financial statements. As a result, the Company has revised in this filing certain prior year interim and annual amounts in its condensed consolidated balance sheets, statements of operations and statements of cash flows and related disclosures. Such adjustments resulted in a $0.2 million decrease in net loss for the three months ended December 31, 2018 and a $1.3 million decrease in net loss for the six months ended December 31, 2018. The Company does not believe these adjustments are material to the previously issued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Accounting Standards Codification, (“ASC”) 205-40. This guidance amended the existing requirements for disclosing information about an entity’s ability to continue as a going concern and explicitly requires management to assess an entity’s ability to continue as a going concern and to provide related disclosures in certain circumstances. This guidance was effective for annual reporting periods ending after December 15, 2016, and for annual and interim reporting periods thereafter. The following information reflects the results of management’s assessment, plans and conclusion of the Company’s ability to continue as a going concern.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June 30, 2019, the Company had $27.5 million in cash and a working capital surplus of $3.6 million. As of June 30, 2019, the Company was not in compliance with the fixed charge coverage ratio and the total leverage ratio of its Revolving Credit Facility and Term Loan, which represented an event of default under the credit agreement. As a result, the Company classified all amounts outstanding ($11.5 million) under these credit facilities as current liabilities. Additionally, as of June 30, 2019, the Company identified sales tax liabilities and related interest in the aggregate amount of $16.6 million. Also, the Company has reported aggregate net losses of $48.6 million for the three year period ended June 30, 2019.</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its need to develop a cash management strategy, the Company developed a plan that included potentially seeking to extend the credit borrowings to beyond one year, securing a commitment for the sale of its long-term receivables, and obtaining outside financing.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Stock Purchase Agreement dated October 9, 2019 between the Company and Antara Capital Master Fund LP (“Antara”), the Company sold to Antara 3,800,000 shares of the Company’s common stock at a price of $5.25 per share for an aggregate purchase price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In connection with the private placement, William Blair &amp; Company, L.L.C. (“Blair”) acted as exclusive placement agent for the Company and received a cash placement fee of $1.2 million.</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9, 2019, the Company also entered into a commitment letter (“Commitment Letter”) with Antara, pursuant to which Antara committed to extend to the Company a $30.0 million senior secured term loan facility (“Term Facility”). Upon the execution of the Commitment Letter, the Company paid to Antara a non-refundable commitment fee of $1.2 million. In connection with the Commitment Letter, Blair acted as exclusive placement agent for the Company and received a cash placement fee of $750,000.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 The Company will need to be in compliance with financial covenants related to the minimum fixed charge coverage ratio beginning with the fiscal quarter ending June 30, 2020, maximum capital expenditures beginning with the fiscal quarter ending December 31, 2019, and minimum consolidated EBITDA beginning with the fiscal year ending June 30, 2020. As of December 31, 2019, the Company was in compliance with its financial covenants.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in our periodic reports and proxy statements, our independent Audit Committee chairperson, Robert Metzger is employed by Blair. Mr. Metzger receives discretionary compensation from Blair based on various activities including, among other things, training activities and business development.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its current financial resources, as of the date of the issuance of these consolidated financial statements, are sufficient to fund its current twelve month operating budget, alleviating any substantial doubt raised by our historical operating results and satisfying our estimated liquidity needs for twelve months from the issuance of these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FASB issued ASU 2016-02, Leases, which requires, among other items, lessees to recognize a right of use asset and a related lease liability for most leases on the balance sheet. Lessees and lessors are required to disclose quantitative and qualitative information about leasing arrangements to enable a user of the financial statements to assess the amount, timing and uncertainty of cash flows arising from leases. ASU 2016-02 is effective for annual reporting periods beginning after December 15, 2018, including interim periods within that reporting period and requires a modified retrospective application, with early adoption permitted. The Company adopted this new guidance on July 1, 2019, using the optional modified retrospective transition method applying the guidance to leases existing as of the effective date. The Company has determined that there was no cumulative-effect adjustment to beginning retained earnings on the consolidated balance sheet. We will continue to report periods prior to July 1, 2019 in our financial statements under prior guidance as outlined in Topic 840.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adoption of ASU No. 2016-02 resulted in an increase in the Company’s assets and liabilities of approximately $3.9 million at July 1, 2019. The Company’s adoption of ASU No. 2016-02 did not have a material impact to the Company’s consolidated statements of operations or its consolidated statements of cash flows. Further, there was no impact on the Company’s covenant compliance under its current debt agreements as a result of the adoption of ASU No. 2016-02. The Company elected the package of practical expedients included in this guidance, which allowed it to not reassess: (i) whether any expired or existing contracts contain leases; (ii) the lease classification for any expired or existing leases; and, (iii) the initial direct costs for existing leases. From a lessee perspective, the Company elected the practical expedient related to treating lease and non-lease components as a single lease component for all leases as well as electing a policy exclusion permitting leases with an original lease term of less than one year to be excluded from the Right-of-Use (“ROU”) assets and lease liabilities. From a lessor perspective, the Company also elected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Company adopted this ASU on July 1, 2019, and its adoption did not have a material effect on the Company’s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Company adopted this ASU on July 1, 2019, and its adoption did not have a material effect on the Company’s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No. 2016-13, “Financial Instruments—Credit Losses (Topic 326).” The new guidance changes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 The Company is currently evaluating and assessing the impact this guidance will have on its condensed consolidated financial statements.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expects that the adoption of this ASU will not have a material impact on the Company’s condensed consolidated financial statements.</w:t>
      </w:r>
    </w:p>
    <w:p>
      <w:pPr>
        <w:spacing w:after="0" w:line="15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ASU 2019-12 is effective for fiscal years beginning after December 15, 2020 and interim periods within those fiscal years. The Company is currently evaluating and assessing the impact this guidance will have on its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The Company has operating and finance leases for office space, warehouses, automobiles and office equipment. USAT’s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lease agreements do not contain any material variable lease payments, material residual value guarantees or any material restrictive covenants.</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obligation to make lease payments arising from the lease. Operating lease ROU assets and liabilities are recognized at commencement date of the lease based on the present value of lease payments over the lease term. As most of our leases do not provide an implicit rate, we use our incremental borrowing rate based on the information available at commencement date in determining the present value of lease payments. The operating lease ROU asset also includes any lease payments made and excludes lease incentives. USAT has lease agreements with lease and non-lease components, which are accounted for together as a single lease component. Lease expense for operating lease payments are recognized on a straight-line basis over the lease term.</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has the following balances recorded in the balance sheet related to its lease arrangements: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336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Classification</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5"/>
              </w:rPr>
              <w:t>As of December 31, 2019</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3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Operating lease right-of-use assets</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3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Current:</w:t>
            </w:r>
          </w:p>
        </w:tc>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5980" w:type="dxa"/>
            <w:vAlign w:val="bottom"/>
            <w:gridSpan w:val="6"/>
          </w:tcPr>
          <w:p>
            <w:pPr>
              <w:jc w:val="right"/>
              <w:ind w:right="14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5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Non-current:</w:t>
            </w:r>
          </w:p>
        </w:tc>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98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5980" w:type="dxa"/>
            <w:vAlign w:val="bottom"/>
            <w:gridSpan w:val="6"/>
          </w:tcPr>
          <w:p>
            <w:pPr>
              <w:jc w:val="right"/>
              <w:ind w:right="140"/>
              <w:spacing w:after="0"/>
              <w:rPr>
                <w:sz w:val="20"/>
                <w:szCs w:val="20"/>
                <w:color w:val="auto"/>
              </w:rPr>
            </w:pPr>
            <w:r>
              <w:rPr>
                <w:rFonts w:ascii="Arial" w:cs="Arial" w:eastAsia="Arial" w:hAnsi="Arial"/>
                <w:sz w:val="18"/>
                <w:szCs w:val="18"/>
                <w:color w:val="auto"/>
              </w:rPr>
              <w:t>Capital lease obligations and long-term debt, less current portion</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9"/>
        </w:trPr>
        <w:tc>
          <w:tcPr>
            <w:tcW w:w="3740" w:type="dxa"/>
            <w:vAlign w:val="bottom"/>
            <w:gridSpan w:val="2"/>
          </w:tcPr>
          <w:p>
            <w:pPr>
              <w:spacing w:after="0"/>
              <w:rPr>
                <w:sz w:val="20"/>
                <w:szCs w:val="20"/>
                <w:color w:val="auto"/>
              </w:rPr>
            </w:pPr>
            <w:r>
              <w:rPr>
                <w:rFonts w:ascii="Arial" w:cs="Arial" w:eastAsia="Arial" w:hAnsi="Arial"/>
                <w:sz w:val="18"/>
                <w:szCs w:val="18"/>
                <w:color w:val="auto"/>
              </w:rPr>
              <w:t>Components of lease cost are as follows:</w:t>
            </w: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December</w:t>
            </w:r>
          </w:p>
        </w:tc>
        <w:tc>
          <w:tcPr>
            <w:tcW w:w="21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4"/>
              </w:rPr>
              <w:t>Six months ended December 31,</w:t>
            </w:r>
          </w:p>
        </w:tc>
        <w:tc>
          <w:tcPr>
            <w:tcW w:w="0" w:type="dxa"/>
            <w:vAlign w:val="bottom"/>
          </w:tcPr>
          <w:p>
            <w:pPr>
              <w:spacing w:after="0"/>
              <w:rPr>
                <w:sz w:val="1"/>
                <w:szCs w:val="1"/>
                <w:color w:val="auto"/>
              </w:rPr>
            </w:pPr>
          </w:p>
        </w:tc>
      </w:tr>
      <w:tr>
        <w:trPr>
          <w:trHeight w:val="192"/>
        </w:trPr>
        <w:tc>
          <w:tcPr>
            <w:tcW w:w="3740" w:type="dxa"/>
            <w:vAlign w:val="bottom"/>
            <w:gridSpan w:val="2"/>
            <w:vMerge w:val="continue"/>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65"/>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Finance lease costs:</w:t>
            </w: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4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ROU assets</w:t>
            </w:r>
          </w:p>
        </w:tc>
        <w:tc>
          <w:tcPr>
            <w:tcW w:w="3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Interest on lease assets</w:t>
            </w:r>
          </w:p>
        </w:tc>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74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3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5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tcPr>
          <w:p>
            <w:pPr>
              <w:jc w:val="right"/>
              <w:ind w:right="10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4"/>
              </w:rPr>
              <w:t>Six months ended December</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w w:val="91"/>
              </w:rPr>
              <w:t>31, 2019</w:t>
            </w:r>
          </w:p>
        </w:tc>
        <w:tc>
          <w:tcPr>
            <w:tcW w:w="0" w:type="dxa"/>
            <w:vAlign w:val="bottom"/>
          </w:tcPr>
          <w:p>
            <w:pPr>
              <w:spacing w:after="0"/>
              <w:rPr>
                <w:sz w:val="1"/>
                <w:szCs w:val="1"/>
                <w:color w:val="auto"/>
              </w:rPr>
            </w:pPr>
          </w:p>
        </w:tc>
      </w:tr>
      <w:tr>
        <w:trPr>
          <w:trHeight w:val="36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21"/>
                <w:szCs w:val="21"/>
                <w:color w:val="auto"/>
              </w:rPr>
            </w:pPr>
          </w:p>
        </w:tc>
        <w:tc>
          <w:tcPr>
            <w:tcW w:w="112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Non-cash activity</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Weighted-average remaining lease term and discount rate for our leases are as follows: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8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remaining lease term</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discount rate</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Arial" w:cs="Arial" w:eastAsia="Arial" w:hAnsi="Arial"/>
                <w:sz w:val="18"/>
                <w:szCs w:val="18"/>
                <w:color w:val="auto"/>
                <w:w w:val="97"/>
              </w:rPr>
              <w:t>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7"/>
              </w:rPr>
              <w:t>6.8%</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24"/>
                <w:szCs w:val="24"/>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24"/>
                <w:szCs w:val="24"/>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7,762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6,433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future minimum lease commitments as of June 30, 2019, under ASC Topic 840, the predecessor to Topic 842,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 net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obligations under capital leases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noncurrent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Lessor accounting remained substantially unchanged with the adoption of ASC Topic 842. The Company offers its customers financing for the lease of our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typically our JumpStart program leases. JumpStart terms are typically 36 months and are cancellable with 30 to 60 days' written notice. As discussed in Note 2, the Company has elected to combine lease and non-lease components for its operating leases and account for the combined components under ASC 606, which is the predominant characteristic of the combined components. All QuickStart leases are sales-type and do not qualify for the election.</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ASC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License and transaction fees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32,507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36,190</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(27,052)</w:t>
            </w:r>
          </w:p>
        </w:tc>
        <w:tc>
          <w:tcPr>
            <w:tcW w:w="12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spacing w:after="0"/>
              <w:rPr>
                <w:sz w:val="20"/>
                <w:szCs w:val="20"/>
                <w:color w:val="auto"/>
              </w:rPr>
            </w:pPr>
            <w:r>
              <w:rPr>
                <w:rFonts w:ascii="Arial" w:cs="Arial" w:eastAsia="Arial" w:hAnsi="Arial"/>
                <w:sz w:val="18"/>
                <w:szCs w:val="18"/>
                <w:color w:val="auto"/>
              </w:rPr>
              <w:t>(30,473)</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December 31, 2019 are disclosed within Note 6 - Finance Receivables.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125" w:right="2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w w:val="93"/>
              </w:rPr>
              <w:t>As of December 31, 2019</w:t>
            </w:r>
          </w:p>
        </w:tc>
        <w:tc>
          <w:tcPr>
            <w:tcW w:w="0" w:type="dxa"/>
            <w:vAlign w:val="bottom"/>
          </w:tcPr>
          <w:p>
            <w:pPr>
              <w:spacing w:after="0"/>
              <w:rPr>
                <w:sz w:val="1"/>
                <w:szCs w:val="1"/>
                <w:color w:val="auto"/>
              </w:rPr>
            </w:pPr>
          </w:p>
        </w:tc>
      </w:tr>
      <w:tr>
        <w:trPr>
          <w:trHeight w:val="121"/>
        </w:trPr>
        <w:tc>
          <w:tcPr>
            <w:tcW w:w="7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2021</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12,169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2023</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1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41,891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i w:val="1"/>
                <w:iCs w:val="1"/>
                <w:color w:val="auto"/>
              </w:rPr>
              <w:t>Contract Liabilities</w:t>
            </w:r>
          </w:p>
        </w:tc>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Company’s contract liability (i.e., deferred revenue) balances are as follows:</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76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21"/>
        </w:trPr>
        <w:tc>
          <w:tcPr>
            <w:tcW w:w="7660" w:type="dxa"/>
            <w:vAlign w:val="bottom"/>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1,649</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end of the period</w:t>
            </w:r>
          </w:p>
        </w:tc>
        <w:tc>
          <w:tcPr>
            <w:tcW w:w="1820" w:type="dxa"/>
            <w:vAlign w:val="bottom"/>
          </w:tcPr>
          <w:p>
            <w:pPr>
              <w:jc w:val="right"/>
              <w:ind w:right="19"/>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Revenue recognized in the period from amounts included in deferred revenue at the beginning of the</w:t>
            </w: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the contract liabilities period-over-period is primarily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At December 31, 2019, the Company had net capitalized costs to obtain contracts of $0.3 million included in Prepaid expenses and other current assets and $1.7 million included in Other noncurrent assets on the Condensed Consolidated Balance Sheet. None of these capitalized contract costs were impaired. During the three and six months ended December 31, 2019, amortization of capitalized contract costs was $0.1 million and $0.2 million,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RESTRUCTURING/INTEGRATION COSTS</w:t>
      </w:r>
    </w:p>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On October 17, 2019, Stephen P. Herbert resigned as Chief Executive Officer (“CEO”) of the Company and as a member of the Company’s Board of Directors. Mr. Herbert received a severance payment in the amount of $400,000 in a lump sum, less applicable taxes, on October 25, 2019.</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Cantaloupe acquisition, the Company initiated workforce reductions to integrate the Cantaloupe business for which costs totaled $2.1 million for the year ended June 30, 2018. The Company included these severance charges under “Integration and acquisition costs” within the Condensed Consolidated Statements of Operations, with the remaining outstanding balance included within “Accrued expenses” on the Condensed Consolidated Balance Sheet. Liabilities for severance will generally be paid during the next twelve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Company’s severance activity for the three and six months ended December 31, 2019 related to the workforce reductions to integrate the Cantaloupe business: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94"/>
              <w:spacing w:after="0"/>
              <w:rPr>
                <w:sz w:val="20"/>
                <w:szCs w:val="20"/>
                <w:color w:val="auto"/>
              </w:rPr>
            </w:pPr>
            <w:r>
              <w:rPr>
                <w:rFonts w:ascii="Arial" w:cs="Arial" w:eastAsia="Arial" w:hAnsi="Arial"/>
                <w:sz w:val="14"/>
                <w:szCs w:val="14"/>
                <w:b w:val="1"/>
                <w:bCs w:val="1"/>
                <w:color w:val="auto"/>
              </w:rPr>
              <w:t>Workforce</w:t>
            </w:r>
          </w:p>
        </w:tc>
        <w:tc>
          <w:tcPr>
            <w:tcW w:w="0" w:type="dxa"/>
            <w:vAlign w:val="bottom"/>
          </w:tcPr>
          <w:p>
            <w:pPr>
              <w:spacing w:after="0"/>
              <w:rPr>
                <w:sz w:val="1"/>
                <w:szCs w:val="1"/>
                <w:color w:val="auto"/>
              </w:rPr>
            </w:pPr>
          </w:p>
        </w:tc>
      </w:tr>
      <w:tr>
        <w:trPr>
          <w:trHeight w:val="192"/>
        </w:trPr>
        <w:tc>
          <w:tcPr>
            <w:tcW w:w="9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reduction</w:t>
            </w:r>
          </w:p>
        </w:tc>
        <w:tc>
          <w:tcPr>
            <w:tcW w:w="0" w:type="dxa"/>
            <w:vAlign w:val="bottom"/>
          </w:tcPr>
          <w:p>
            <w:pPr>
              <w:spacing w:after="0"/>
              <w:rPr>
                <w:sz w:val="1"/>
                <w:szCs w:val="1"/>
                <w:color w:val="auto"/>
              </w:rPr>
            </w:pPr>
          </w:p>
        </w:tc>
      </w:tr>
      <w:tr>
        <w:trPr>
          <w:trHeight w:val="270"/>
        </w:trPr>
        <w:tc>
          <w:tcPr>
            <w:tcW w:w="1006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July 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D9D9D9"/>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180"/>
              <w:spacing w:after="0"/>
              <w:rPr>
                <w:sz w:val="20"/>
                <w:szCs w:val="20"/>
                <w:color w:val="auto"/>
              </w:rPr>
            </w:pPr>
            <w:r>
              <w:rPr>
                <w:rFonts w:ascii="Arial" w:cs="Arial" w:eastAsia="Arial" w:hAnsi="Arial"/>
                <w:sz w:val="18"/>
                <w:szCs w:val="18"/>
                <w:color w:val="auto"/>
              </w:rPr>
              <w:t>Plus: additions</w:t>
            </w:r>
          </w:p>
        </w:tc>
        <w:tc>
          <w:tcPr>
            <w:tcW w:w="220" w:type="dxa"/>
            <w:vAlign w:val="bottom"/>
            <w:tcBorders>
              <w:top w:val="single" w:sz="8" w:color="D9D9D9"/>
            </w:tcBorders>
          </w:tcPr>
          <w:p>
            <w:pPr>
              <w:spacing w:after="0"/>
              <w:rPr>
                <w:sz w:val="20"/>
                <w:szCs w:val="20"/>
                <w:color w:val="auto"/>
              </w:rPr>
            </w:pPr>
          </w:p>
        </w:tc>
        <w:tc>
          <w:tcPr>
            <w:tcW w:w="1160" w:type="dxa"/>
            <w:vAlign w:val="bottom"/>
            <w:tcBorders>
              <w:top w:val="single" w:sz="8" w:color="D9D9D9"/>
              <w:right w:val="single" w:sz="8" w:color="D9D9D9"/>
            </w:tcBorders>
          </w:tcPr>
          <w:p>
            <w:pPr>
              <w:jc w:val="right"/>
              <w:ind w:right="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D9D9D9"/>
            </w:tcBorders>
          </w:tcPr>
          <w:p>
            <w:pPr>
              <w:spacing w:after="0"/>
              <w:rPr>
                <w:sz w:val="2"/>
                <w:szCs w:val="2"/>
                <w:color w:val="auto"/>
              </w:rPr>
            </w:pPr>
          </w:p>
        </w:tc>
        <w:tc>
          <w:tcPr>
            <w:tcW w:w="1160" w:type="dxa"/>
            <w:vAlign w:val="bottom"/>
            <w:tcBorders>
              <w:bottom w:val="single" w:sz="8" w:color="D9D9D9"/>
              <w:right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06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cash payments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D9D9D9"/>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2019</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D9D9D9"/>
            </w:tcBorders>
          </w:tcPr>
          <w:p>
            <w:pPr>
              <w:jc w:val="right"/>
              <w:ind w:right="34"/>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right w:val="single" w:sz="8" w:color="D9D9D9"/>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right w:val="single" w:sz="8" w:color="D9D9D9"/>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additions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D9D9D9"/>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10060" w:type="dxa"/>
            <w:vAlign w:val="bottom"/>
            <w:tcBorders>
              <w:right w:val="single" w:sz="8" w:color="D9D9D9"/>
            </w:tcBorders>
            <w:gridSpan w:val="2"/>
          </w:tcPr>
          <w:p>
            <w:pPr>
              <w:ind w:left="180"/>
              <w:spacing w:after="0"/>
              <w:rPr>
                <w:sz w:val="20"/>
                <w:szCs w:val="20"/>
                <w:color w:val="auto"/>
              </w:rPr>
            </w:pPr>
            <w:r>
              <w:rPr>
                <w:rFonts w:ascii="Arial" w:cs="Arial" w:eastAsia="Arial" w:hAnsi="Arial"/>
                <w:sz w:val="18"/>
                <w:szCs w:val="18"/>
                <w:color w:val="auto"/>
              </w:rPr>
              <w:t>Less: cash payments</w:t>
            </w:r>
          </w:p>
        </w:tc>
        <w:tc>
          <w:tcPr>
            <w:tcW w:w="220" w:type="dxa"/>
            <w:vAlign w:val="bottom"/>
          </w:tcPr>
          <w:p>
            <w:pPr>
              <w:spacing w:after="0"/>
              <w:rPr>
                <w:sz w:val="21"/>
                <w:szCs w:val="21"/>
                <w:color w:val="auto"/>
              </w:rPr>
            </w:pPr>
          </w:p>
        </w:tc>
        <w:tc>
          <w:tcPr>
            <w:tcW w:w="1160" w:type="dxa"/>
            <w:vAlign w:val="bottom"/>
            <w:tcBorders>
              <w:right w:val="single" w:sz="8" w:color="D9D9D9"/>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D9D9D9"/>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right w:val="single" w:sz="8" w:color="D9D9D9"/>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D9D9D9"/>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RECEIVABLES</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60 month sales-type leases. As of December 31, 2019 and June 30, 2019 finance receivables consist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6,727</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12,127</w:t>
            </w:r>
          </w:p>
        </w:tc>
        <w:tc>
          <w:tcPr>
            <w:tcW w:w="12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ind w:right="17"/>
              <w:spacing w:after="0"/>
              <w:rPr>
                <w:sz w:val="20"/>
                <w:szCs w:val="20"/>
                <w:color w:val="auto"/>
              </w:rPr>
            </w:pPr>
            <w:r>
              <w:rPr>
                <w:rFonts w:ascii="Arial" w:cs="Arial" w:eastAsia="Arial" w:hAnsi="Arial"/>
                <w:sz w:val="18"/>
                <w:szCs w:val="18"/>
                <w:color w:val="auto"/>
              </w:rPr>
              <w:t>12,642</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finance receivables, net of allowance of $602 and $606,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20,359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19,369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June 30, 2019, credit quality indicators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Performing</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43"/>
        </w:trPr>
        <w:tc>
          <w:tcPr>
            <w:tcW w:w="8600" w:type="dxa"/>
            <w:vAlign w:val="bottom"/>
            <w:gridSpan w:val="3"/>
          </w:tcPr>
          <w:p>
            <w:pPr>
              <w:ind w:left="40"/>
              <w:spacing w:after="0"/>
              <w:rPr>
                <w:sz w:val="20"/>
                <w:szCs w:val="20"/>
                <w:color w:val="auto"/>
              </w:rPr>
            </w:pPr>
            <w:r>
              <w:rPr>
                <w:rFonts w:ascii="Arial" w:cs="Arial" w:eastAsia="Arial" w:hAnsi="Arial"/>
                <w:sz w:val="18"/>
                <w:szCs w:val="18"/>
                <w:color w:val="auto"/>
              </w:rPr>
              <w:t>Nonperforming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20,961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19,975</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4"/>
              </w:rPr>
              <w:t>An aged analysis of the Company's finance receivables as of December 31, 2019 and June 30, 2019 is as follows:</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19,708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19,133</w:t>
            </w:r>
          </w:p>
        </w:tc>
        <w:tc>
          <w:tcPr>
            <w:tcW w:w="0" w:type="dxa"/>
            <w:vAlign w:val="bottom"/>
          </w:tcPr>
          <w:p>
            <w:pPr>
              <w:spacing w:after="0"/>
              <w:rPr>
                <w:sz w:val="1"/>
                <w:szCs w:val="1"/>
                <w:color w:val="auto"/>
              </w:rPr>
            </w:pPr>
          </w:p>
        </w:tc>
      </w:tr>
      <w:tr>
        <w:trPr>
          <w:trHeight w:val="243"/>
        </w:trPr>
        <w:tc>
          <w:tcPr>
            <w:tcW w:w="8600" w:type="dxa"/>
            <w:vAlign w:val="bottom"/>
            <w:gridSpan w:val="3"/>
          </w:tcPr>
          <w:p>
            <w:pPr>
              <w:ind w:left="40"/>
              <w:spacing w:after="0"/>
              <w:rPr>
                <w:sz w:val="20"/>
                <w:szCs w:val="20"/>
                <w:color w:val="auto"/>
              </w:rPr>
            </w:pPr>
            <w:r>
              <w:rPr>
                <w:rFonts w:ascii="Arial" w:cs="Arial" w:eastAsia="Arial" w:hAnsi="Arial"/>
                <w:sz w:val="18"/>
                <w:szCs w:val="18"/>
                <w:color w:val="auto"/>
              </w:rPr>
              <w:t>30 days and under past due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31 - 60 days past due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600" w:type="dxa"/>
            <w:vAlign w:val="bottom"/>
            <w:gridSpan w:val="3"/>
          </w:tcPr>
          <w:p>
            <w:pPr>
              <w:ind w:left="40"/>
              <w:spacing w:after="0"/>
              <w:rPr>
                <w:sz w:val="20"/>
                <w:szCs w:val="20"/>
                <w:color w:val="auto"/>
              </w:rPr>
            </w:pPr>
            <w:r>
              <w:rPr>
                <w:rFonts w:ascii="Arial" w:cs="Arial" w:eastAsia="Arial" w:hAnsi="Arial"/>
                <w:sz w:val="18"/>
                <w:szCs w:val="18"/>
                <w:color w:val="auto"/>
              </w:rPr>
              <w:t>61 - 90 days past due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90 days past due</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5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finance receivables</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20,961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19,975</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56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Cash to be collected on our finance receivables due for each of the fiscal years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4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amounts to be collected</w:t>
            </w: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finance receivables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EARNINGS (LOSS) PER SHARE</w:t>
            </w: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2"/>
          </w:tcPr>
          <w:p>
            <w:pPr>
              <w:spacing w:after="0"/>
              <w:rPr>
                <w:sz w:val="20"/>
                <w:szCs w:val="20"/>
                <w:color w:val="auto"/>
              </w:rPr>
            </w:pPr>
            <w:r>
              <w:rPr>
                <w:rFonts w:ascii="Arial" w:cs="Arial" w:eastAsia="Arial" w:hAnsi="Arial"/>
                <w:sz w:val="18"/>
                <w:szCs w:val="18"/>
                <w:color w:val="auto"/>
              </w:rPr>
              <w:t>The calculation of basic earnings (loss) per share (“EPS”) and diluted EPS are presented below:</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2"/>
              </w:rPr>
              <w:t>Three months ended December 31, 2019</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22"/>
                <w:szCs w:val="22"/>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1"/>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applicable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63,664,256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60,059,936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63,664,256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60,059,936</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5"/>
              </w:rPr>
              <w:t>Six months ended December 31, 2019</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22"/>
                <w:szCs w:val="22"/>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1"/>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(19,886)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(15,726)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applicable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61,891,197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60,056,924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61,891,197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60,056,924</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1,529,381 for the three and six months ended December 31, 2019 and 1,400,968 for the three and six months ended December 31, 2018.</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2019</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24,602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95,630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88,547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June 30, 2019</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7,673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26,171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95,630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90,116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and six months ended December 31, 2019 there was $0.8 million and $1.6 million in amortization expense related to intangible assets, respectively, as compared to the three and six months ended December 31, 2018, for which there was $0.8 million and $1.6 million in amortization expense related to intangible assets,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OTHER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December 31, 2019 and June 30, 2019 consisted of the following:</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June 30,</w:t>
            </w:r>
          </w:p>
        </w:tc>
      </w:tr>
      <w:tr>
        <w:trPr>
          <w:trHeight w:val="27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2019</w:t>
            </w:r>
          </w:p>
        </w:tc>
      </w:tr>
      <w:tr>
        <w:trPr>
          <w:trHeight w:val="121"/>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Facility</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10,000</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1,458</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 including capital lease obligations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1,323</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issuance costs and debt discount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12,811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12,773</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r>
      <w:tr>
        <w:trPr>
          <w:trHeight w:val="257"/>
        </w:trPr>
        <w:tc>
          <w:tcPr>
            <w:tcW w:w="7580" w:type="dxa"/>
            <w:vAlign w:val="bottom"/>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2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12,224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276</w:t>
            </w: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5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7"/>
              </w:rPr>
              <w:t>Six months ended December 31,</w:t>
            </w:r>
          </w:p>
        </w:tc>
      </w:tr>
      <w:tr>
        <w:trPr>
          <w:trHeight w:val="26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356</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interest expense</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547</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1,605</w:t>
            </w: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with JPMorgan Chase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($7.2 million). All advances under the Revolving Credit Facility and all other obligations must be paid in full at maturity on November 9, 2022.</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Loans under the five year credit agreement bore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year to date ended October 31, 2019 was LIBOR plus 4%. The Term Loan and Revolving Credit Facility contained customary representations and warranties and affirmative and negative covenants and required the Company to maintain a minimum quarterly total leverage ratio and fixed charge coverage ratio. The Revolving Credit Facility and Term Loan also required the Company to furnish various financial information on a quarterly and annual basis. As of June 30, 2019, the Company was not in compliance with the fixed charge coverage ratio and the total leverage ratio, which represented an event of default under the credit agreement and the Company classified all amounts outstanding under the Revolving Credit Facility and Term Loan as current liabilities as of June 30, 2019.</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Term Loan, and on September 30, 2019, the Company prepaid the remaining principal balance of the Term Loan and agreed to permanently reduce the amount available under the Revolving Credit Facility to $10 million which represented the outstanding balance on the date thereof. On October 31, 2019, the Company repaid the outstanding balance on the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Facility with Antara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9, 2019, as a result of seeking additional financing sources to support the Company's operating activities, the Company entered into a commitment letter with Antara Capital Master Fund LP (“Antara”), pursuant to which Antara committed to extend to the Company a $30.0 million senior secured term loan facility (“Term Facility”). On October 31, 2019, the Company entered into a Financing Agreement with Antara to draw $15.0 million on the Term Facility and agreed to draw an additional $15.0 million at any time between July 31, 2020 and April 30, 2021, subject to the terms of the Financing Agreement. If the Company fails to make the subsequent draw on the Term Facility by April 30, 2021, the Company shall pay Antara a commitment termination fee equal to 3% of the subsequent draw commitment. The outstanding amount of the draws under the Term Facility bear interest at 9.75% per annum, payable monthly in arrears. The proceeds of the initial draw were used to repay the outstanding balance of the Revolving Credit Facility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 The Company will need to be in compliance with financial covenants related to the minimum fixed charge coverage ratio beginning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with the fiscal quarter ending June 30, 2020, maximum capital expenditures beginning with the fiscal quarter ending December 31, 2019, and minimum consolidated EBITDA beginning with the fiscal year ending June 30, 2020. As of December 31, 2019, the Company was in compliance with its financial covenants.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prepay any principal amount outstanding on the Term Facility plus a prepayment premium of 5% (if prepaid on or prior to December 31, 2020), 3% (between January 1, 2021 and December 31, 2021), 1% (between January 1, 2022 and December 31, 2022) and 0% thereafter. Under the Term Facility, the Company is subject to mandatory prepayments as a result of certain asset sales, insurance proceeds, issuances of disqualified capital stock, and issuances of debt. These mandatory prepayments are subject to the prepayment premium that applies to voluntary prepayments. The Company is also subject to annual mandatory prepayments ranging from 0% to 75% of excess cash flow depending upon the consolidated total leverage ratio measured at the end of each fiscal year beginning with the fiscal year ending June 30, 2020. These mandatory prepayments are not subject to the aforementioned prepayment premium.</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12, on October 9, 2019, the Company also sold shares of the Company’s common stock to Antara at a price below market value. Since the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(Note 12) on a relative fair value basis between the debt and equity components. The non-lender fees incurred to establish the debt and equity financing arrangement were allocated to the debt and equity components, which includes the delayed draw commitment, on a relative fair value basis and capitalized on the Company’s balance sheet. $0.9 million was allocated to debt issuance costs which is amortized on an effective interest method into interest expense over the term of the Term Facility and $0.1 million was allocated to debt commitment fees which is amortized on a straight-line basis through April 30, 2021.</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Term Facility was further evaluated for the existence of embedded features to be bifurcated from the amount allocated to the debt component. The Term Facility agreement contains a mandatory prepayment feature that was determined to be an embedded derivative, requiring bifurcation and fair value recognition for the derivative liability. The fair value of this derivative liability is remeasured at each reporting period, with changes in fair value recognized in the consolidated statement of operations and any changes in the assumptions used in measuring the fair value of the derivative liability could result in a material increase or decrease in its carrying value. The allocation of the proceeds to the debt component and the bifurcation of the embedded derivative liability resulted in a $2.1 million debt discount that will be amortized as a credit to interest expense over the term of the Term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Borrowings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acquisition of Cantaloupe, the Company assumed debt of $1.8 million with an outstanding balance of $0.4 million and $0.8 million as of December 31, 2019 and June 30, 2019, respectively, comprised of: (i) $0.1 million and $0.2 million of promissory notes bearing an interest rate of 5% and maturing on April 5, 2020 with principal and interest payments due monthly; (ii) $0.3 million and $0.4 million of promissory notes bearing an interest rate of 10% and maturing on April 1, 2021 with principal and interest payments due quarterly; and (iii) $0.1 million as of June 30, 2019 of promissory notes bearing an interest rate of 12% that matured on December 15,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liabilities are recorded at fair value. The carrying amounts of certain of the Company’s financial instruments, including cash equivalents, accounts receivable, accounts payable and accrued expenses, are carried at cost which approximates fair value due to the short-term maturity of these instruments and are Level 1 assets or liabilities of the fair value hierarchy.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Level 1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03"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 xml:space="preserve">Level 2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(i.e., interest rates, yield curves, etc.), and inputs that are derived principally from or corroborated by observable market data by correlation or other means (market corroborated inputs).</w:t>
      </w:r>
    </w:p>
    <w:p>
      <w:pPr>
        <w:spacing w:after="0" w:line="170" w:lineRule="exact"/>
        <w:rPr>
          <w:sz w:val="20"/>
          <w:szCs w:val="20"/>
          <w:color w:val="auto"/>
        </w:rPr>
      </w:pPr>
    </w:p>
    <w:p>
      <w:pPr>
        <w:jc w:val="both"/>
        <w:ind w:right="40"/>
        <w:spacing w:after="0" w:line="223" w:lineRule="exact"/>
        <w:rPr>
          <w:sz w:val="20"/>
          <w:szCs w:val="20"/>
          <w:color w:val="auto"/>
        </w:rPr>
      </w:pPr>
      <w:r>
        <w:rPr>
          <w:rFonts w:ascii="Arial" w:cs="Arial" w:eastAsia="Arial" w:hAnsi="Arial"/>
          <w:sz w:val="18"/>
          <w:szCs w:val="18"/>
          <w:color w:val="auto"/>
        </w:rPr>
        <w:t xml:space="preserve">Level 3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0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embedded derivative liability is measured at fair value using a probability-weighted discounted cash flow model and is classified as a Level 3 liability of the fair value hierarchy due to the use of significant unobservable inputs. The liability is included as a component of Accrued expenses, less current portion on the consolidated balance sheets and subject to remeasurement to fair value at the end of each reporting period. For the three and six months ended December 31, 2019, the Company recognized the change as a component of Other income (expense) in its consolidated statements of operations. The assumptions used in the discounted cash flow model of the embedded derivative liability include: (1) management's estimates of the probability and timing of future cash flows and related events; (2) the Company's risk-adjusted discount rate that includes a company-specific risk premium; and (3) the Company's cost of debt.</w:t>
      </w:r>
    </w:p>
    <w:p>
      <w:pPr>
        <w:spacing w:after="0" w:line="14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There were no transfers between Level 1, Level 2, and Level 3 during the periods presented. The following table provides a reconciliation for the opening and closing balances of the embedded derivative liability from October 31, 2019 to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50"/>
        </w:trPr>
        <w:tc>
          <w:tcPr>
            <w:tcW w:w="1006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October 31, 2019</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D9D9D9"/>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10060" w:type="dxa"/>
            <w:vAlign w:val="bottom"/>
            <w:tcBorders>
              <w:right w:val="single" w:sz="8" w:color="D9D9D9"/>
            </w:tcBorders>
            <w:gridSpan w:val="2"/>
          </w:tcPr>
          <w:p>
            <w:pPr>
              <w:ind w:left="180"/>
              <w:spacing w:after="0"/>
              <w:rPr>
                <w:sz w:val="20"/>
                <w:szCs w:val="20"/>
                <w:color w:val="auto"/>
              </w:rPr>
            </w:pPr>
            <w:r>
              <w:rPr>
                <w:rFonts w:ascii="Arial" w:cs="Arial" w:eastAsia="Arial" w:hAnsi="Arial"/>
                <w:sz w:val="18"/>
                <w:szCs w:val="18"/>
                <w:color w:val="auto"/>
              </w:rPr>
              <w:t>Net change in fair value</w:t>
            </w:r>
          </w:p>
        </w:tc>
        <w:tc>
          <w:tcPr>
            <w:tcW w:w="580" w:type="dxa"/>
            <w:vAlign w:val="bottom"/>
          </w:tcPr>
          <w:p>
            <w:pPr>
              <w:spacing w:after="0"/>
              <w:rPr>
                <w:sz w:val="21"/>
                <w:szCs w:val="21"/>
                <w:color w:val="auto"/>
              </w:rPr>
            </w:pPr>
          </w:p>
        </w:tc>
        <w:tc>
          <w:tcPr>
            <w:tcW w:w="800" w:type="dxa"/>
            <w:vAlign w:val="bottom"/>
            <w:tcBorders>
              <w:right w:val="single" w:sz="8" w:color="D9D9D9"/>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D9D9D9"/>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D9D9D9"/>
            </w:tcBorders>
          </w:tcPr>
          <w:p>
            <w:pPr>
              <w:spacing w:after="0"/>
              <w:rPr>
                <w:sz w:val="2"/>
                <w:szCs w:val="2"/>
                <w:color w:val="auto"/>
              </w:rPr>
            </w:pPr>
          </w:p>
        </w:tc>
      </w:tr>
      <w:tr>
        <w:trPr>
          <w:trHeight w:val="257"/>
        </w:trPr>
        <w:tc>
          <w:tcPr>
            <w:tcW w:w="10060" w:type="dxa"/>
            <w:vAlign w:val="bottom"/>
            <w:tcBorders>
              <w:bottom w:val="single" w:sz="8" w:color="CCEEFF"/>
              <w:right w:val="single" w:sz="8" w:color="D9D9D9"/>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D9D9D9"/>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Company’s obligations under its long-term debt agreements are carried at amortized cost, which approximates their fair value as of June 30, 2019. The fair value of the Company’s obligations under its long-term debt agreements with JPMorgan Chase were considered Level 2 liabilities of the fair value hierarchy because these instruments have interest rates that reset frequently. The fair value of the Company's obligations under its long-term debt agreements with Antara as of December 31, 2019 was approximately $17.7 million and considered a Level 3 liability of the fair value hierarchy because this instrument used significant unobservable inputs consistent with those used in determining the embedded derivative liability values.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the three months ended December 31, 2019, the Company recorded an income tax provision of $72 thousand. For the six months ended December 31, 2019, the Company recorded an income tax provision of $131 thousand. As of December 31, 2019, the Company continued to record a full valuation against its deferred tax assets. The income tax provisions primarily relate to the Company's uncertain tax positions, as well as state income and franchise taxes. As of December 31, 2019, the Company had a total unrecognized income tax benefit of $0.3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six months ended December 31, 2019, as the use of an estimated annual effective income tax rate does not provide a reliable estimate of the income tax provision.</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three months ended December 31, 2018, an income tax provision of $19 thousand was recorded, which primarily relates to state income and franchise taxes. For the six months ended December 31, 2018, an income tax provision of $37 thousand was recorded, which primarily relates to state income and franchise taxes. The provisions are based upon actual loss before income taxes for the six months ended December 31, 2018, as the use of an estimated annual effective income tax rate does not provide a reliable estimate of the income tax provision.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had 23,978 warrants outstanding as of December 31, 2019 and June 30, 2019, all of which were exercisable at $5.00 per share. The warrants have an expiration date of March 29, 2021.</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40"/>
          </w:cols>
          <w:pgMar w:left="240" w:top="125" w:right="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2017, the Company awarded stock options to its former Chief Executive Officer and Chief Financial Officer to purchase up to 19,047 and 25,000 shares respectively of common stock at an exercise price of $5.25 per share. The Chief Executive Officer options vest on August 16, 2018, expiring if not exercised prior to August 16, 2024. The Chief Financial Officer options vest 1/3 on August 16, 2018, 1/3 on August 16, 2019 and 1/3 on August 16, 2020, expiring if not exercised prior to August 16, 2024. The Chief Executive Officer options are intended to qualify as incentive stock options under Section 422 of the Internal Revenue Code of 1986, as amended, and the Chief Financial Officer options are non-qualified stock options. The Company's former Chief Executive Officer exercised all of his 274,267 outstanding options during the three months ended December 31, 2019.</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2018, the Company awarded stock options to 102 employees to purchase up to 400,000 shares of common stock at an exercise price of $8.75 which vest 1/3 each year.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awarded stock options to its interim Chief Executive Officer to purchase up to 225,000 shares of common stock at an exercise price of $7.11 per share which vested immediately and are non-qualified stock options.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2019, the Company awarded stock options to 11 employees to purchase up to 110,000 shares of common stock at an exercise price of $6.28 which vest 1/3 each year. The options are intended to qualify as incentive stock options under Section 422 of the Internal Revenue Code of 1986, as amended.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the six months ended December 31, 2019 and 2018 was determined using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7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 (percent)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74.6% - 90.1%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260" w:type="dxa"/>
            <w:vAlign w:val="bottom"/>
          </w:tcPr>
          <w:p>
            <w:pPr>
              <w:spacing w:after="0"/>
              <w:rPr>
                <w:sz w:val="21"/>
                <w:szCs w:val="21"/>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3.5 - 4.5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Risk-free interest rate (percent)</w:t>
            </w:r>
          </w:p>
        </w:tc>
        <w:tc>
          <w:tcPr>
            <w:tcW w:w="260" w:type="dxa"/>
            <w:vAlign w:val="bottom"/>
          </w:tcPr>
          <w:p>
            <w:pPr>
              <w:spacing w:after="0"/>
              <w:rPr>
                <w:sz w:val="21"/>
                <w:szCs w:val="21"/>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1.4% - 1.6%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options granted</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340,760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400,000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Weighted average exercise price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8.75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4.37</w:t>
            </w:r>
          </w:p>
        </w:tc>
      </w:tr>
      <w:tr>
        <w:trPr>
          <w:trHeight w:val="27"/>
        </w:trPr>
        <w:tc>
          <w:tcPr>
            <w:tcW w:w="7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based compensation related to all stock options for the three and six months ended December 31, 2019 was $1.1 million and $1.4 million, respectively, and $0.3 million and $0.4 million for the three and six months ended December 31,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 2018, 6,677 shares were awarded to each non-employee director for a total of 40,062 shares. The shares vest on a monthly basis over the two-year period following July 2, 2018.</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9, 2019, the Company sold to Antara 3,800,000 shares of the Company’s common stock at a below market value price of $5.25 per share for gross cash proceeds of $19,950,000. Since the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total proceeds on a relative fair value basis between the debt and equity components, resulting in a $17.9 million allocation to equity, less $1.1 million in issuance fees allocated to the equity component on a relative fair value basis.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16, 2019, 13,216 shares were awarded to each non-employee director and its interim Chief Executive Officer for a total of 118,944 shares. 1/3 of the shares vested immediately at the award date, with the remaining shares vesting on October 16, 2020. On November 8, 2019, Albin F. Moschner retired as a member of the Board of Directors, and his remaining shares immediately vested.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On November 22, 2019, 104,500 total shares were awarded to 11 employees. The shares vest 1/3 each year.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expense recognized for all common stock awards for the three and six months ended December 31, 2019 was $0.5 million, and for the three and six months ended December 31, 2018 was $0.1 million and $0.3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award any long-term stock incentive compensation to its executive officers during the 2019 fiscal year.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2019, the Company's Board of Directors approved the Fiscal Year 2020 Long-Term Stock Incentive Plan which provides that each executive officer would be awarded shares of common stock of the Company in the event that certain metrics relating to the Company’s 2020 fiscal year would result in specified ranges of year-over-year percentage growth. The metrics are total number of connections as of June 30, 2020 as compared to total number of connections as of June 30, 2019 (40% weighting) and adjusted EBITDA earned during the 2020 fiscal year as compared to the adjusted EBITDA earned during the 2019 fiscal year (60% weighting). If none of the minimum threshold year-over-year percentage target goals are achieved, the executive officers 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(which in any event cannot exceed 150% of the executive officer’s target bonus award). Any shares awarded under the plan would vest as follows: one-third at the time of issuance; one-third on June 30, 2021; and one-third on June 30, 2022.</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long-term stock incentive plans (“LTI”) in prior fiscal years for its then executive officers. Stock based compensation related to the LTI plans was as follows in the three and six months ended December 31, 2019 and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FY20 LTI Plan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FY18 LTI Plan</w:t>
            </w:r>
          </w:p>
        </w:tc>
        <w:tc>
          <w:tcPr>
            <w:tcW w:w="940" w:type="dxa"/>
            <w:vAlign w:val="bottom"/>
          </w:tcPr>
          <w:p>
            <w:pPr>
              <w:spacing w:after="0"/>
              <w:rPr>
                <w:sz w:val="21"/>
                <w:szCs w:val="21"/>
                <w:color w:val="auto"/>
              </w:rPr>
            </w:pPr>
          </w:p>
        </w:tc>
        <w:tc>
          <w:tcPr>
            <w:tcW w:w="4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FY17 LTI Plan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111</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 AND DIVIDEND DISTRIBUTION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18, 2019, the Company’s Board of Directors adopted a shareholder rights plan and declared a dividend distribution of one right on each outstanding share of the Company’s common stock. The rights plan will be put to a vote of shareholders at the next annual meeting, and will automatically terminate if approval is not obtained. If shareholder approval is obtained at the meeting, the shareholder rights plan will expire on October 18, 2020.</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rights will be exercisable only if a person or group acquires 15% or more of the Company’s outstanding common stock. If a shareholder's beneficial ownership of common stock as of the time of this announcement is at or above the 15% threshold, that shareholder's existing ownership percentage would be grandfathered, but the rights would become exercisable if at any time after this announcement the shareholder acquires beneficial ownership of additional shares. Each right will entitle shareholders to buy one one-hundredth of a share of a new series of junior participating preferred stock at an exercise price of $30.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 person or group acquires 15% of the Company’s outstanding common stock, each right will entitle its holder (other than such person or members of such group) to purchase for $30, a number of Company common shares having a market value of twice such price. In addition, at any time after a person or group acquires 15% of the Company’s outstanding common stock, the Company’s Board of Directors may exchange one share of the Company’s common stock for each outstanding right (other than rights owned by such person or group, which would have become void).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the acquisition by a person or group of beneficial ownership of 15% of the Company’s common stock, the rights are redeemable for one cent per right at the option of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dividend distribution was made to holders of record as of October 28, 2019, and was not taxable to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Stock Purchase Agreement on October 9, 2019 with Antara, the Company also entered into a registration rights agreement (the "Registration Rights Agreement") with Antara, pursuant to which the Company agreed, at its expense, to file a registration statement under the Act with the Securities and Exchange Commission (the "SEC") covering the resale of the shares by Antara (the "Registration Statement").</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an Amendment to Registration Rights Agreement dated as of January 31, 2020 (the “Amendment”), Antara and the Company agreed to terminate the obligation of the Company to register the shares in exchange for a payment of approximately $1.2 million by the Company to Antara by no later than January 31, 2020. The Amendment provided that the payment would be in full satisfaction of any and all liquidated damages which may be due by the Company to Antara under the Registration Rights Agreement for the failure to timely file the Form S-1 registration statement and/or to obtain and maintain the effectiveness thereof. This obligation was recorded by the Company as of December 31, 2019.</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Registration Rights Agreement, and prior to the Amendment, the Company was required to file the registration statement by no later than November 8, 2019 (extended by agreement of the parties until November 26, 2019). The Company informed Antara that it would not be able to file the Registration Statement without unreasonable effort and expense because the applicable rules of the SEC require the Company to include certain pre-acquisition financial statements of Cantaloupe in the Registration Statement.</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pre-acquisition financial statements had been filed by the Company as exhibit 99.1 to the Form 8-K/A filed on January 24, 2018. As part of the audit process and subsequent to June 30, 2019, the Company performed an extensive analysis relating to certain of the accounts of Cantaloupe for periods subsequent to the acquisition and made certain adjustments to previously issued financial statements, all of which were described in the Company’s annual report on Form 10-K for the year ended June 30, 2019 and the Amendment No. 1 thereto. The Company determined that to perform such an analysis in connection with the pre-acquisition financial statements required to be included in the registration statement would be unduly time consuming and expensive. The Company also sought to obtain a waiver from the staff of the SEC from the regulations which require the inclusion of these pre-acquisition financial statements in the registration statement. By letter dated December 30, 2019, the SEC staff indicated that it was unable to provide such a waiver.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reported, various putative shareholder class action complaints had been filed in the United States District Court for the District of New Jersey against the Company, its chief executive officer and chief financial officer at the relevant time, its directors at the relevant time, and the investment banks who served as underwriters in the May 2018 follow-on public offering of the Company (the “Underwriters”). These complaints alleged violations of the Securities Act of 1933, as amended, and the Securities Exchange Act of 1934, as amended. These various actions were consolidated by the Court into one action (the “Consolidated Action”), and the Court granted the Motion to Transfer filed by the Company and its former chief executive officer, and transferred the Consolidated Action to the United States District Court for the Eastern District of Pennsylvania, Docket No. 19-cv-04565. On November 20, 2019, Plaintiff filed an amended complaint, and defendants filed motions to dismiss on February 3, 2020. The Court has not yet ruled on the motions to dismiss. The parties intend to participate in a private mediation on February 27,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The Pennsylvania Superior Court has not yet decided the appealability of the Chester County Stay Order.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right="4000"/>
        <w:spacing w:after="0" w:line="45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37" w:lineRule="exact"/>
        <w:rPr>
          <w:sz w:val="20"/>
          <w:szCs w:val="20"/>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29"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are derived;</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 or to do so in a timely manner;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500" w:right="20" w:hanging="316"/>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listing application for the Company’s securities which has been filed by the Company with The Nasdaq Stock Market LLC (“Nasdaq”) will be granted in a timely manner;</w:t>
      </w:r>
    </w:p>
    <w:p>
      <w:pPr>
        <w:spacing w:after="0" w:line="129"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 and</w:t>
      </w:r>
    </w:p>
    <w:p>
      <w:pPr>
        <w:spacing w:after="0" w:line="129" w:lineRule="exact"/>
        <w:rPr>
          <w:rFonts w:ascii="Arial" w:cs="Arial" w:eastAsia="Arial" w:hAnsi="Arial"/>
          <w:sz w:val="18"/>
          <w:szCs w:val="18"/>
          <w:color w:val="auto"/>
        </w:rPr>
      </w:pPr>
    </w:p>
    <w:p>
      <w:pPr>
        <w:jc w:val="both"/>
        <w:ind w:left="500" w:hanging="316"/>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Annual Report on Form 10-K for the fiscal year ended June 30, 2019 (the "2019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generates revenue in multiple ways. During the three and six months ended December 31, 2019, we derived approximately 81% and 80% of our revenue from recurring license and transaction fees related to our ePort Connect service and approximately 19% and 20%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420"/>
          </w:cols>
          <w:pgMar w:left="240" w:top="125" w:right="239" w:bottom="1440" w:gutter="0" w:footer="0" w:header="0"/>
        </w:sectPr>
      </w:pPr>
    </w:p>
    <w:p>
      <w:pPr>
        <w:spacing w:after="0" w:line="4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62" w:lineRule="exact"/>
        <w:rPr>
          <w:sz w:val="20"/>
          <w:szCs w:val="20"/>
          <w:color w:val="auto"/>
        </w:rPr>
      </w:pPr>
    </w:p>
    <w:p>
      <w:pPr>
        <w:sectPr>
          <w:pgSz w:w="11900" w:h="16838" w:orient="portrait"/>
          <w:cols w:equalWidth="0" w:num="2">
            <w:col w:w="420" w:space="240"/>
            <w:col w:w="10760"/>
          </w:cols>
          <w:pgMar w:left="240" w:top="125" w:right="239" w:bottom="1440" w:gutter="0" w:footer="0" w:header="0"/>
          <w:type w:val="continuous"/>
        </w:sectPr>
      </w:pPr>
    </w:p>
    <w:p>
      <w:pPr>
        <w:ind w:right="2460" w:firstLine="332"/>
        <w:spacing w:after="0" w:line="346" w:lineRule="auto"/>
        <w:tabs>
          <w:tab w:leader="none" w:pos="648" w:val="left"/>
        </w:tabs>
        <w:numPr>
          <w:ilvl w:val="0"/>
          <w:numId w:val="5"/>
        </w:numPr>
        <w:rPr>
          <w:rFonts w:ascii="Arial" w:cs="Arial" w:eastAsia="Arial" w:hAnsi="Arial"/>
          <w:sz w:val="25"/>
          <w:szCs w:val="25"/>
          <w:color w:val="auto"/>
        </w:rPr>
      </w:pPr>
      <w:r>
        <w:rPr>
          <w:rFonts w:ascii="Arial" w:cs="Arial" w:eastAsia="Arial" w:hAnsi="Arial"/>
          <w:sz w:val="18"/>
          <w:szCs w:val="18"/>
          <w:color w:val="auto"/>
        </w:rPr>
        <w:t>Renting devices under the Company’s JumpStart Program, which are cancellable month-to-month operating leases. As of December 31, 2019, highlights of the Company are below:</w:t>
      </w:r>
    </w:p>
    <w:p>
      <w:pPr>
        <w:sectPr>
          <w:pgSz w:w="11900" w:h="16838" w:orient="portrait"/>
          <w:cols w:equalWidth="0" w:num="1">
            <w:col w:w="11420"/>
          </w:cols>
          <w:pgMar w:left="240" w:top="125" w:right="2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120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21,000 customers and approximately 1,255,000 connections to our service;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Three direct sales teams at the national, regional, and local customer-level and a growing number of OEMs and national distribution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June 30th.</w:t>
      </w:r>
    </w:p>
    <w:p>
      <w:pPr>
        <w:spacing w:after="0" w:line="26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420" w:space="240"/>
            <w:col w:w="1076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indicated in our 2019 Form 10-K, as a result of our failure to comply with our periodic reporting obligations, on September 26, 2019, our securities were suspended from trading on The Nasdaq Stock Market LLC (“Nasdaq”) and are currently quoted on the OTC Markets. On October 8, 2019, and pursuant to applicable Nasdaq rules, we filed an appeal to the Nasdaq Listing and Hearing Review Council (the “Listing Council”) from the Nasdaq Hearing Panel’s determination to delist the Company’s securities from trading. On November 22, 2019, the Company received a notification that the Listing Council had affirmed the decision of the Hearing Panel to suspend trading of the Company’s securities on Nasdaq and to delist the Company’s securities. On January 29, 2020, the Company received written notification from Nasdaq that the Nasdaq Board of Directors declined to call for review the decision of the Listing Council, and that the decision of the Listing Council represented the final action of Nasdaq relating to the decision of the Listing Council. Pursuant to applicable Nasdaq listing rules and the rules promulgated under the Securities Exchange Act of 1934, as amended, on February 4, 2020, Nasdaq issued a press release stating that it will delist the Company’s securities and will file a Form 25 with the Securities and Exchange Commission to complete the delisting. The delisting of the Company’s securities from Nasdaq became effective on February 18, 2020. Independent of and in addition to the appeal process described above, the Company has applied to relist its common stock and preferred stock on Nasdaq, and the application is currently under review by the staff of the Nasdaq Listing Qualifications Department. There can be no assurance that the listing application will be granted by Nasdaq or granted in a timely manner.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2019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interim Condensed Consolidated Financial Statements for a description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show certain financial and non-financial data that management believes give readers insight into certain trends and relationships about the Company’s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3"/>
                <w:szCs w:val="13"/>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Pr>
          <w:p>
            <w:pPr>
              <w:spacing w:after="0"/>
              <w:rPr>
                <w:sz w:val="13"/>
                <w:szCs w:val="13"/>
                <w:color w:val="auto"/>
              </w:rPr>
            </w:pPr>
          </w:p>
        </w:tc>
        <w:tc>
          <w:tcPr>
            <w:tcW w:w="13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Connections: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Gross new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47,000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new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1,255,000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1,215,000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1,169,000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1,126,000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1,080,000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New customers added</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17,650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Volumes: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number of transactions (millions)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volume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structure of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JumpStart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5"/>
                <w:szCs w:val="25"/>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credit sales with standard trade receivable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December 31, 2019 include:</w:t>
      </w:r>
    </w:p>
    <w:p>
      <w:pPr>
        <w:spacing w:after="0" w:line="18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40,000 additional net new connections during the quarter;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1,255,000 total connections to our service compared to the same quarter last year of approximately 1,080,000 total connections to our service, an increase of 175,000 connections, or 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2019 Compared to Three Months Ended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35,754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29,733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7"/>
        </w:trPr>
        <w:tc>
          <w:tcPr>
            <w:tcW w:w="670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44,051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34,486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costs of sales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97"/>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57"/>
        </w:trPr>
        <w:tc>
          <w:tcPr>
            <w:tcW w:w="670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9,435</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increased $9.6 million for the three months ended December 31, 2019 compared to the same period in 2018. The change in total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resulted from a $6.0 million increase in license and transaction fee revenue for the three months ended December 31, 2019 compared to the same period in 2018, driven primarily by the increase in connection count which caused an increase in license fee and processing fees, and a $3.5 million increase in equipment revenue for the three months ended December 31, 2019 compared to the same period in 2018 driven primarily by the 40,000 new net connections delivered for the three months ended December 31, 2019 compared to 33,000 new net connections delivered in the same period in 2018. This 7,000 increase in new net connections represents a 21 percent increase year over year.</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increased $6.2 million for the three months ended December 31, 2019 compared to the same period in 2018.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a $3.1 million increase in cost of services driven primarily by an increase in transaction processing costs following the increase in transaction processing fees for the quarter and a $3.1 million increase in cost of equipment sales, resulting from higher shipments compared to the same period last year. However, the cost of services compared to services fees was 2.3% lower for the three months ended December 31, 2019 compared to the same period in 2018 due primarily to a higher average ticket price in transactions processed during the current quarter.</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1.6%, from 27.4% for the three months ended December 31, 2018 to 29.0%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The change in our gross margin was driven primarily by a 2.3% increase in the transaction processing margin driven by a higher ticket price realized in the current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16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20" w:type="dxa"/>
            <w:vAlign w:val="bottom"/>
            <w:vMerge w:val="restart"/>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7,188</w:t>
            </w:r>
          </w:p>
        </w:tc>
        <w:tc>
          <w:tcPr>
            <w:tcW w:w="120" w:type="dxa"/>
            <w:vAlign w:val="bottom"/>
          </w:tcPr>
          <w:p>
            <w:pPr>
              <w:spacing w:after="0"/>
              <w:rPr>
                <w:sz w:val="21"/>
                <w:szCs w:val="21"/>
                <w:color w:val="auto"/>
              </w:rPr>
            </w:pPr>
          </w:p>
        </w:tc>
        <w:tc>
          <w:tcPr>
            <w:tcW w:w="1600" w:type="dxa"/>
            <w:vAlign w:val="bottom"/>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20,518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-79375</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i w:val="1"/>
          <w:iCs w:val="1"/>
          <w:color w:val="auto"/>
        </w:rPr>
        <w:t>NM — not meaningful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$7.8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as compared to the same period in 2018. This change was primarily driven by a $3.4 million increase in professional services costs primarily related to the Company's restatement project and related audit activities that were not included in one-time costs, a $3.2 million increase in employment related costs and $0.4 million of severance costs.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incurred beginning in the first quarter of fiscal year 2019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year 2020 in connection with the Audit Committee's investigation, the restatements of previously filed financial statements, bank consents, and the ongoing remediation of deficiencies in our internal control over financial reporting.</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Integration and acquisition costs</w:t>
      </w:r>
      <w:r>
        <w:rPr>
          <w:rFonts w:ascii="Arial" w:cs="Arial" w:eastAsia="Arial" w:hAnsi="Arial"/>
          <w:sz w:val="18"/>
          <w:szCs w:val="18"/>
          <w:color w:val="auto"/>
        </w:rPr>
        <w:t>. Integration and acquisition costs were $0.2 million for the three months ended December 31, 2018 due to the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Cantaloupe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40" w:type="dxa"/>
            <w:vAlign w:val="bottom"/>
          </w:tcPr>
          <w:p>
            <w:pPr>
              <w:spacing w:after="0"/>
              <w:rPr>
                <w:sz w:val="16"/>
                <w:szCs w:val="16"/>
                <w:color w:val="auto"/>
              </w:rPr>
            </w:pPr>
          </w:p>
        </w:tc>
        <w:tc>
          <w:tcPr>
            <w:tcW w:w="15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2"/>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gridSpan w:val="2"/>
            <w:vMerge w:val="restart"/>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vMerge w:val="restart"/>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3"/>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7"/>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i w:val="1"/>
                <w:iCs w:val="1"/>
                <w:color w:val="auto"/>
                <w:w w:val="97"/>
              </w:rPr>
              <w:t>Other expense, net</w:t>
            </w:r>
            <w:r>
              <w:rPr>
                <w:rFonts w:ascii="Arial" w:cs="Arial" w:eastAsia="Arial" w:hAnsi="Arial"/>
                <w:sz w:val="18"/>
                <w:szCs w:val="18"/>
                <w:color w:val="auto"/>
                <w:w w:val="97"/>
              </w:rPr>
              <w:t>. Other expense, net was consistent with the same period in 2018.</w:t>
            </w: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6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40" w:type="dxa"/>
            <w:vAlign w:val="bottom"/>
          </w:tcPr>
          <w:p>
            <w:pPr>
              <w:spacing w:after="0"/>
              <w:rPr>
                <w:sz w:val="24"/>
                <w:szCs w:val="24"/>
                <w:color w:val="auto"/>
              </w:rPr>
            </w:pPr>
          </w:p>
        </w:tc>
        <w:tc>
          <w:tcPr>
            <w:tcW w:w="15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three months ended December 31, 2019, a tax provision of $72 thousand was recorded which primarily relates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 tax positions, as well as state income and franchise taxes. As of December 31, 2019, the Company had a total unrecognized income tax benefit of $0.3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three months ended December 31, 2019, as the use of an estimated annual effective income tax rate does not provide a reliable estimate of the income tax provision.</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December 31, 2018, a tax provision of $19 thousand was recorded which primarily relates to state income and franchise taxes. The provision is based upon actual loss before income taxes for the three months ended December 31, 2018, as the use of an estimated annual effective income tax rate does not provide a reliable estimate of the income tax provision.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7"/>
              </w:rPr>
              <w:t>Three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income tax provision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7,188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EBITDA</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8,023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or activist related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or the activist related matters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7"/>
              </w:rPr>
              <w:t>Three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Litigation related professional fees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Non-GAAP net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used herein, non-GAAP net income (loss) represents GAAP net loss excluding costs or benefits relating to any non-cash portions of the Company’s income tax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class-action litigation or activist related expenses, and stock-based compensation expense.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right="4480"/>
        <w:spacing w:after="0" w:line="482" w:lineRule="auto"/>
        <w:rPr>
          <w:sz w:val="20"/>
          <w:szCs w:val="20"/>
          <w:color w:val="auto"/>
        </w:rPr>
      </w:pPr>
      <w:r>
        <w:rPr>
          <w:rFonts w:ascii="Arial" w:cs="Arial" w:eastAsia="Arial" w:hAnsi="Arial"/>
          <w:sz w:val="18"/>
          <w:szCs w:val="18"/>
          <w:b w:val="1"/>
          <w:bCs w:val="1"/>
          <w:color w:val="auto"/>
        </w:rPr>
        <w:t>Six Months Ended December 31, 2019 Compared to Six Months Ended December 31, 2018 Revenue and Gross Profit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December 31,</w:t>
            </w:r>
          </w:p>
        </w:tc>
        <w:tc>
          <w:tcPr>
            <w:tcW w:w="16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70,363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58,404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68,254</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18,564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87.0 %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costs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47,761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25,695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20,570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(1,870.1)%</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24,178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20,493</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increased $19.2 million for the six months ended December 31, 2019 compared to the same period in 2018. The growth in total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resulted from a $12.0 million increase in license and transaction fee revenue for the six months ended December 31, 2019 compared to the same period in 2018, mostly driven by the increase in connection count which generated an increase in license fee and processing fees, and a $7.2 million increase in equipment revenue for the six months ended December 31, 2019 compared to the same period in 2018 driven primarily by the 86,000 new net connections delivered for the six months ended December 31, 2019 compared to 52,000 new net connections delivered in the same period in 2018. This 34,000 increase in new net connections represents a 65 percent increase year over year.</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increased $15.5 million for the six months ended December 31, 2019 compared to the same period in 2018.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 $6.8 million increase in cost of services driven by an increase in transaction processing costs commensurate with the increase in transaction processing fees for the period and a $8.6 million increase in cost of equipment sales, resulting from higher shipments compared to the same period last year.</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2.4%, from 30.0% for the six months ended December 31, 2018 to 27.7% for the six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decrease was driven primarily by a lower equipment margin resulting from a large equipment sale made to a strategic customer during the prior quarter, reflecting our strategy of using equipment sales as an enabler for driving longer-term, higher margin license and transaction fees. License and transaction processing margin remained consistent compared to the same period last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December 31,</w:t>
            </w:r>
          </w:p>
        </w:tc>
        <w:tc>
          <w:tcPr>
            <w:tcW w:w="16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20" w:type="dxa"/>
            <w:vAlign w:val="bottom"/>
            <w:vMerge w:val="restart"/>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20,381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11,714</w:t>
            </w:r>
          </w:p>
        </w:tc>
        <w:tc>
          <w:tcPr>
            <w:tcW w:w="120" w:type="dxa"/>
            <w:vAlign w:val="bottom"/>
          </w:tcPr>
          <w:p>
            <w:pPr>
              <w:spacing w:after="0"/>
              <w:rPr>
                <w:sz w:val="21"/>
                <w:szCs w:val="21"/>
                <w:color w:val="auto"/>
              </w:rPr>
            </w:pPr>
          </w:p>
        </w:tc>
        <w:tc>
          <w:tcPr>
            <w:tcW w:w="1600" w:type="dxa"/>
            <w:vAlign w:val="bottom"/>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43,212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35,474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$16.4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as compared to the same period in 2018. This change was primarily driven by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$10.8 million increase in professional services costs primarily related to the Company's restatement project and related audit activities that were not included in one-time costs, $4.4 million increase in employment related costs, and $0.4 million of severance costs.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incurred beginning in the first quarter of fiscal year 2019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year 2020 in connection with the Audit Committee's investigation, the restatements of previously filed financial statements, bank consents, and the ongoing remediation of deficiencies in our internal control over financial reporting.</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Integration and acquisition costs</w:t>
      </w:r>
      <w:r>
        <w:rPr>
          <w:rFonts w:ascii="Arial" w:cs="Arial" w:eastAsia="Arial" w:hAnsi="Arial"/>
          <w:sz w:val="18"/>
          <w:szCs w:val="18"/>
          <w:color w:val="auto"/>
        </w:rPr>
        <w:t>. Integration and acquisition costs were $1.1 million for the six months ended December 31, 2018 due to the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Cantaloupe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9"/>
              </w:rPr>
              <w:t>Six months ended December 31,</w:t>
            </w:r>
          </w:p>
        </w:tc>
        <w:tc>
          <w:tcPr>
            <w:tcW w:w="40" w:type="dxa"/>
            <w:vAlign w:val="bottom"/>
          </w:tcPr>
          <w:p>
            <w:pPr>
              <w:spacing w:after="0"/>
              <w:rPr>
                <w:sz w:val="16"/>
                <w:szCs w:val="16"/>
                <w:color w:val="auto"/>
              </w:rPr>
            </w:pPr>
          </w:p>
        </w:tc>
        <w:tc>
          <w:tcPr>
            <w:tcW w:w="15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2"/>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gridSpan w:val="2"/>
            <w:vMerge w:val="restart"/>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3"/>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i w:val="1"/>
                <w:iCs w:val="1"/>
                <w:color w:val="auto"/>
                <w:w w:val="97"/>
              </w:rPr>
              <w:t>Other expense, net</w:t>
            </w:r>
            <w:r>
              <w:rPr>
                <w:rFonts w:ascii="Arial" w:cs="Arial" w:eastAsia="Arial" w:hAnsi="Arial"/>
                <w:sz w:val="18"/>
                <w:szCs w:val="18"/>
                <w:color w:val="auto"/>
                <w:w w:val="97"/>
              </w:rPr>
              <w:t>. Other expense, net was consistent with the same period in 2018.</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6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8"/>
          </w:tcPr>
          <w:p>
            <w:pPr>
              <w:ind w:left="240"/>
              <w:spacing w:after="0"/>
              <w:rPr>
                <w:sz w:val="20"/>
                <w:szCs w:val="20"/>
                <w:color w:val="auto"/>
              </w:rPr>
            </w:pPr>
            <w:r>
              <w:rPr>
                <w:rFonts w:ascii="Arial" w:cs="Arial" w:eastAsia="Arial" w:hAnsi="Arial"/>
                <w:sz w:val="14"/>
                <w:szCs w:val="14"/>
                <w:b w:val="1"/>
                <w:bCs w:val="1"/>
                <w:color w:val="auto"/>
              </w:rPr>
              <w:t>Six months ended December 31,</w:t>
            </w:r>
          </w:p>
        </w:tc>
        <w:tc>
          <w:tcPr>
            <w:tcW w:w="40" w:type="dxa"/>
            <w:vAlign w:val="bottom"/>
          </w:tcPr>
          <w:p>
            <w:pPr>
              <w:spacing w:after="0"/>
              <w:rPr>
                <w:sz w:val="24"/>
                <w:szCs w:val="24"/>
                <w:color w:val="auto"/>
              </w:rPr>
            </w:pPr>
          </w:p>
        </w:tc>
        <w:tc>
          <w:tcPr>
            <w:tcW w:w="15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six months ended December 31, 2019, a tax provision of $131 thousand was recorded which primarily relates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 tax positions, as well as state income and franchise taxes. As of December 31, 2019, the Company had a total unrecognized income tax benefit of $0.3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six months ended December 31, 2019, as the use of an estimated annual effective income tax rate does not provide a reliable estimate of the income tax provision.</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December 31, 2018, a tax provision of $37 thousand was recorded which primarily relates to state income and franchise taxes. The provision is based upon actual loss before income taxes for the six months ended December 31, 2018, as the use of an estimated annual effective income tax rate does not provide a reliable estimate of the income tax provision.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income tax provision</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EBITDA</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or activist related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or the activist related matters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Litigation related professional fees</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Non-GAAP net (loss)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used herein, non-GAAP net income (loss) represents GAAP net loss excluding costs or benefits relating to any non-cash portions of the Company’s income tax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class-action litigation or activist related expenses, and stock-based compensation expense.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operating activities was $9.8 million for the six months ended December 31, 2019 compared to cash used of $16.6 million in the same period in fiscal year 2018. The change reflects a change in net expense for non-cash operating activities of $0.2 million, and net cash provided by the change in various operating assets and liabilities of $10.7 million. The change in operating assets and liabilities is primarily driven by the change of accounts receivable of $2.2 million offset by the change of accounts payable and accrued expenses of $13.1 million.</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used in investing activities was $1.3 million for the six months ended December 31, 2019 compared to cash used of $2.2 million in the same period in fiscal year 2018, primarily driven by a decrease in equipment purchases for rental equipment compared to the same period last year.</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was $21.2 million for the six months ended December 31, 2019 compared to cash used of $1.9 million in the same period in fiscal year 2018. The change was primarily due to proceeds received from the Term Facility, offset by payments of issuance fees for the Term Facility and the repayment of the Term Loan and Revolving Credit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Company's delay in filing its periodic reports, between September 28, 2018, and September 30, 2019, the Company entered into various agreements with JPMorgan Chase Bank, N.A. (“Lender”), to provide for the extension of the delivery of the Company’s financial information and related compliance certificates required under the terms of the credit agreement which were required to be delivered to the Lender by no later than October 31, 2019.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Term Loan.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2019, the Company prepaid the remaining principal balance of the term loan of $1.5 million and agreed to permanently reduce the amount available under the Revolving Credit Facility to $10 million which represented the outstanding balance on the date thereof. On October 31, 2019, the Company repaid the outstanding balance on the Revolving Credit Facility.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a Stock Purchase Agreement dated October 9, 2019 between the Company and Antara Capital Master Fund LP (“Antara”), the Company sold to Antara 3,800,000 shares of the Company’s common stock at a price of $5.25 per share for gross proceeds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In connection with the private placement, William Blair &amp; Company, L.L.C. (“Blair”) acted as exclusive placement agent for the Company and received a cash placement fee of $1.2 million.</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October 9, 2019, the Company also entered into a commitment letter (“Commitment Letter”) with Antara, pursuant to which Antara committed to extend to the Company a $30.0 million senior secured term loan facility (“Term Facility”). Upon the execution of the Commitment Letter, the Company paid to Antara a non-refundable commitment fee of $1.2 million. In connection with the Commitment Letter, Blair acted as exclusive placement agent for the Company and received a cash placement fee of $750,000.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 We may prepay any principal amount outstanding on the Term Facility plus a prepayment premium of 5% (if prepaid on or prior to December 31, 2020), 3% (between January 1, 2021 - December 31, 2021), 1% (between January 1, 2022 - December 31, 2022) and 0% thereafter. Under the Term Facility we are subject to mandatory prepayments as a result of certain asset sales, insurance proceeds, issuances of disqualified capital stock, and issuances of debt. These mandatory prepayments are subject to the prepayment premium that applies to voluntary prepayments. We are also subject to annual mandatory prepayments ranging from 0% of excess cash flow to 75% of excess cash flow depending upon the consolidated total leverage ratio measured at the end of each fiscal year beginning with the fiscal year ending June 30, 2020. These mandatory prepayments are not subject to the aforementioned prepayment premium. The Company will need to be in compliance with financial covenants related to the minimum fixed charge coverage ratio beginning with the fiscal quarter ending June 30, 2020, maximum capital expenditures beginning with the fiscal quarter ending December 31, 2019, and minimum consolidated EBITDA beginning with the fiscal year ending June 30, 2020. As of December 31, 2019, the Company was in compliance with its financial covenants.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the following primary sources of capital available: (1) cash and cash equivalents on hand of $37.5 million as of December 31, 2019; (2) the cash which may be provided by operating activities; (3) potential sales to third party lenders of all or a portion of our finance receivables; and (4) an aggregate amount of $15 million under the Term Facility as described above. In addition, management has recently implemented efficiencies in working capital that are designed to increase our cash balances.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anticipates that during the remainder of the 2020 fiscal year, the Company would have to satisfy its sales tax liability estimated to be no more than $18.0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described above would provide sufficient capital resources to operate its anticipated business over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exposures to market risk have not changed materially since June 30, 2019. For quantitative and qualitative disclosures about market risk, refer to Part II, Item 7A. “Quantitative and Qualitative Disclosures about Market Risk,” contained in our 2019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evaluated, with the participation of our interim chief executive officer and interim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such information is accumulated and communicated to our management, including our interim chief executive officer and interim chief financial officer, to allow timely decisions regarding required disclosure. Based on this evaluation, our management, including our interim chief executive officer and interim chief financial officer, has concluded that our disclosure controls and procedures were not effective as of the end of such period as a result of the material weaknesses in our internal control over financial reporting, which are described in Item 9A. of our 2019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than the remediation actions disclosed in Item 9A. of the 2019 Form 10-K, there were no changes in our internal controls over financial reporting that occurred during the quarter ended December 31, 2019 that materially affected, or are reasonably likely to materially affect, our internal controls over financial reporting. As discussed in Item 9A. of our 2019 Form 10-K, we have initiated a broad range of remedial procedures to address the material weaknesses in our internal control over financial reporting. These remedial procedures entailed significant changes in our internal control over financial reporting throughout the course of the fiscal year ended June 30, 2019 and were not complete as of December 31, 2019, and will continue through fiscal year 2020, with the goal to fully remediate all remaining material weaknesses by fiscal year 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reported, various putative shareholder class action complaints had been filed in the United States District Court for the District of New Jersey against the Company, its chief executive officer and chief financial officer at the relevant time, its directors at the relevant time, and the investment banks who served as underwriters in the May 2018 follow-on public offering of the Company (the “Underwriters”). These complaints alleged violations of the Securities Act of 1933, as amended, and the Securities Exchange Act of 1934, as amended. These various actions were consolidated by the Court into one action (the “Consolidated Action”), and the Court granted the Motion to Transfer filed by the Company and its former chief executive officer, and transferred the Consolidated Action to the United States District Court for the Eastern District of Pennsylvania, Docket No. 19-cv-04565. On November 20, 2019, Plaintiff filed an amended complaint, and defendants filed motions to dismiss on February 3, 2020. The Court has not yet ruled on the motions to dismiss. The parties intend to participate in a private mediation on February 27,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The Pennsylvania Superior Court has not yet decided the appealability of the Chester County Stay Order.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81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Certifications of Chief Executive Officer pursuant to Rule 13a-14(a) under the Securities Exchange Act of 1934.</w:t>
              </w:r>
            </w:hyperlink>
          </w:p>
        </w:tc>
        <w:tc>
          <w:tcPr>
            <w:tcW w:w="2200" w:type="dxa"/>
            <w:vAlign w:val="bottom"/>
            <w:gridSpan w:val="2"/>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10300" w:type="dxa"/>
            <w:vAlign w:val="bottom"/>
            <w:gridSpan w:val="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Certifications of Chief Financial Officer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101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Certification of the Chief Executive Officer pursuant to 18 USC Section 1350, as adopted pursuant to Section 906 of the Sarbanes-Oxley Act</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of 2002.</w:t>
              </w:r>
            </w:hyperlink>
          </w:p>
        </w:tc>
        <w:tc>
          <w:tcPr>
            <w:tcW w:w="9700" w:type="dxa"/>
            <w:vAlign w:val="bottom"/>
            <w:gridSpan w:val="4"/>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10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the Chief Financial Officer pursuant to 18 USC Section 1350, as adopted pursuant to Section 906 of the Sarbanes-Oxley Act of</w:t>
              </w:r>
            </w:hyperlink>
          </w:p>
        </w:tc>
      </w:tr>
      <w:tr>
        <w:trPr>
          <w:trHeight w:val="196"/>
        </w:trPr>
        <w:tc>
          <w:tcPr>
            <w:tcW w:w="10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43">
              <w:r>
                <w:rPr>
                  <w:rFonts w:ascii="Arial" w:cs="Arial" w:eastAsia="Arial" w:hAnsi="Arial"/>
                  <w:sz w:val="18"/>
                  <w:szCs w:val="18"/>
                  <w:color w:val="0000FF"/>
                  <w:w w:val="84"/>
                </w:rPr>
                <w:t>2002.</w:t>
              </w:r>
            </w:hyperlink>
          </w:p>
        </w:tc>
        <w:tc>
          <w:tcPr>
            <w:tcW w:w="2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364" w:lineRule="exact"/>
        <w:rPr>
          <w:sz w:val="20"/>
          <w:szCs w:val="20"/>
          <w:color w:val="auto"/>
        </w:rPr>
      </w:pPr>
    </w:p>
    <w:p>
      <w:pPr>
        <w:ind w:left="1080" w:right="20" w:hanging="1045"/>
        <w:spacing w:after="0" w:line="25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quarter ended December 31, 2019, filed with the SEC on February 18, 2020, formatted in Extensible Business Reporting Language (XBRL): (1) the Consolidated Balance Sheets as of December 31, 2019 and June 30, 2019, (2) the Consolidated Statements of Operations for the three-month and six-month periods ended December 31, 2019 and 2018, (3) the Consolidated Statements of Shareholders’ Equity for the six-month periods ended December 31, 2019 and 2018, (4) the Consolidated Statements of Cash Flows for the six-month periods ended December 31, 2019 and 2018, and (5) the Notes to Consolidated Financial Statements.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567"/>
        </w:trPr>
        <w:tc>
          <w:tcPr>
            <w:tcW w:w="3660" w:type="dxa"/>
            <w:vAlign w:val="bottom"/>
          </w:tcPr>
          <w:p>
            <w:pPr>
              <w:spacing w:after="0"/>
              <w:rPr>
                <w:sz w:val="20"/>
                <w:szCs w:val="20"/>
                <w:color w:val="auto"/>
              </w:rPr>
            </w:pPr>
            <w:r>
              <w:rPr>
                <w:rFonts w:ascii="Arial" w:cs="Arial" w:eastAsia="Arial" w:hAnsi="Arial"/>
                <w:sz w:val="18"/>
                <w:szCs w:val="18"/>
                <w:color w:val="auto"/>
              </w:rPr>
              <w:t>Date: February 18, 2020</w:t>
            </w:r>
          </w:p>
        </w:tc>
        <w:tc>
          <w:tcPr>
            <w:tcW w:w="20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Donald W. Layden, Jr.</w:t>
            </w:r>
          </w:p>
        </w:tc>
      </w:tr>
      <w:tr>
        <w:trPr>
          <w:trHeight w:val="27"/>
        </w:trPr>
        <w:tc>
          <w:tcPr>
            <w:tcW w:w="3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Donald W. Layden, Jr.</w:t>
            </w:r>
          </w:p>
        </w:tc>
      </w:tr>
      <w:tr>
        <w:trPr>
          <w:trHeight w:val="270"/>
        </w:trPr>
        <w:tc>
          <w:tcPr>
            <w:tcW w:w="36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r>
      <w:tr>
        <w:trPr>
          <w:trHeight w:val="567"/>
        </w:trPr>
        <w:tc>
          <w:tcPr>
            <w:tcW w:w="3660" w:type="dxa"/>
            <w:vAlign w:val="bottom"/>
          </w:tcPr>
          <w:p>
            <w:pPr>
              <w:spacing w:after="0"/>
              <w:rPr>
                <w:sz w:val="20"/>
                <w:szCs w:val="20"/>
                <w:color w:val="auto"/>
              </w:rPr>
            </w:pPr>
            <w:r>
              <w:rPr>
                <w:rFonts w:ascii="Arial" w:cs="Arial" w:eastAsia="Arial" w:hAnsi="Arial"/>
                <w:sz w:val="18"/>
                <w:szCs w:val="18"/>
                <w:color w:val="auto"/>
              </w:rPr>
              <w:t>Date: February 18, 2020</w:t>
            </w:r>
          </w:p>
        </w:tc>
        <w:tc>
          <w:tcPr>
            <w:tcW w:w="20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Glen E. Goold</w:t>
            </w:r>
          </w:p>
        </w:tc>
      </w:tr>
      <w:tr>
        <w:trPr>
          <w:trHeight w:val="27"/>
        </w:trPr>
        <w:tc>
          <w:tcPr>
            <w:tcW w:w="3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Glen E. Goold</w:t>
            </w:r>
          </w:p>
        </w:tc>
      </w:tr>
      <w:tr>
        <w:trPr>
          <w:trHeight w:val="270"/>
        </w:trPr>
        <w:tc>
          <w:tcPr>
            <w:tcW w:w="36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459"/>
        </w:trPr>
        <w:tc>
          <w:tcPr>
            <w:tcW w:w="366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Donald W. Layden, Jr.,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Donald W. Layden,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420"/>
          </w:cols>
          <w:pgMar w:left="240" w:top="72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Glen E. Goold,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72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4" w:lineRule="exact"/>
        <w:rPr>
          <w:sz w:val="20"/>
          <w:szCs w:val="20"/>
          <w:color w:val="auto"/>
        </w:rPr>
      </w:pPr>
      <w:r>
        <w:rPr>
          <w:rFonts w:ascii="Arial" w:cs="Arial" w:eastAsia="Arial" w:hAnsi="Arial"/>
          <w:sz w:val="17"/>
          <w:szCs w:val="17"/>
          <w:color w:val="auto"/>
        </w:rPr>
        <w:t>In connection with the accompanying Quarterly Report of USA Technologies,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period ended December 31, 2019 (the “Report”), I, Donald W. Layden, Jr., Interim Chief Executive Officer of the Company, hereby certify that to my knowledge:</w:t>
      </w:r>
    </w:p>
    <w:p>
      <w:pPr>
        <w:spacing w:after="0" w:line="16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Donald W. Layden,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420"/>
          </w:cols>
          <w:pgMar w:left="240" w:top="72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2019 (the “Report”), I, Glen E. Goold, Interim Chief Financial Officer of the Company, hereby certify that to my knowledge:</w:t>
      </w:r>
    </w:p>
    <w:p>
      <w:pPr>
        <w:spacing w:after="0" w:line="1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2020-02-18T15:55:12Z</dcterms:created>
  <dcterms:modified xsi:type="dcterms:W3CDTF">2020-02-18T15:55:12Z</dcterms:modified>
</cp:coreProperties>
</file>