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UNITED STATES</w:t>
      </w:r>
    </w:p>
    <w:p>
      <w:pPr>
        <w:spacing w:after="0" w:line="6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SECURITIES AND EXCHANGE COMMISSION</w:t>
      </w:r>
    </w:p>
    <w:p>
      <w:pPr>
        <w:spacing w:after="0" w:line="6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Washington, D.C. 20549</w:t>
      </w:r>
    </w:p>
    <w:p>
      <w:pPr>
        <w:spacing w:after="0" w:line="171" w:lineRule="exact"/>
        <w:rPr>
          <w:sz w:val="24"/>
          <w:szCs w:val="24"/>
          <w:color w:val="auto"/>
        </w:rPr>
      </w:pPr>
    </w:p>
    <w:p>
      <w:pPr>
        <w:ind w:left="4920"/>
        <w:spacing w:after="0"/>
        <w:rPr>
          <w:sz w:val="20"/>
          <w:szCs w:val="20"/>
          <w:color w:val="auto"/>
        </w:rPr>
      </w:pPr>
      <w:r>
        <w:rPr>
          <w:rFonts w:ascii="Arial" w:cs="Arial" w:eastAsia="Arial" w:hAnsi="Arial"/>
          <w:sz w:val="18"/>
          <w:szCs w:val="18"/>
          <w:color w:val="auto"/>
        </w:rPr>
        <w:t>SCHEDULE 14A</w:t>
      </w:r>
    </w:p>
    <w:p>
      <w:pPr>
        <w:spacing w:after="0" w:line="185" w:lineRule="exact"/>
        <w:rPr>
          <w:sz w:val="24"/>
          <w:szCs w:val="24"/>
          <w:color w:val="auto"/>
        </w:rPr>
      </w:pPr>
    </w:p>
    <w:p>
      <w:pPr>
        <w:ind w:left="3640"/>
        <w:spacing w:after="0"/>
        <w:rPr>
          <w:sz w:val="20"/>
          <w:szCs w:val="20"/>
          <w:color w:val="auto"/>
        </w:rPr>
      </w:pPr>
      <w:r>
        <w:rPr>
          <w:rFonts w:ascii="Arial" w:cs="Arial" w:eastAsia="Arial" w:hAnsi="Arial"/>
          <w:sz w:val="18"/>
          <w:szCs w:val="18"/>
          <w:color w:val="auto"/>
        </w:rPr>
        <w:t>Proxy Statement Pursuant to Section 14(a) of the</w:t>
      </w:r>
    </w:p>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Securities Exchange Act of 1934</w:t>
      </w:r>
    </w:p>
    <w:p>
      <w:pPr>
        <w:spacing w:after="0" w:line="182" w:lineRule="exact"/>
        <w:rPr>
          <w:sz w:val="24"/>
          <w:szCs w:val="24"/>
          <w:color w:val="auto"/>
        </w:rPr>
      </w:pPr>
    </w:p>
    <w:p>
      <w:pPr>
        <w:spacing w:after="0" w:line="242" w:lineRule="exact"/>
        <w:tabs>
          <w:tab w:leader="none" w:pos="420" w:val="left"/>
          <w:tab w:leader="none" w:pos="5420" w:val="left"/>
        </w:tabs>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ab/>
        <w:t>Filed by the Registrant</w:t>
      </w:r>
      <w:r>
        <w:rPr>
          <w:sz w:val="20"/>
          <w:szCs w:val="20"/>
          <w:color w:val="auto"/>
        </w:rPr>
        <w:tab/>
      </w:r>
      <w:r>
        <w:rPr>
          <w:rFonts w:ascii="MS PGothic" w:cs="MS PGothic" w:eastAsia="MS PGothic" w:hAnsi="MS PGothic"/>
          <w:sz w:val="22"/>
          <w:szCs w:val="22"/>
          <w:color w:val="auto"/>
        </w:rPr>
        <w:t xml:space="preserve">☐  </w:t>
      </w:r>
      <w:r>
        <w:rPr>
          <w:rFonts w:ascii="Arial" w:cs="Arial" w:eastAsia="Arial" w:hAnsi="Arial"/>
          <w:sz w:val="17"/>
          <w:szCs w:val="17"/>
          <w:color w:val="auto"/>
        </w:rPr>
        <w:t>Filed by a party other than the Registrant</w:t>
      </w: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ind w:left="80"/>
        <w:spacing w:after="0"/>
        <w:rPr>
          <w:sz w:val="20"/>
          <w:szCs w:val="20"/>
          <w:color w:val="auto"/>
        </w:rPr>
      </w:pPr>
      <w:r>
        <w:rPr>
          <w:rFonts w:ascii="Arial" w:cs="Arial" w:eastAsia="Arial" w:hAnsi="Arial"/>
          <w:sz w:val="18"/>
          <w:szCs w:val="18"/>
          <w:color w:val="auto"/>
        </w:rPr>
        <w:t>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32320" cy="137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371600"/>
                    </a:xfrm>
                    <a:prstGeom prst="rect">
                      <a:avLst/>
                    </a:prstGeom>
                    <a:noFill/>
                  </pic:spPr>
                </pic:pic>
              </a:graphicData>
            </a:graphic>
          </wp:anchor>
        </w:drawing>
      </w:r>
    </w:p>
    <w:p>
      <w:pPr>
        <w:spacing w:after="0" w:line="205" w:lineRule="exact"/>
        <w:rPr>
          <w:sz w:val="24"/>
          <w:szCs w:val="24"/>
          <w:color w:val="auto"/>
        </w:rPr>
      </w:pPr>
    </w:p>
    <w:p>
      <w:pPr>
        <w:ind w:left="520" w:hanging="436"/>
        <w:spacing w:after="0"/>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Preliminary Proxy Statement</w:t>
      </w:r>
    </w:p>
    <w:p>
      <w:pPr>
        <w:spacing w:after="0" w:line="204" w:lineRule="exact"/>
        <w:rPr>
          <w:rFonts w:ascii="MS PGothic" w:cs="MS PGothic" w:eastAsia="MS PGothic" w:hAnsi="MS PGothic"/>
          <w:sz w:val="22"/>
          <w:szCs w:val="22"/>
          <w:color w:val="auto"/>
        </w:rPr>
      </w:pPr>
    </w:p>
    <w:p>
      <w:pPr>
        <w:ind w:left="520" w:hanging="436"/>
        <w:spacing w:after="0"/>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Confidential, for Use of the Commission Only (as permitted by Rule 14a-6(e)(2))</w:t>
      </w:r>
    </w:p>
    <w:p>
      <w:pPr>
        <w:spacing w:after="0" w:line="205" w:lineRule="exact"/>
        <w:rPr>
          <w:sz w:val="24"/>
          <w:szCs w:val="24"/>
          <w:color w:val="auto"/>
        </w:rPr>
      </w:pPr>
    </w:p>
    <w:p>
      <w:pPr>
        <w:ind w:left="520" w:hanging="436"/>
        <w:spacing w:after="0"/>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Definitive Proxy Statement</w:t>
      </w:r>
    </w:p>
    <w:p>
      <w:pPr>
        <w:spacing w:after="0" w:line="205" w:lineRule="exact"/>
        <w:rPr>
          <w:sz w:val="24"/>
          <w:szCs w:val="24"/>
          <w:color w:val="auto"/>
        </w:rPr>
      </w:pPr>
    </w:p>
    <w:p>
      <w:pPr>
        <w:ind w:left="520" w:hanging="436"/>
        <w:spacing w:after="0"/>
        <w:tabs>
          <w:tab w:leader="none" w:pos="52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Definitive Additional Materials</w:t>
      </w:r>
    </w:p>
    <w:p>
      <w:pPr>
        <w:spacing w:after="0" w:line="204" w:lineRule="exact"/>
        <w:rPr>
          <w:rFonts w:ascii="MS PGothic" w:cs="MS PGothic" w:eastAsia="MS PGothic" w:hAnsi="MS PGothic"/>
          <w:sz w:val="22"/>
          <w:szCs w:val="22"/>
          <w:color w:val="auto"/>
        </w:rPr>
      </w:pPr>
    </w:p>
    <w:p>
      <w:pPr>
        <w:ind w:left="520" w:hanging="436"/>
        <w:spacing w:after="0"/>
        <w:tabs>
          <w:tab w:leader="none" w:pos="52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2735580</wp:posOffset>
            </wp:positionH>
            <wp:positionV relativeFrom="paragraph">
              <wp:posOffset>227965</wp:posOffset>
            </wp:positionV>
            <wp:extent cx="1645920" cy="4718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5920" cy="4718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Cantaloupe, Inc.</w:t>
      </w:r>
    </w:p>
    <w:p>
      <w:pPr>
        <w:spacing w:after="0" w:line="181" w:lineRule="exact"/>
        <w:rPr>
          <w:sz w:val="24"/>
          <w:szCs w:val="24"/>
          <w:color w:val="auto"/>
        </w:rPr>
      </w:pPr>
    </w:p>
    <w:p>
      <w:pPr>
        <w:jc w:val="center"/>
        <w:ind w:right="20"/>
        <w:spacing w:after="0"/>
        <w:rPr>
          <w:sz w:val="20"/>
          <w:szCs w:val="20"/>
          <w:color w:val="auto"/>
        </w:rPr>
      </w:pPr>
      <w:r>
        <w:rPr>
          <w:rFonts w:ascii="Arial" w:cs="Arial" w:eastAsia="Arial" w:hAnsi="Arial"/>
          <w:sz w:val="13"/>
          <w:szCs w:val="13"/>
          <w:color w:val="auto"/>
        </w:rPr>
        <w:t>(Name of Registrant as Specified In Its Charter)</w:t>
      </w:r>
    </w:p>
    <w:p>
      <w:pPr>
        <w:spacing w:after="0" w:line="53" w:lineRule="exact"/>
        <w:rPr>
          <w:sz w:val="24"/>
          <w:szCs w:val="24"/>
          <w:color w:val="auto"/>
        </w:rPr>
      </w:pPr>
    </w:p>
    <w:p>
      <w:pPr>
        <w:jc w:val="center"/>
        <w:ind w:right="20"/>
        <w:spacing w:after="0"/>
        <w:rPr>
          <w:sz w:val="20"/>
          <w:szCs w:val="20"/>
          <w:color w:val="auto"/>
        </w:rPr>
      </w:pPr>
      <w:r>
        <w:rPr>
          <w:rFonts w:ascii="Arial" w:cs="Arial" w:eastAsia="Arial" w:hAnsi="Arial"/>
          <w:sz w:val="13"/>
          <w:szCs w:val="13"/>
          <w:color w:val="auto"/>
        </w:rPr>
        <w:t>(Name of Person(s) Filing Proxy Statement, if other than the Registrant)</w:t>
      </w:r>
    </w:p>
    <w:p>
      <w:pPr>
        <w:spacing w:after="0" w:line="200" w:lineRule="exact"/>
        <w:rPr>
          <w:sz w:val="24"/>
          <w:szCs w:val="24"/>
          <w:color w:val="auto"/>
        </w:rPr>
      </w:pPr>
    </w:p>
    <w:p>
      <w:pPr>
        <w:spacing w:after="0" w:line="400" w:lineRule="exact"/>
        <w:rPr>
          <w:sz w:val="24"/>
          <w:szCs w:val="24"/>
          <w:color w:val="auto"/>
        </w:rPr>
      </w:pPr>
    </w:p>
    <w:p>
      <w:pPr>
        <w:ind w:left="80"/>
        <w:spacing w:after="0"/>
        <w:rPr>
          <w:sz w:val="20"/>
          <w:szCs w:val="20"/>
          <w:color w:val="auto"/>
        </w:rPr>
      </w:pPr>
      <w:r>
        <w:rPr>
          <w:rFonts w:ascii="Arial" w:cs="Arial" w:eastAsia="Arial" w:hAnsi="Arial"/>
          <w:sz w:val="18"/>
          <w:szCs w:val="18"/>
          <w:color w:val="auto"/>
        </w:rPr>
        <w:t>PAYMENT OF FILING FEE (CHECK ALL BOXES THAT APPLY):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32320" cy="822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2960"/>
                    </a:xfrm>
                    <a:prstGeom prst="rect">
                      <a:avLst/>
                    </a:prstGeom>
                    <a:noFill/>
                  </pic:spPr>
                </pic:pic>
              </a:graphicData>
            </a:graphic>
          </wp:anchor>
        </w:drawing>
      </w:r>
    </w:p>
    <w:p>
      <w:pPr>
        <w:spacing w:after="0" w:line="205" w:lineRule="exact"/>
        <w:rPr>
          <w:sz w:val="24"/>
          <w:szCs w:val="24"/>
          <w:color w:val="auto"/>
        </w:rPr>
      </w:pPr>
    </w:p>
    <w:p>
      <w:pPr>
        <w:ind w:left="520" w:hanging="436"/>
        <w:spacing w:after="0"/>
        <w:tabs>
          <w:tab w:leader="none" w:pos="520" w:val="left"/>
        </w:tabs>
        <w:numPr>
          <w:ilvl w:val="0"/>
          <w:numId w:val="4"/>
        </w:numPr>
        <w:rPr>
          <w:rFonts w:ascii="MS PGothic" w:cs="MS PGothic" w:eastAsia="MS PGothic" w:hAnsi="MS PGothic"/>
          <w:sz w:val="22"/>
          <w:szCs w:val="22"/>
          <w:color w:val="auto"/>
        </w:rPr>
      </w:pPr>
      <w:r>
        <w:rPr>
          <w:rFonts w:ascii="Arial" w:cs="Arial" w:eastAsia="Arial" w:hAnsi="Arial"/>
          <w:sz w:val="18"/>
          <w:szCs w:val="18"/>
          <w:color w:val="auto"/>
        </w:rPr>
        <w:t>No fee required</w:t>
      </w:r>
    </w:p>
    <w:p>
      <w:pPr>
        <w:spacing w:after="0" w:line="205" w:lineRule="exact"/>
        <w:rPr>
          <w:sz w:val="24"/>
          <w:szCs w:val="24"/>
          <w:color w:val="auto"/>
        </w:rPr>
      </w:pPr>
    </w:p>
    <w:p>
      <w:pPr>
        <w:ind w:left="520" w:hanging="436"/>
        <w:spacing w:after="0"/>
        <w:tabs>
          <w:tab w:leader="none" w:pos="520" w:val="left"/>
        </w:tabs>
        <w:numPr>
          <w:ilvl w:val="0"/>
          <w:numId w:val="5"/>
        </w:numPr>
        <w:rPr>
          <w:rFonts w:ascii="MS PGothic" w:cs="MS PGothic" w:eastAsia="MS PGothic" w:hAnsi="MS PGothic"/>
          <w:sz w:val="22"/>
          <w:szCs w:val="22"/>
          <w:color w:val="auto"/>
        </w:rPr>
      </w:pPr>
      <w:r>
        <w:rPr>
          <w:rFonts w:ascii="Arial" w:cs="Arial" w:eastAsia="Arial" w:hAnsi="Arial"/>
          <w:sz w:val="18"/>
          <w:szCs w:val="18"/>
          <w:color w:val="auto"/>
        </w:rPr>
        <w:t>Fee paid previously with preliminary materials</w:t>
      </w:r>
    </w:p>
    <w:p>
      <w:pPr>
        <w:spacing w:after="0" w:line="204" w:lineRule="exact"/>
        <w:rPr>
          <w:rFonts w:ascii="MS PGothic" w:cs="MS PGothic" w:eastAsia="MS PGothic" w:hAnsi="MS PGothic"/>
          <w:sz w:val="22"/>
          <w:szCs w:val="22"/>
          <w:color w:val="auto"/>
        </w:rPr>
      </w:pPr>
    </w:p>
    <w:p>
      <w:pPr>
        <w:ind w:left="520" w:hanging="436"/>
        <w:spacing w:after="0"/>
        <w:tabs>
          <w:tab w:leader="none" w:pos="520" w:val="left"/>
        </w:tabs>
        <w:numPr>
          <w:ilvl w:val="0"/>
          <w:numId w:val="5"/>
        </w:numPr>
        <w:rPr>
          <w:rFonts w:ascii="MS PGothic" w:cs="MS PGothic" w:eastAsia="MS PGothic" w:hAnsi="MS PGothic"/>
          <w:sz w:val="22"/>
          <w:szCs w:val="22"/>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918210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47625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1336" w:right="3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346075</wp:posOffset>
            </wp:positionV>
            <wp:extent cx="7157720" cy="9322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9322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12261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22618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34"/>
          <w:szCs w:val="34"/>
          <w:b w:val="1"/>
          <w:bCs w:val="1"/>
          <w:color w:val="202945"/>
        </w:rPr>
        <w:t>Vision</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To be the global technology leader powering self-service commerce.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4815205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310515</wp:posOffset>
            </wp:positionV>
            <wp:extent cx="5923280" cy="38747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23280" cy="3874770"/>
                    </a:xfrm>
                    <a:prstGeom prst="rect">
                      <a:avLst/>
                    </a:prstGeom>
                    <a:noFill/>
                  </pic:spPr>
                </pic:pic>
              </a:graphicData>
            </a:graphic>
          </wp:anchor>
        </w:drawing>
      </w:r>
    </w:p>
    <w:p>
      <w:pPr>
        <w:sectPr>
          <w:pgSz w:w="11900" w:h="16838" w:orient="portrait"/>
          <w:cols w:equalWidth="0" w:num="1">
            <w:col w:w="9599"/>
          </w:cols>
          <w:pgMar w:left="860" w:top="1440" w:right="1440" w:bottom="1440" w:gutter="0" w:footer="0" w:header="0"/>
        </w:sectPr>
      </w:pPr>
    </w:p>
    <w:bookmarkStart w:id="3" w:name="page4"/>
    <w:bookmarkEnd w:id="3"/>
    <w:p>
      <w:pPr>
        <w:ind w:right="4120"/>
        <w:spacing w:after="0" w:line="304" w:lineRule="auto"/>
        <w:rPr>
          <w:sz w:val="20"/>
          <w:szCs w:val="20"/>
          <w:color w:val="auto"/>
        </w:rPr>
      </w:pPr>
      <w:r>
        <w:rPr>
          <w:rFonts w:ascii="Arial" w:cs="Arial" w:eastAsia="Arial" w:hAnsi="Arial"/>
          <w:sz w:val="50"/>
          <w:szCs w:val="50"/>
          <w:b w:val="1"/>
          <w:bCs w:val="1"/>
          <w:color w:val="FF7F32"/>
        </w:rPr>
        <w:t>A Message from our CEO and Non-Executive Chair</w:t>
      </w:r>
    </w:p>
    <w:p>
      <w:pPr>
        <w:spacing w:after="0" w:line="198" w:lineRule="exact"/>
        <w:rPr>
          <w:sz w:val="20"/>
          <w:szCs w:val="20"/>
          <w:color w:val="auto"/>
        </w:rPr>
      </w:pPr>
    </w:p>
    <w:p>
      <w:pPr>
        <w:ind w:left="2920"/>
        <w:spacing w:after="0"/>
        <w:rPr>
          <w:sz w:val="20"/>
          <w:szCs w:val="20"/>
          <w:color w:val="auto"/>
        </w:rPr>
      </w:pPr>
      <w:r>
        <w:rPr>
          <w:rFonts w:ascii="Arial" w:cs="Arial" w:eastAsia="Arial" w:hAnsi="Arial"/>
          <w:sz w:val="16"/>
          <w:szCs w:val="16"/>
          <w:color w:val="auto"/>
        </w:rPr>
        <w:t>October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-81280</wp:posOffset>
            </wp:positionV>
            <wp:extent cx="1320165" cy="13290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20165" cy="1329055"/>
                    </a:xfrm>
                    <a:prstGeom prst="rect">
                      <a:avLst/>
                    </a:prstGeom>
                    <a:noFill/>
                  </pic:spPr>
                </pic:pic>
              </a:graphicData>
            </a:graphic>
          </wp:anchor>
        </w:drawing>
      </w:r>
    </w:p>
    <w:p>
      <w:pPr>
        <w:spacing w:after="0" w:line="107" w:lineRule="exact"/>
        <w:rPr>
          <w:sz w:val="20"/>
          <w:szCs w:val="20"/>
          <w:color w:val="auto"/>
        </w:rPr>
      </w:pPr>
    </w:p>
    <w:p>
      <w:pPr>
        <w:ind w:left="2920"/>
        <w:spacing w:after="0"/>
        <w:rPr>
          <w:sz w:val="20"/>
          <w:szCs w:val="20"/>
          <w:color w:val="auto"/>
        </w:rPr>
      </w:pPr>
      <w:r>
        <w:rPr>
          <w:rFonts w:ascii="Arial" w:cs="Arial" w:eastAsia="Arial" w:hAnsi="Arial"/>
          <w:sz w:val="16"/>
          <w:szCs w:val="16"/>
          <w:color w:val="auto"/>
        </w:rPr>
        <w:t>Dear Shareholders,</w:t>
      </w:r>
    </w:p>
    <w:p>
      <w:pPr>
        <w:spacing w:after="0" w:line="140" w:lineRule="exact"/>
        <w:rPr>
          <w:sz w:val="20"/>
          <w:szCs w:val="20"/>
          <w:color w:val="auto"/>
        </w:rPr>
      </w:pPr>
    </w:p>
    <w:p>
      <w:pPr>
        <w:ind w:left="2920"/>
        <w:spacing w:after="0"/>
        <w:rPr>
          <w:sz w:val="20"/>
          <w:szCs w:val="20"/>
          <w:color w:val="auto"/>
        </w:rPr>
      </w:pPr>
      <w:r>
        <w:rPr>
          <w:rFonts w:ascii="Arial" w:cs="Arial" w:eastAsia="Arial" w:hAnsi="Arial"/>
          <w:sz w:val="16"/>
          <w:szCs w:val="16"/>
          <w:color w:val="auto"/>
        </w:rPr>
        <w:t>You are cordially invited to attend the 2026 Annual Meeting of Shareholders (the “Annual Meeting”) of Cantaloupe,</w:t>
      </w:r>
    </w:p>
    <w:p>
      <w:pPr>
        <w:spacing w:after="0" w:line="31" w:lineRule="exact"/>
        <w:rPr>
          <w:sz w:val="20"/>
          <w:szCs w:val="20"/>
          <w:color w:val="auto"/>
        </w:rPr>
      </w:pPr>
    </w:p>
    <w:p>
      <w:pPr>
        <w:ind w:left="2920" w:right="700"/>
        <w:spacing w:after="0" w:line="305" w:lineRule="auto"/>
        <w:rPr>
          <w:sz w:val="20"/>
          <w:szCs w:val="20"/>
          <w:color w:val="auto"/>
        </w:rPr>
      </w:pPr>
      <w:r>
        <w:rPr>
          <w:rFonts w:ascii="Arial" w:cs="Arial" w:eastAsia="Arial" w:hAnsi="Arial"/>
          <w:sz w:val="16"/>
          <w:szCs w:val="16"/>
          <w:color w:val="auto"/>
        </w:rPr>
        <w:t xml:space="preserve">Inc. (“Cantaloupe” or the “Company”) to be held online in a virtual format at 11:00 a.m., ET, on Wednesday, November 19, 2025, via live webcast at </w:t>
      </w:r>
      <w:r>
        <w:rPr>
          <w:rFonts w:ascii="Arial" w:cs="Arial" w:eastAsia="Arial" w:hAnsi="Arial"/>
          <w:sz w:val="16"/>
          <w:szCs w:val="16"/>
          <w:i w:val="1"/>
          <w:iCs w:val="1"/>
          <w:color w:val="auto"/>
        </w:rPr>
        <w:t>www.virtualshareholdermeeting.com/CTLP2026</w:t>
      </w:r>
      <w:r>
        <w:rPr>
          <w:rFonts w:ascii="Arial" w:cs="Arial" w:eastAsia="Arial" w:hAnsi="Arial"/>
          <w:sz w:val="16"/>
          <w:szCs w:val="16"/>
          <w:color w:val="auto"/>
        </w:rPr>
        <w:t>.</w:t>
      </w:r>
    </w:p>
    <w:p>
      <w:pPr>
        <w:spacing w:after="0" w:line="47" w:lineRule="exact"/>
        <w:rPr>
          <w:sz w:val="20"/>
          <w:szCs w:val="20"/>
          <w:color w:val="auto"/>
        </w:rPr>
      </w:pPr>
    </w:p>
    <w:p>
      <w:pPr>
        <w:ind w:left="2920" w:right="580"/>
        <w:spacing w:after="0" w:line="304" w:lineRule="auto"/>
        <w:rPr>
          <w:sz w:val="20"/>
          <w:szCs w:val="20"/>
          <w:color w:val="auto"/>
        </w:rPr>
      </w:pPr>
      <w:r>
        <w:rPr>
          <w:rFonts w:ascii="Arial" w:cs="Arial" w:eastAsia="Arial" w:hAnsi="Arial"/>
          <w:sz w:val="16"/>
          <w:szCs w:val="16"/>
          <w:color w:val="auto"/>
        </w:rPr>
        <w:t>On behalf of the board and all of our employees, we thank you for your support of the Company and for your continued investment in Cantaloupe.</w:t>
      </w:r>
    </w:p>
    <w:p>
      <w:pPr>
        <w:spacing w:after="0" w:line="60" w:lineRule="exact"/>
        <w:rPr>
          <w:sz w:val="20"/>
          <w:szCs w:val="20"/>
          <w:color w:val="auto"/>
        </w:rPr>
      </w:pPr>
    </w:p>
    <w:p>
      <w:pPr>
        <w:ind w:left="2920" w:right="260"/>
        <w:spacing w:after="0" w:line="283" w:lineRule="auto"/>
        <w:rPr>
          <w:sz w:val="20"/>
          <w:szCs w:val="20"/>
          <w:color w:val="auto"/>
        </w:rPr>
      </w:pPr>
      <w:r>
        <w:rPr>
          <w:rFonts w:ascii="Arial" w:cs="Arial" w:eastAsia="Arial" w:hAnsi="Arial"/>
          <w:sz w:val="16"/>
          <w:szCs w:val="16"/>
          <w:color w:val="auto"/>
        </w:rPr>
        <w:t>Fiscal year 2025 was marked by strong financial performance, driven by disciplined execution. We achieved total revenue of $303 million, a 13% increase year-over-year, led by a 15% increase in transaction fees and an 11% increase in subscription fees. We expanded our customer base by 11% to 34,896 active customers and grew our active devices by 5% to 1.28 million, reflecting ongoing demand for our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-267335</wp:posOffset>
            </wp:positionV>
            <wp:extent cx="1320165" cy="13201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20165" cy="1320165"/>
                    </a:xfrm>
                    <a:prstGeom prst="rect">
                      <a:avLst/>
                    </a:prstGeom>
                    <a:noFill/>
                  </pic:spPr>
                </pic:pic>
              </a:graphicData>
            </a:graphic>
          </wp:anchor>
        </w:drawing>
      </w:r>
    </w:p>
    <w:p>
      <w:pPr>
        <w:spacing w:after="0" w:line="44" w:lineRule="exact"/>
        <w:rPr>
          <w:sz w:val="20"/>
          <w:szCs w:val="20"/>
          <w:color w:val="auto"/>
        </w:rPr>
      </w:pPr>
    </w:p>
    <w:p>
      <w:pPr>
        <w:ind w:left="2920" w:right="100"/>
        <w:spacing w:after="0" w:line="276" w:lineRule="auto"/>
        <w:rPr>
          <w:sz w:val="20"/>
          <w:szCs w:val="20"/>
          <w:color w:val="auto"/>
        </w:rPr>
      </w:pPr>
      <w:r>
        <w:rPr>
          <w:rFonts w:ascii="Arial" w:cs="Arial" w:eastAsia="Arial" w:hAnsi="Arial"/>
          <w:sz w:val="16"/>
          <w:szCs w:val="16"/>
          <w:color w:val="auto"/>
        </w:rPr>
        <w:t>As you know, in June 2025, we entered into a merger agreement (the "Merger Agreement") with 365 Retail Markets, LLC (“365”)(the “Merger”). The Merger was approved by our shareholders in September 2025, but is subject to regulatory clearances, including under the Hart-Scott-Rodino Antitrust Improvements Act of 1976, as amended (the “HSR Act”). Subject to those clearances and the satisfaction or waiver of the other closing conditions in the Merger Agreement, the Merger is currently expected to close in the first half of calendar year 2026. Until then, we remain an independent public company and will hold our regular annual meeting. The matters to be voted on at the annual meeting do not include the Merger.</w:t>
      </w:r>
    </w:p>
    <w:p>
      <w:pPr>
        <w:spacing w:after="0" w:line="85" w:lineRule="exact"/>
        <w:rPr>
          <w:sz w:val="20"/>
          <w:szCs w:val="20"/>
          <w:color w:val="auto"/>
        </w:rPr>
      </w:pPr>
    </w:p>
    <w:p>
      <w:pPr>
        <w:ind w:left="2920" w:right="100"/>
        <w:spacing w:after="0" w:line="270" w:lineRule="auto"/>
        <w:rPr>
          <w:sz w:val="20"/>
          <w:szCs w:val="20"/>
          <w:color w:val="auto"/>
        </w:rPr>
      </w:pPr>
      <w:r>
        <w:rPr>
          <w:rFonts w:ascii="Arial" w:cs="Arial" w:eastAsia="Arial" w:hAnsi="Arial"/>
          <w:sz w:val="16"/>
          <w:szCs w:val="16"/>
          <w:color w:val="auto"/>
        </w:rPr>
        <w:t>Aside from the Merger, operationally, we continued strengthening our business through innovation and expansion. We acquired SB Software to enhance our presence in the U.K. and Europe, launched products including Smart Store and the Go Micro kiosk, and expanded our presence at entertainment venues with partners like the San Jose</w:t>
      </w:r>
    </w:p>
    <w:p>
      <w:pPr>
        <w:ind w:left="2920"/>
        <w:spacing w:after="0"/>
        <w:rPr>
          <w:sz w:val="20"/>
          <w:szCs w:val="20"/>
          <w:color w:val="auto"/>
        </w:rPr>
      </w:pPr>
      <w:r>
        <w:rPr>
          <w:rFonts w:ascii="Arial" w:cs="Arial" w:eastAsia="Arial" w:hAnsi="Arial"/>
          <w:sz w:val="16"/>
          <w:szCs w:val="16"/>
          <w:color w:val="auto"/>
        </w:rPr>
        <w:t>Earthquakes and Carnival Cruise Line.</w:t>
      </w:r>
    </w:p>
    <w:p>
      <w:pPr>
        <w:spacing w:after="0" w:line="127" w:lineRule="exact"/>
        <w:rPr>
          <w:sz w:val="20"/>
          <w:szCs w:val="20"/>
          <w:color w:val="auto"/>
        </w:rPr>
      </w:pPr>
    </w:p>
    <w:p>
      <w:pPr>
        <w:jc w:val="both"/>
        <w:ind w:left="2920" w:right="260"/>
        <w:spacing w:after="0" w:line="292" w:lineRule="auto"/>
        <w:rPr>
          <w:sz w:val="20"/>
          <w:szCs w:val="20"/>
          <w:color w:val="auto"/>
        </w:rPr>
      </w:pPr>
      <w:r>
        <w:rPr>
          <w:rFonts w:ascii="Arial" w:cs="Arial" w:eastAsia="Arial" w:hAnsi="Arial"/>
          <w:sz w:val="16"/>
          <w:szCs w:val="16"/>
          <w:color w:val="auto"/>
        </w:rPr>
        <w:t>Looking ahead, as we work toward completing the Merger, we remain focused on maintaining our commitment to operational excellence and innovation. We are dedicated to ensuring a smooth transition for all stakeholders and continuing to deliver high-quality service and performance until the transaction closes.</w:t>
      </w:r>
    </w:p>
    <w:p>
      <w:pPr>
        <w:spacing w:after="0" w:line="57" w:lineRule="exact"/>
        <w:rPr>
          <w:sz w:val="20"/>
          <w:szCs w:val="20"/>
          <w:color w:val="auto"/>
        </w:rPr>
      </w:pPr>
    </w:p>
    <w:p>
      <w:pPr>
        <w:ind w:left="2920" w:right="420"/>
        <w:spacing w:after="0" w:line="292" w:lineRule="auto"/>
        <w:rPr>
          <w:sz w:val="20"/>
          <w:szCs w:val="20"/>
          <w:color w:val="auto"/>
        </w:rPr>
      </w:pPr>
      <w:r>
        <w:rPr>
          <w:rFonts w:ascii="Arial" w:cs="Arial" w:eastAsia="Arial" w:hAnsi="Arial"/>
          <w:sz w:val="16"/>
          <w:szCs w:val="16"/>
          <w:color w:val="auto"/>
        </w:rPr>
        <w:t>Your vote is very important to us. If you are unable to attend the annual meeting, please vote in advance of the meeting online, by mail or by telephone to ensure your shares are represented. Thank you for your continued support and investment in Cantaloupe. We look forward to meeting with you on November 19, 2025.</w:t>
      </w:r>
    </w:p>
    <w:p>
      <w:pPr>
        <w:spacing w:after="0" w:line="57" w:lineRule="exact"/>
        <w:rPr>
          <w:sz w:val="20"/>
          <w:szCs w:val="20"/>
          <w:color w:val="auto"/>
        </w:rPr>
      </w:pPr>
    </w:p>
    <w:p>
      <w:pPr>
        <w:ind w:left="2920"/>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149225</wp:posOffset>
            </wp:positionV>
            <wp:extent cx="659765" cy="3860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9765" cy="38608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149225</wp:posOffset>
            </wp:positionV>
            <wp:extent cx="1620520" cy="3854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20520" cy="38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3180" w:type="dxa"/>
        <w:tblCellMar>
          <w:top w:w="0" w:type="dxa"/>
          <w:left w:w="0" w:type="dxa"/>
          <w:bottom w:w="0" w:type="dxa"/>
          <w:right w:w="0" w:type="dxa"/>
        </w:tblCellMar>
      </w:tblPr>
      <w:tr>
        <w:trPr>
          <w:trHeight w:val="189"/>
        </w:trPr>
        <w:tc>
          <w:tcPr>
            <w:tcW w:w="2780" w:type="dxa"/>
            <w:vAlign w:val="bottom"/>
          </w:tcPr>
          <w:p>
            <w:pPr>
              <w:spacing w:after="0"/>
              <w:rPr>
                <w:sz w:val="20"/>
                <w:szCs w:val="20"/>
                <w:color w:val="auto"/>
              </w:rPr>
            </w:pPr>
            <w:r>
              <w:rPr>
                <w:rFonts w:ascii="Arial" w:cs="Arial" w:eastAsia="Arial" w:hAnsi="Arial"/>
                <w:sz w:val="16"/>
                <w:szCs w:val="16"/>
                <w:b w:val="1"/>
                <w:bCs w:val="1"/>
                <w:color w:val="FF7F32"/>
              </w:rPr>
              <w:t>Ravi Venkatesan</w:t>
            </w:r>
          </w:p>
        </w:tc>
        <w:tc>
          <w:tcPr>
            <w:tcW w:w="3620" w:type="dxa"/>
            <w:vAlign w:val="bottom"/>
          </w:tcPr>
          <w:p>
            <w:pPr>
              <w:ind w:left="1140"/>
              <w:spacing w:after="0"/>
              <w:rPr>
                <w:sz w:val="20"/>
                <w:szCs w:val="20"/>
                <w:color w:val="auto"/>
              </w:rPr>
            </w:pPr>
            <w:r>
              <w:rPr>
                <w:rFonts w:ascii="Arial" w:cs="Arial" w:eastAsia="Arial" w:hAnsi="Arial"/>
                <w:sz w:val="16"/>
                <w:szCs w:val="16"/>
                <w:b w:val="1"/>
                <w:bCs w:val="1"/>
                <w:color w:val="FF7F32"/>
              </w:rPr>
              <w:t>Douglas G. Bergeron</w:t>
            </w:r>
          </w:p>
        </w:tc>
        <w:tc>
          <w:tcPr>
            <w:tcW w:w="0" w:type="dxa"/>
            <w:vAlign w:val="bottom"/>
          </w:tcPr>
          <w:p>
            <w:pPr>
              <w:spacing w:after="0"/>
              <w:rPr>
                <w:sz w:val="1"/>
                <w:szCs w:val="1"/>
                <w:color w:val="auto"/>
              </w:rPr>
            </w:pPr>
          </w:p>
        </w:tc>
      </w:tr>
      <w:tr>
        <w:trPr>
          <w:trHeight w:val="215"/>
        </w:trPr>
        <w:tc>
          <w:tcPr>
            <w:tcW w:w="2780" w:type="dxa"/>
            <w:vAlign w:val="bottom"/>
            <w:vMerge w:val="restart"/>
          </w:tcPr>
          <w:p>
            <w:pPr>
              <w:spacing w:after="0"/>
              <w:rPr>
                <w:sz w:val="20"/>
                <w:szCs w:val="20"/>
                <w:color w:val="auto"/>
              </w:rPr>
            </w:pPr>
            <w:r>
              <w:rPr>
                <w:rFonts w:ascii="Arial" w:cs="Arial" w:eastAsia="Arial" w:hAnsi="Arial"/>
                <w:sz w:val="16"/>
                <w:szCs w:val="16"/>
                <w:color w:val="auto"/>
              </w:rPr>
              <w:t>Chief Executive Officer</w:t>
            </w:r>
          </w:p>
        </w:tc>
        <w:tc>
          <w:tcPr>
            <w:tcW w:w="3620" w:type="dxa"/>
            <w:vAlign w:val="bottom"/>
          </w:tcPr>
          <w:p>
            <w:pPr>
              <w:ind w:left="1140"/>
              <w:spacing w:after="0"/>
              <w:rPr>
                <w:sz w:val="20"/>
                <w:szCs w:val="20"/>
                <w:color w:val="auto"/>
              </w:rPr>
            </w:pPr>
            <w:r>
              <w:rPr>
                <w:rFonts w:ascii="Arial" w:cs="Arial" w:eastAsia="Arial" w:hAnsi="Arial"/>
                <w:sz w:val="16"/>
                <w:szCs w:val="16"/>
                <w:color w:val="auto"/>
              </w:rPr>
              <w:t>Independent, Non-Executive Chair</w:t>
            </w:r>
          </w:p>
        </w:tc>
        <w:tc>
          <w:tcPr>
            <w:tcW w:w="0" w:type="dxa"/>
            <w:vAlign w:val="bottom"/>
          </w:tcPr>
          <w:p>
            <w:pPr>
              <w:spacing w:after="0"/>
              <w:rPr>
                <w:sz w:val="1"/>
                <w:szCs w:val="1"/>
                <w:color w:val="auto"/>
              </w:rPr>
            </w:pPr>
          </w:p>
        </w:tc>
      </w:tr>
      <w:tr>
        <w:trPr>
          <w:trHeight w:val="68"/>
        </w:trPr>
        <w:tc>
          <w:tcPr>
            <w:tcW w:w="2780" w:type="dxa"/>
            <w:vAlign w:val="bottom"/>
            <w:vMerge w:val="continue"/>
          </w:tcPr>
          <w:p>
            <w:pPr>
              <w:spacing w:after="0"/>
              <w:rPr>
                <w:sz w:val="5"/>
                <w:szCs w:val="5"/>
                <w:color w:val="auto"/>
              </w:rPr>
            </w:pPr>
          </w:p>
        </w:tc>
        <w:tc>
          <w:tcPr>
            <w:tcW w:w="36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498475</wp:posOffset>
            </wp:positionV>
            <wp:extent cx="925830" cy="2660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25830"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220" w:type="dxa"/>
            <w:vAlign w:val="bottom"/>
          </w:tcPr>
          <w:p>
            <w:pPr>
              <w:ind w:left="20"/>
              <w:spacing w:after="0"/>
              <w:rPr>
                <w:sz w:val="20"/>
                <w:szCs w:val="20"/>
                <w:color w:val="auto"/>
              </w:rPr>
            </w:pPr>
            <w:r>
              <w:rPr>
                <w:rFonts w:ascii="Arial" w:cs="Arial" w:eastAsia="Arial" w:hAnsi="Arial"/>
                <w:sz w:val="13"/>
                <w:szCs w:val="13"/>
                <w:b w:val="1"/>
                <w:bCs w:val="1"/>
                <w:color w:val="FF7F32"/>
              </w:rPr>
              <w:t xml:space="preserve">2026 </w:t>
            </w:r>
            <w:r>
              <w:rPr>
                <w:rFonts w:ascii="Arial" w:cs="Arial" w:eastAsia="Arial" w:hAnsi="Arial"/>
                <w:sz w:val="13"/>
                <w:szCs w:val="13"/>
                <w:color w:val="000000"/>
              </w:rPr>
              <w:t>Proxy Statement</w:t>
            </w:r>
          </w:p>
        </w:tc>
        <w:tc>
          <w:tcPr>
            <w:tcW w:w="5020" w:type="dxa"/>
            <w:vAlign w:val="bottom"/>
          </w:tcPr>
          <w:p>
            <w:pPr>
              <w:jc w:val="right"/>
              <w:spacing w:after="0"/>
              <w:rPr>
                <w:sz w:val="20"/>
                <w:szCs w:val="20"/>
                <w:color w:val="auto"/>
              </w:rPr>
            </w:pPr>
            <w:r>
              <w:rPr>
                <w:rFonts w:ascii="Arial" w:cs="Arial" w:eastAsia="Arial" w:hAnsi="Arial"/>
                <w:sz w:val="13"/>
                <w:szCs w:val="13"/>
                <w:b w:val="1"/>
                <w:bCs w:val="1"/>
                <w:color w:val="auto"/>
              </w:rPr>
              <w:t>1</w:t>
            </w:r>
          </w:p>
        </w:tc>
      </w:tr>
      <w:tr>
        <w:trPr>
          <w:trHeight w:val="433"/>
        </w:trPr>
        <w:tc>
          <w:tcPr>
            <w:tcW w:w="6220" w:type="dxa"/>
            <w:vAlign w:val="bottom"/>
            <w:tcBorders>
              <w:bottom w:val="single" w:sz="8" w:color="9A9A9A"/>
            </w:tcBorders>
          </w:tcPr>
          <w:p>
            <w:pPr>
              <w:spacing w:after="0"/>
              <w:rPr>
                <w:sz w:val="24"/>
                <w:szCs w:val="24"/>
                <w:color w:val="auto"/>
              </w:rPr>
            </w:pPr>
          </w:p>
        </w:tc>
        <w:tc>
          <w:tcPr>
            <w:tcW w:w="5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4" w:name="page5"/>
    <w:bookmarkEnd w:id="4"/>
    <w:p>
      <w:pPr>
        <w:spacing w:after="0"/>
        <w:rPr>
          <w:sz w:val="20"/>
          <w:szCs w:val="20"/>
          <w:color w:val="auto"/>
        </w:rPr>
      </w:pPr>
      <w:r>
        <w:rPr>
          <w:rFonts w:ascii="Arial" w:cs="Arial" w:eastAsia="Arial" w:hAnsi="Arial"/>
          <w:sz w:val="49"/>
          <w:szCs w:val="49"/>
          <w:b w:val="1"/>
          <w:bCs w:val="1"/>
          <w:color w:val="FF7F32"/>
        </w:rPr>
        <w:t>Table of Contents</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404040"/>
        </w:rPr>
        <w:t>Executive Compensation Tables and Related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55245</wp:posOffset>
            </wp:positionV>
            <wp:extent cx="34372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372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404040"/>
        </w:rPr>
        <w:t>62</w:t>
      </w:r>
    </w:p>
    <w:p>
      <w:pPr>
        <w:spacing w:after="0" w:line="197" w:lineRule="exact"/>
        <w:rPr>
          <w:sz w:val="20"/>
          <w:szCs w:val="20"/>
          <w:color w:val="auto"/>
        </w:rPr>
      </w:pPr>
    </w:p>
    <w:p>
      <w:pPr>
        <w:sectPr>
          <w:pgSz w:w="11900" w:h="16838" w:orient="portrait"/>
          <w:cols w:equalWidth="0" w:num="3">
            <w:col w:w="5020" w:space="720"/>
            <w:col w:w="4460" w:space="720"/>
            <w:col w:w="300"/>
          </w:cols>
          <w:pgMar w:left="320" w:top="121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404040"/>
        </w:rPr>
        <w:t>A Message from our CEO and Non-Executive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b w:val="1"/>
          <w:bCs w:val="1"/>
          <w:color w:val="404040"/>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404040"/>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63500</wp:posOffset>
            </wp:positionV>
            <wp:extent cx="34372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404040"/>
        </w:rPr>
        <w:t>Grants of Plan-Based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63500</wp:posOffset>
            </wp:positionV>
            <wp:extent cx="34372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404040"/>
        </w:rPr>
        <w:t>Outstanding Equity Awards at Fiscal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63500</wp:posOffset>
            </wp:positionV>
            <wp:extent cx="34372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404040"/>
        </w:rPr>
        <w:t>62</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404040"/>
        </w:rPr>
        <w:t>63</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404040"/>
        </w:rPr>
        <w:t>64</w:t>
      </w:r>
    </w:p>
    <w:p>
      <w:pPr>
        <w:spacing w:after="0" w:line="149" w:lineRule="exact"/>
        <w:rPr>
          <w:sz w:val="20"/>
          <w:szCs w:val="20"/>
          <w:color w:val="auto"/>
        </w:rPr>
      </w:pPr>
    </w:p>
    <w:p>
      <w:pPr>
        <w:sectPr>
          <w:pgSz w:w="11900" w:h="16838" w:orient="portrait"/>
          <w:cols w:equalWidth="0" w:num="4">
            <w:col w:w="4600" w:space="720"/>
            <w:col w:w="80" w:space="540"/>
            <w:col w:w="4260" w:space="720"/>
            <w:col w:w="300"/>
          </w:cols>
          <w:pgMar w:left="320" w:top="1211" w:right="359" w:bottom="1440" w:gutter="0" w:footer="0" w:header="0"/>
          <w:type w:val="continuous"/>
        </w:sectPr>
      </w:pPr>
    </w:p>
    <w:p>
      <w:pPr>
        <w:spacing w:after="0" w:line="166" w:lineRule="exact"/>
        <w:rPr>
          <w:sz w:val="20"/>
          <w:szCs w:val="20"/>
          <w:color w:val="auto"/>
        </w:rPr>
      </w:pPr>
    </w:p>
    <w:p>
      <w:pPr>
        <w:ind w:left="20" w:right="23"/>
        <w:spacing w:after="0" w:line="384" w:lineRule="auto"/>
        <w:rPr>
          <w:sz w:val="20"/>
          <w:szCs w:val="20"/>
          <w:color w:val="auto"/>
        </w:rPr>
      </w:pPr>
      <w:r>
        <w:rPr>
          <w:rFonts w:ascii="Arial" w:cs="Arial" w:eastAsia="Arial" w:hAnsi="Arial"/>
          <w:sz w:val="16"/>
          <w:szCs w:val="16"/>
          <w:b w:val="1"/>
          <w:bCs w:val="1"/>
          <w:color w:val="404040"/>
        </w:rPr>
        <w:t>Notice of 2026 Annual Meeting of Shareholders to be Held Wednesday, November 19,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34372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37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-424180</wp:posOffset>
            </wp:positionV>
            <wp:extent cx="34372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b w:val="1"/>
          <w:bCs w:val="1"/>
          <w:color w:val="404040"/>
        </w:rPr>
        <w:t>Fiscal Year 2025 Performance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34372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37255" cy="8890"/>
                    </a:xfrm>
                    <a:prstGeom prst="rect">
                      <a:avLst/>
                    </a:prstGeom>
                    <a:noFill/>
                  </pic:spPr>
                </pic:pic>
              </a:graphicData>
            </a:graphic>
          </wp:anchor>
        </w:drawing>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404040"/>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3437255" cy="205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37255" cy="205740"/>
                    </a:xfrm>
                    <a:prstGeom prst="rect">
                      <a:avLst/>
                    </a:prstGeom>
                    <a:noFill/>
                  </pic:spPr>
                </pic:pic>
              </a:graphicData>
            </a:graphic>
          </wp:anchor>
        </w:drawing>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5576D1"/>
        </w:rPr>
        <w:t xml:space="preserve">Proposal 1 – </w:t>
      </w:r>
      <w:r>
        <w:rPr>
          <w:rFonts w:ascii="Arial" w:cs="Arial" w:eastAsia="Arial" w:hAnsi="Arial"/>
          <w:sz w:val="16"/>
          <w:szCs w:val="16"/>
          <w:b w:val="1"/>
          <w:bCs w:val="1"/>
          <w:color w:val="202945"/>
        </w:rPr>
        <w:t>Election of Directors</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6"/>
          <w:szCs w:val="16"/>
          <w:color w:val="404040"/>
        </w:rPr>
        <w:t>Nominees for Election as Director</w:t>
      </w:r>
    </w:p>
    <w:p>
      <w:pPr>
        <w:spacing w:after="0" w:line="20" w:lineRule="exact"/>
        <w:rPr>
          <w:sz w:val="20"/>
          <w:szCs w:val="20"/>
          <w:color w:val="auto"/>
        </w:rPr>
      </w:pPr>
      <w:r>
        <w:rPr>
          <w:sz w:val="20"/>
          <w:szCs w:val="20"/>
          <w:color w:val="auto"/>
        </w:rPr>
        <w:br w:type="column"/>
      </w:r>
    </w:p>
    <w:p>
      <w:pPr>
        <w:ind w:left="717" w:hanging="627"/>
        <w:spacing w:after="0" w:line="184" w:lineRule="auto"/>
        <w:tabs>
          <w:tab w:leader="none" w:pos="717" w:val="left"/>
        </w:tabs>
        <w:numPr>
          <w:ilvl w:val="0"/>
          <w:numId w:val="6"/>
        </w:numPr>
        <w:rPr>
          <w:rFonts w:ascii="Arial" w:cs="Arial" w:eastAsia="Arial" w:hAnsi="Arial"/>
          <w:sz w:val="31"/>
          <w:szCs w:val="31"/>
          <w:b w:val="1"/>
          <w:bCs w:val="1"/>
          <w:color w:val="404040"/>
          <w:vertAlign w:val="subscript"/>
        </w:rPr>
      </w:pPr>
      <w:r>
        <w:rPr>
          <w:rFonts w:ascii="Arial" w:cs="Arial" w:eastAsia="Arial" w:hAnsi="Arial"/>
          <w:sz w:val="16"/>
          <w:szCs w:val="16"/>
          <w:color w:val="404040"/>
        </w:rPr>
        <w:t>Option Exercises and Stock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44450</wp:posOffset>
            </wp:positionV>
            <wp:extent cx="34372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130" w:lineRule="exact"/>
        <w:rPr>
          <w:sz w:val="20"/>
          <w:szCs w:val="20"/>
          <w:color w:val="auto"/>
        </w:rPr>
      </w:pPr>
    </w:p>
    <w:p>
      <w:pPr>
        <w:ind w:left="717"/>
        <w:spacing w:after="0"/>
        <w:rPr>
          <w:sz w:val="20"/>
          <w:szCs w:val="20"/>
          <w:color w:val="auto"/>
        </w:rPr>
      </w:pPr>
      <w:r>
        <w:rPr>
          <w:rFonts w:ascii="Arial" w:cs="Arial" w:eastAsia="Arial" w:hAnsi="Arial"/>
          <w:sz w:val="16"/>
          <w:szCs w:val="16"/>
          <w:color w:val="404040"/>
        </w:rPr>
        <w:t>Potential Payments Upon Termination or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63500</wp:posOffset>
            </wp:positionV>
            <wp:extent cx="34372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37255" cy="8890"/>
                    </a:xfrm>
                    <a:prstGeom prst="rect">
                      <a:avLst/>
                    </a:prstGeom>
                    <a:noFill/>
                  </pic:spPr>
                </pic:pic>
              </a:graphicData>
            </a:graphic>
          </wp:anchor>
        </w:drawing>
      </w:r>
    </w:p>
    <w:p>
      <w:pPr>
        <w:spacing w:after="0" w:line="161" w:lineRule="exact"/>
        <w:rPr>
          <w:sz w:val="20"/>
          <w:szCs w:val="20"/>
          <w:color w:val="auto"/>
        </w:rPr>
      </w:pPr>
    </w:p>
    <w:p>
      <w:pPr>
        <w:ind w:left="717" w:hanging="627"/>
        <w:spacing w:after="0"/>
        <w:tabs>
          <w:tab w:leader="none" w:pos="717" w:val="left"/>
        </w:tabs>
        <w:numPr>
          <w:ilvl w:val="0"/>
          <w:numId w:val="7"/>
        </w:numPr>
        <w:rPr>
          <w:rFonts w:ascii="Arial" w:cs="Arial" w:eastAsia="Arial" w:hAnsi="Arial"/>
          <w:sz w:val="16"/>
          <w:szCs w:val="16"/>
          <w:b w:val="1"/>
          <w:bCs w:val="1"/>
          <w:color w:val="404040"/>
        </w:rPr>
      </w:pPr>
      <w:r>
        <w:rPr>
          <w:rFonts w:ascii="Arial" w:cs="Arial" w:eastAsia="Arial" w:hAnsi="Arial"/>
          <w:sz w:val="16"/>
          <w:szCs w:val="16"/>
          <w:color w:val="404040"/>
        </w:rPr>
        <w:t>CEO Pay Ratio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63500</wp:posOffset>
            </wp:positionV>
            <wp:extent cx="34372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7" w:lineRule="exact"/>
        <w:rPr>
          <w:sz w:val="20"/>
          <w:szCs w:val="20"/>
          <w:color w:val="auto"/>
        </w:rPr>
      </w:pPr>
    </w:p>
    <w:p>
      <w:pPr>
        <w:ind w:left="717" w:hanging="627"/>
        <w:spacing w:after="0"/>
        <w:tabs>
          <w:tab w:leader="none" w:pos="717" w:val="left"/>
        </w:tabs>
        <w:numPr>
          <w:ilvl w:val="0"/>
          <w:numId w:val="8"/>
        </w:numPr>
        <w:rPr>
          <w:rFonts w:ascii="Arial" w:cs="Arial" w:eastAsia="Arial" w:hAnsi="Arial"/>
          <w:sz w:val="32"/>
          <w:szCs w:val="32"/>
          <w:b w:val="1"/>
          <w:bCs w:val="1"/>
          <w:color w:val="404040"/>
          <w:vertAlign w:val="superscript"/>
        </w:rPr>
      </w:pPr>
      <w:r>
        <w:rPr>
          <w:rFonts w:ascii="Arial" w:cs="Arial" w:eastAsia="Arial" w:hAnsi="Arial"/>
          <w:sz w:val="16"/>
          <w:szCs w:val="16"/>
          <w:color w:val="404040"/>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44450</wp:posOffset>
            </wp:positionV>
            <wp:extent cx="34372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146" w:lineRule="exact"/>
        <w:rPr>
          <w:sz w:val="20"/>
          <w:szCs w:val="20"/>
          <w:color w:val="auto"/>
        </w:rPr>
      </w:pPr>
    </w:p>
    <w:p>
      <w:pPr>
        <w:ind w:left="717" w:hanging="717"/>
        <w:spacing w:after="0"/>
        <w:tabs>
          <w:tab w:leader="none" w:pos="717" w:val="left"/>
        </w:tabs>
        <w:numPr>
          <w:ilvl w:val="0"/>
          <w:numId w:val="9"/>
        </w:numPr>
        <w:rPr>
          <w:rFonts w:ascii="Arial" w:cs="Arial" w:eastAsia="Arial" w:hAnsi="Arial"/>
          <w:sz w:val="16"/>
          <w:szCs w:val="16"/>
          <w:b w:val="1"/>
          <w:bCs w:val="1"/>
          <w:color w:val="202945"/>
        </w:rPr>
      </w:pPr>
      <w:r>
        <w:rPr>
          <w:rFonts w:ascii="Arial" w:cs="Arial" w:eastAsia="Arial" w:hAnsi="Arial"/>
          <w:sz w:val="16"/>
          <w:szCs w:val="16"/>
          <w:color w:val="404040"/>
        </w:rPr>
        <w:t>Policies and Practices for Granting Certain Equity Awards</w:t>
      </w:r>
    </w:p>
    <w:p>
      <w:pPr>
        <w:spacing w:after="0" w:line="84" w:lineRule="exact"/>
        <w:rPr>
          <w:rFonts w:ascii="Arial" w:cs="Arial" w:eastAsia="Arial" w:hAnsi="Arial"/>
          <w:sz w:val="16"/>
          <w:szCs w:val="16"/>
          <w:b w:val="1"/>
          <w:bCs w:val="1"/>
          <w:color w:val="202945"/>
        </w:rPr>
      </w:pPr>
    </w:p>
    <w:p>
      <w:pPr>
        <w:ind w:left="557" w:hanging="557"/>
        <w:spacing w:after="0"/>
        <w:tabs>
          <w:tab w:leader="none" w:pos="557" w:val="left"/>
        </w:tabs>
        <w:numPr>
          <w:ilvl w:val="0"/>
          <w:numId w:val="9"/>
        </w:numPr>
        <w:rPr>
          <w:rFonts w:ascii="Arial" w:cs="Arial" w:eastAsia="Arial" w:hAnsi="Arial"/>
          <w:sz w:val="16"/>
          <w:szCs w:val="16"/>
          <w:color w:val="404040"/>
        </w:rPr>
      </w:pPr>
      <w:r>
        <w:rPr>
          <w:rFonts w:ascii="Arial" w:cs="Arial" w:eastAsia="Arial" w:hAnsi="Arial"/>
          <w:sz w:val="1"/>
          <w:szCs w:val="1"/>
          <w:color w:val="404040"/>
        </w:rPr>
        <w:drawing>
          <wp:inline distT="0" distB="0" distL="0" distR="0">
            <wp:extent cx="120015" cy="12001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6"/>
          <w:szCs w:val="16"/>
          <w:b w:val="1"/>
          <w:bCs w:val="1"/>
          <w:color w:val="5576D1"/>
        </w:rPr>
        <w:t xml:space="preserve"> Proposal 3 – </w:t>
      </w:r>
      <w:r>
        <w:rPr>
          <w:rFonts w:ascii="Arial" w:cs="Arial" w:eastAsia="Arial" w:hAnsi="Arial"/>
          <w:sz w:val="16"/>
          <w:szCs w:val="16"/>
          <w:b w:val="1"/>
          <w:bCs w:val="1"/>
          <w:color w:val="202945"/>
        </w:rPr>
        <w:t>Ratification of Appointment of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-140970</wp:posOffset>
            </wp:positionV>
            <wp:extent cx="3437255" cy="4114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37255" cy="4114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404040"/>
        </w:rPr>
        <w:t>65</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404040"/>
        </w:rPr>
        <w:t>65</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404040"/>
        </w:rPr>
        <w:t>67</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404040"/>
        </w:rPr>
        <w:t>68</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404040"/>
        </w:rPr>
        <w:t>72</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202945"/>
        </w:rPr>
        <w:t>73</w:t>
      </w:r>
    </w:p>
    <w:p>
      <w:pPr>
        <w:spacing w:after="0" w:line="61" w:lineRule="exact"/>
        <w:rPr>
          <w:sz w:val="20"/>
          <w:szCs w:val="20"/>
          <w:color w:val="auto"/>
        </w:rPr>
      </w:pPr>
    </w:p>
    <w:p>
      <w:pPr>
        <w:sectPr>
          <w:pgSz w:w="11900" w:h="16838" w:orient="portrait"/>
          <w:cols w:equalWidth="0" w:num="3">
            <w:col w:w="4503" w:space="720"/>
            <w:col w:w="5177" w:space="520"/>
            <w:col w:w="300"/>
          </w:cols>
          <w:pgMar w:left="320" w:top="1211" w:right="359" w:bottom="1440" w:gutter="0" w:footer="0" w:header="0"/>
          <w:type w:val="continuous"/>
        </w:sectPr>
      </w:pPr>
    </w:p>
    <w:p>
      <w:pPr>
        <w:spacing w:after="0" w:line="146" w:lineRule="exact"/>
        <w:rPr>
          <w:sz w:val="20"/>
          <w:szCs w:val="20"/>
          <w:color w:val="auto"/>
        </w:rPr>
      </w:pPr>
    </w:p>
    <w:p>
      <w:pPr>
        <w:ind w:left="240"/>
        <w:spacing w:after="0"/>
        <w:rPr>
          <w:sz w:val="20"/>
          <w:szCs w:val="20"/>
          <w:color w:val="auto"/>
        </w:rPr>
      </w:pPr>
      <w:r>
        <w:rPr>
          <w:rFonts w:ascii="Arial" w:cs="Arial" w:eastAsia="Arial" w:hAnsi="Arial"/>
          <w:sz w:val="16"/>
          <w:szCs w:val="16"/>
          <w:color w:val="404040"/>
        </w:rPr>
        <w:t>Nomination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34372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404040"/>
        </w:rPr>
        <w:t>24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202945"/>
        </w:rPr>
        <w:t>Registered Public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104775</wp:posOffset>
            </wp:positionV>
            <wp:extent cx="34372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146" w:lineRule="exact"/>
        <w:rPr>
          <w:sz w:val="20"/>
          <w:szCs w:val="20"/>
          <w:color w:val="auto"/>
        </w:rPr>
      </w:pPr>
    </w:p>
    <w:p>
      <w:pPr>
        <w:sectPr>
          <w:pgSz w:w="11900" w:h="16838" w:orient="portrait"/>
          <w:cols w:equalWidth="0" w:num="3">
            <w:col w:w="4500" w:space="720"/>
            <w:col w:w="180" w:space="660"/>
            <w:col w:w="5160"/>
          </w:cols>
          <w:pgMar w:left="320" w:top="1211" w:right="359" w:bottom="1440" w:gutter="0" w:footer="0" w:header="0"/>
          <w:type w:val="continuous"/>
        </w:sectPr>
      </w:pPr>
    </w:p>
    <w:p>
      <w:pPr>
        <w:spacing w:after="0" w:line="180" w:lineRule="exact"/>
        <w:rPr>
          <w:sz w:val="20"/>
          <w:szCs w:val="20"/>
          <w:color w:val="auto"/>
        </w:rPr>
      </w:pPr>
    </w:p>
    <w:p>
      <w:pPr>
        <w:ind w:left="240"/>
        <w:spacing w:after="0"/>
        <w:rPr>
          <w:sz w:val="20"/>
          <w:szCs w:val="20"/>
          <w:color w:val="auto"/>
        </w:rPr>
      </w:pPr>
      <w:r>
        <w:rPr>
          <w:rFonts w:ascii="Arial" w:cs="Arial" w:eastAsia="Arial" w:hAnsi="Arial"/>
          <w:sz w:val="16"/>
          <w:szCs w:val="16"/>
          <w:color w:val="404040"/>
        </w:rPr>
        <w:t>Director Majority Voting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34372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37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34372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40404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34372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6"/>
          <w:szCs w:val="16"/>
          <w:color w:val="404040"/>
        </w:rPr>
        <w:t>Board 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34372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6"/>
          <w:szCs w:val="16"/>
          <w:color w:val="404040"/>
        </w:rPr>
        <w:t>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34372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37255" cy="8890"/>
                    </a:xfrm>
                    <a:prstGeom prst="rect">
                      <a:avLst/>
                    </a:prstGeom>
                    <a:noFill/>
                  </pic:spPr>
                </pic:pic>
              </a:graphicData>
            </a:graphic>
          </wp:anchor>
        </w:drawing>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6"/>
          <w:szCs w:val="16"/>
          <w:color w:val="404040"/>
        </w:rPr>
        <w:t>Board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34372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6"/>
          <w:szCs w:val="16"/>
          <w:color w:val="404040"/>
        </w:rPr>
        <w:t>Board’s Role and Oversight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34372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6"/>
          <w:szCs w:val="16"/>
          <w:color w:val="404040"/>
        </w:rPr>
        <w:t>Other Governance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34372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37255" cy="8890"/>
                    </a:xfrm>
                    <a:prstGeom prst="rect">
                      <a:avLst/>
                    </a:prstGeom>
                    <a:noFill/>
                  </pic:spPr>
                </pic:pic>
              </a:graphicData>
            </a:graphic>
          </wp:anchor>
        </w:drawing>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404040"/>
        </w:rPr>
        <w:t>Compensation of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34372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37255" cy="8890"/>
                    </a:xfrm>
                    <a:prstGeom prst="rect">
                      <a:avLst/>
                    </a:prstGeom>
                    <a:noFill/>
                  </pic:spPr>
                </pic:pic>
              </a:graphicData>
            </a:graphic>
          </wp:anchor>
        </w:drawing>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6"/>
          <w:szCs w:val="16"/>
          <w:color w:val="404040"/>
        </w:rPr>
        <w:t>Director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34372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6"/>
          <w:szCs w:val="16"/>
          <w:color w:val="404040"/>
        </w:rPr>
        <w:t>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34372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6"/>
          <w:szCs w:val="16"/>
          <w:color w:val="404040"/>
        </w:rPr>
        <w:t>Fiscal Year 2025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34372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37255" cy="8890"/>
                    </a:xfrm>
                    <a:prstGeom prst="rect">
                      <a:avLst/>
                    </a:prstGeom>
                    <a:noFill/>
                  </pic:spPr>
                </pic:pic>
              </a:graphicData>
            </a:graphic>
          </wp:anchor>
        </w:drawing>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404040"/>
        </w:rPr>
        <w:t>Certain Information About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34372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6"/>
          <w:szCs w:val="16"/>
          <w:color w:val="404040"/>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3437255" cy="3429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37255" cy="342900"/>
                    </a:xfrm>
                    <a:prstGeom prst="rect">
                      <a:avLst/>
                    </a:prstGeom>
                    <a:noFill/>
                  </pic:spPr>
                </pic:pic>
              </a:graphicData>
            </a:graphic>
          </wp:anchor>
        </w:drawing>
      </w:r>
    </w:p>
    <w:p>
      <w:pPr>
        <w:spacing w:after="0" w:line="174" w:lineRule="exact"/>
        <w:rPr>
          <w:sz w:val="20"/>
          <w:szCs w:val="20"/>
          <w:color w:val="auto"/>
        </w:rPr>
      </w:pPr>
    </w:p>
    <w:p>
      <w:pPr>
        <w:ind w:left="420"/>
        <w:spacing w:after="0" w:line="265" w:lineRule="auto"/>
        <w:rPr>
          <w:sz w:val="20"/>
          <w:szCs w:val="20"/>
          <w:color w:val="auto"/>
        </w:rPr>
      </w:pPr>
      <w:r>
        <w:rPr>
          <w:rFonts w:ascii="Arial" w:cs="Arial" w:eastAsia="Arial" w:hAnsi="Arial"/>
          <w:sz w:val="16"/>
          <w:szCs w:val="16"/>
          <w:b w:val="1"/>
          <w:bCs w:val="1"/>
          <w:color w:val="5576D1"/>
        </w:rPr>
        <w:t xml:space="preserve">Proposal 2 – </w:t>
      </w:r>
      <w:r>
        <w:rPr>
          <w:rFonts w:ascii="Arial" w:cs="Arial" w:eastAsia="Arial" w:hAnsi="Arial"/>
          <w:sz w:val="16"/>
          <w:szCs w:val="16"/>
          <w:b w:val="1"/>
          <w:bCs w:val="1"/>
          <w:color w:val="202945"/>
        </w:rPr>
        <w:t>Advisory Vote to Approve Compensation of</w:t>
      </w:r>
      <w:r>
        <w:rPr>
          <w:rFonts w:ascii="Arial" w:cs="Arial" w:eastAsia="Arial" w:hAnsi="Arial"/>
          <w:sz w:val="16"/>
          <w:szCs w:val="16"/>
          <w:b w:val="1"/>
          <w:bCs w:val="1"/>
          <w:color w:val="5576D1"/>
        </w:rPr>
        <w:t xml:space="preserve"> </w:t>
      </w:r>
      <w:r>
        <w:rPr>
          <w:rFonts w:ascii="Arial" w:cs="Arial" w:eastAsia="Arial" w:hAnsi="Arial"/>
          <w:sz w:val="16"/>
          <w:szCs w:val="16"/>
          <w:b w:val="1"/>
          <w:bCs w:val="1"/>
          <w:color w:val="202945"/>
        </w:rPr>
        <w:t>Named Executive Officers</w:t>
      </w:r>
    </w:p>
    <w:p>
      <w:pPr>
        <w:spacing w:after="0" w:line="20" w:lineRule="exact"/>
        <w:rPr>
          <w:sz w:val="20"/>
          <w:szCs w:val="20"/>
          <w:color w:val="auto"/>
        </w:rPr>
      </w:pPr>
      <w:r>
        <w:rPr>
          <w:sz w:val="20"/>
          <w:szCs w:val="20"/>
          <w:color w:val="auto"/>
        </w:rPr>
        <w:br w:type="column"/>
      </w:r>
    </w:p>
    <w:p>
      <w:pPr>
        <w:ind w:left="720" w:hanging="717"/>
        <w:spacing w:after="0" w:line="204" w:lineRule="auto"/>
        <w:tabs>
          <w:tab w:leader="none" w:pos="720" w:val="left"/>
        </w:tabs>
        <w:numPr>
          <w:ilvl w:val="0"/>
          <w:numId w:val="10"/>
        </w:numPr>
        <w:rPr>
          <w:rFonts w:ascii="Arial" w:cs="Arial" w:eastAsia="Arial" w:hAnsi="Arial"/>
          <w:sz w:val="32"/>
          <w:szCs w:val="32"/>
          <w:color w:val="404040"/>
          <w:vertAlign w:val="subscript"/>
        </w:rPr>
      </w:pPr>
      <w:r>
        <w:rPr>
          <w:rFonts w:ascii="Arial" w:cs="Arial" w:eastAsia="Arial" w:hAnsi="Arial"/>
          <w:sz w:val="16"/>
          <w:szCs w:val="16"/>
          <w:color w:val="404040"/>
        </w:rPr>
        <w:t>Engagement of Deloitte</w:t>
      </w:r>
    </w:p>
    <w:p>
      <w:pPr>
        <w:spacing w:after="0" w:line="55" w:lineRule="exact"/>
        <w:rPr>
          <w:rFonts w:ascii="Arial" w:cs="Arial" w:eastAsia="Arial" w:hAnsi="Arial"/>
          <w:sz w:val="32"/>
          <w:szCs w:val="32"/>
          <w:color w:val="404040"/>
          <w:vertAlign w:val="subscript"/>
        </w:rPr>
      </w:pPr>
    </w:p>
    <w:p>
      <w:pPr>
        <w:ind w:left="520" w:hanging="517"/>
        <w:spacing w:after="0" w:line="207" w:lineRule="auto"/>
        <w:tabs>
          <w:tab w:leader="none" w:pos="520" w:val="left"/>
        </w:tabs>
        <w:numPr>
          <w:ilvl w:val="0"/>
          <w:numId w:val="10"/>
        </w:numPr>
        <w:rPr>
          <w:rFonts w:ascii="Arial" w:cs="Arial" w:eastAsia="Arial" w:hAnsi="Arial"/>
          <w:sz w:val="32"/>
          <w:szCs w:val="32"/>
          <w:b w:val="1"/>
          <w:bCs w:val="1"/>
          <w:color w:val="404040"/>
          <w:vertAlign w:val="subscript"/>
        </w:rPr>
      </w:pPr>
      <w:r>
        <w:rPr>
          <w:rFonts w:ascii="Arial" w:cs="Arial" w:eastAsia="Arial" w:hAnsi="Arial"/>
          <w:sz w:val="16"/>
          <w:szCs w:val="16"/>
          <w:b w:val="1"/>
          <w:bCs w:val="1"/>
          <w:color w:val="404040"/>
        </w:rPr>
        <w:t>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wp:posOffset>
            </wp:positionH>
            <wp:positionV relativeFrom="paragraph">
              <wp:posOffset>-191135</wp:posOffset>
            </wp:positionV>
            <wp:extent cx="34372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37255" cy="8890"/>
                    </a:xfrm>
                    <a:prstGeom prst="rect">
                      <a:avLst/>
                    </a:prstGeom>
                    <a:noFill/>
                  </pic:spPr>
                </pic:pic>
              </a:graphicData>
            </a:graphic>
          </wp:anchor>
        </w:drawing>
      </w:r>
    </w:p>
    <w:p>
      <w:pPr>
        <w:ind w:left="720" w:hanging="717"/>
        <w:spacing w:after="0" w:line="233" w:lineRule="auto"/>
        <w:tabs>
          <w:tab w:leader="none" w:pos="720" w:val="left"/>
        </w:tabs>
        <w:numPr>
          <w:ilvl w:val="0"/>
          <w:numId w:val="11"/>
        </w:numPr>
        <w:rPr>
          <w:rFonts w:ascii="Arial" w:cs="Arial" w:eastAsia="Arial" w:hAnsi="Arial"/>
          <w:sz w:val="32"/>
          <w:szCs w:val="32"/>
          <w:color w:val="404040"/>
          <w:vertAlign w:val="subscript"/>
        </w:rPr>
      </w:pPr>
      <w:r>
        <w:rPr>
          <w:rFonts w:ascii="Arial" w:cs="Arial" w:eastAsia="Arial" w:hAnsi="Arial"/>
          <w:sz w:val="16"/>
          <w:szCs w:val="16"/>
          <w:color w:val="404040"/>
        </w:rPr>
        <w:t>Principal Accountant Fees and Services</w:t>
      </w:r>
    </w:p>
    <w:p>
      <w:pPr>
        <w:spacing w:after="0" w:line="204" w:lineRule="exact"/>
        <w:rPr>
          <w:rFonts w:ascii="Arial" w:cs="Arial" w:eastAsia="Arial" w:hAnsi="Arial"/>
          <w:sz w:val="32"/>
          <w:szCs w:val="32"/>
          <w:color w:val="404040"/>
          <w:vertAlign w:val="subscript"/>
        </w:rPr>
      </w:pPr>
    </w:p>
    <w:p>
      <w:pPr>
        <w:ind w:left="720" w:hanging="717"/>
        <w:spacing w:after="0"/>
        <w:tabs>
          <w:tab w:leader="none" w:pos="720" w:val="left"/>
        </w:tabs>
        <w:numPr>
          <w:ilvl w:val="0"/>
          <w:numId w:val="11"/>
        </w:numPr>
        <w:rPr>
          <w:rFonts w:ascii="Arial" w:cs="Arial" w:eastAsia="Arial" w:hAnsi="Arial"/>
          <w:sz w:val="16"/>
          <w:szCs w:val="16"/>
          <w:color w:val="404040"/>
        </w:rPr>
      </w:pPr>
      <w:r>
        <w:rPr>
          <w:rFonts w:ascii="Arial" w:cs="Arial" w:eastAsia="Arial" w:hAnsi="Arial"/>
          <w:sz w:val="16"/>
          <w:szCs w:val="16"/>
          <w:color w:val="404040"/>
        </w:rPr>
        <w:t>Audit and Risk Committee Pre-Approval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wp:posOffset>
            </wp:positionH>
            <wp:positionV relativeFrom="paragraph">
              <wp:posOffset>80645</wp:posOffset>
            </wp:positionV>
            <wp:extent cx="34372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37255" cy="8890"/>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-201295</wp:posOffset>
            </wp:positionV>
            <wp:extent cx="34372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37255" cy="8255"/>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-433070</wp:posOffset>
            </wp:positionV>
            <wp:extent cx="34372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188" w:lineRule="exact"/>
        <w:rPr>
          <w:sz w:val="20"/>
          <w:szCs w:val="20"/>
          <w:color w:val="auto"/>
        </w:rPr>
      </w:pPr>
    </w:p>
    <w:p>
      <w:pPr>
        <w:ind w:left="720" w:hanging="717"/>
        <w:spacing w:after="0"/>
        <w:tabs>
          <w:tab w:leader="none" w:pos="720" w:val="left"/>
        </w:tabs>
        <w:numPr>
          <w:ilvl w:val="0"/>
          <w:numId w:val="12"/>
        </w:numPr>
        <w:rPr>
          <w:rFonts w:ascii="Arial" w:cs="Arial" w:eastAsia="Arial" w:hAnsi="Arial"/>
          <w:sz w:val="16"/>
          <w:szCs w:val="16"/>
          <w:color w:val="404040"/>
        </w:rPr>
      </w:pPr>
      <w:r>
        <w:rPr>
          <w:rFonts w:ascii="Arial" w:cs="Arial" w:eastAsia="Arial" w:hAnsi="Arial"/>
          <w:sz w:val="16"/>
          <w:szCs w:val="16"/>
          <w:color w:val="404040"/>
        </w:rPr>
        <w:t>Report of The Audit and Risk Committee</w:t>
      </w:r>
    </w:p>
    <w:p>
      <w:pPr>
        <w:spacing w:after="0" w:line="180" w:lineRule="exact"/>
        <w:rPr>
          <w:rFonts w:ascii="Arial" w:cs="Arial" w:eastAsia="Arial" w:hAnsi="Arial"/>
          <w:sz w:val="16"/>
          <w:szCs w:val="16"/>
          <w:color w:val="404040"/>
        </w:rPr>
      </w:pPr>
    </w:p>
    <w:p>
      <w:pPr>
        <w:ind w:left="520" w:hanging="517"/>
        <w:spacing w:after="0"/>
        <w:tabs>
          <w:tab w:leader="none" w:pos="520" w:val="left"/>
        </w:tabs>
        <w:numPr>
          <w:ilvl w:val="0"/>
          <w:numId w:val="12"/>
        </w:numPr>
        <w:rPr>
          <w:rFonts w:ascii="Arial" w:cs="Arial" w:eastAsia="Arial" w:hAnsi="Arial"/>
          <w:sz w:val="16"/>
          <w:szCs w:val="16"/>
          <w:color w:val="404040"/>
        </w:rPr>
      </w:pPr>
      <w:r>
        <w:rPr>
          <w:rFonts w:ascii="Arial" w:cs="Arial" w:eastAsia="Arial" w:hAnsi="Arial"/>
          <w:sz w:val="16"/>
          <w:szCs w:val="16"/>
          <w:b w:val="1"/>
          <w:bCs w:val="1"/>
          <w:color w:val="404040"/>
        </w:rPr>
        <w:t>Stock Ownership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wp:posOffset>
            </wp:positionH>
            <wp:positionV relativeFrom="paragraph">
              <wp:posOffset>63500</wp:posOffset>
            </wp:positionV>
            <wp:extent cx="34372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37255" cy="8255"/>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-167005</wp:posOffset>
            </wp:positionV>
            <wp:extent cx="34372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134"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color w:val="404040"/>
        </w:rPr>
        <w:t>37</w:t>
      </w:r>
      <w:r>
        <w:rPr>
          <w:sz w:val="20"/>
          <w:szCs w:val="20"/>
          <w:color w:val="auto"/>
        </w:rPr>
        <w:tab/>
      </w:r>
      <w:r>
        <w:rPr>
          <w:rFonts w:ascii="Arial" w:cs="Arial" w:eastAsia="Arial" w:hAnsi="Arial"/>
          <w:sz w:val="16"/>
          <w:szCs w:val="16"/>
          <w:color w:val="404040"/>
        </w:rPr>
        <w:t>Security Ownership of Certain Beneficial Owners</w:t>
      </w:r>
    </w:p>
    <w:p>
      <w:pPr>
        <w:ind w:left="720" w:hanging="717"/>
        <w:spacing w:after="0" w:line="196" w:lineRule="auto"/>
        <w:tabs>
          <w:tab w:leader="none" w:pos="720" w:val="left"/>
        </w:tabs>
        <w:numPr>
          <w:ilvl w:val="0"/>
          <w:numId w:val="13"/>
        </w:numPr>
        <w:rPr>
          <w:rFonts w:ascii="Arial" w:cs="Arial" w:eastAsia="Arial" w:hAnsi="Arial"/>
          <w:sz w:val="32"/>
          <w:szCs w:val="32"/>
          <w:b w:val="1"/>
          <w:bCs w:val="1"/>
          <w:color w:val="404040"/>
          <w:vertAlign w:val="subscript"/>
        </w:rPr>
      </w:pPr>
      <w:r>
        <w:rPr>
          <w:rFonts w:ascii="Arial" w:cs="Arial" w:eastAsia="Arial" w:hAnsi="Arial"/>
          <w:sz w:val="16"/>
          <w:szCs w:val="16"/>
          <w:color w:val="404040"/>
        </w:rPr>
        <w:t>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wp:posOffset>
            </wp:positionH>
            <wp:positionV relativeFrom="paragraph">
              <wp:posOffset>44450</wp:posOffset>
            </wp:positionV>
            <wp:extent cx="34372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3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Delinquent Section 16(a) Reports</w:t>
      </w:r>
    </w:p>
    <w:p>
      <w:pPr>
        <w:spacing w:after="0"/>
        <w:rPr>
          <w:sz w:val="20"/>
          <w:szCs w:val="20"/>
          <w:color w:val="auto"/>
        </w:rPr>
      </w:pPr>
      <w:r>
        <w:rPr>
          <w:rFonts w:ascii="Arial" w:cs="Arial" w:eastAsia="Arial" w:hAnsi="Arial"/>
          <w:sz w:val="16"/>
          <w:szCs w:val="16"/>
          <w:color w:val="404040"/>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wp:posOffset>
            </wp:positionH>
            <wp:positionV relativeFrom="paragraph">
              <wp:posOffset>-40005</wp:posOffset>
            </wp:positionV>
            <wp:extent cx="34372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jc w:val="center"/>
        <w:ind w:left="-279"/>
        <w:spacing w:after="0" w:line="235" w:lineRule="auto"/>
        <w:rPr>
          <w:sz w:val="20"/>
          <w:szCs w:val="20"/>
          <w:color w:val="auto"/>
        </w:rPr>
      </w:pPr>
      <w:r>
        <w:rPr>
          <w:rFonts w:ascii="Arial" w:cs="Arial" w:eastAsia="Arial" w:hAnsi="Arial"/>
          <w:sz w:val="16"/>
          <w:szCs w:val="16"/>
          <w:b w:val="1"/>
          <w:bCs w:val="1"/>
          <w:color w:val="404040"/>
        </w:rPr>
        <w:t>Questions and Answers About the Proxy Materials and</w:t>
      </w:r>
    </w:p>
    <w:p>
      <w:pPr>
        <w:ind w:left="520" w:hanging="517"/>
        <w:spacing w:after="0" w:line="196" w:lineRule="auto"/>
        <w:tabs>
          <w:tab w:leader="none" w:pos="520" w:val="left"/>
        </w:tabs>
        <w:numPr>
          <w:ilvl w:val="0"/>
          <w:numId w:val="14"/>
        </w:numPr>
        <w:rPr>
          <w:rFonts w:ascii="Arial" w:cs="Arial" w:eastAsia="Arial" w:hAnsi="Arial"/>
          <w:sz w:val="32"/>
          <w:szCs w:val="32"/>
          <w:color w:val="404040"/>
          <w:vertAlign w:val="superscript"/>
        </w:rPr>
      </w:pPr>
      <w:r>
        <w:rPr>
          <w:rFonts w:ascii="Arial" w:cs="Arial" w:eastAsia="Arial" w:hAnsi="Arial"/>
          <w:sz w:val="16"/>
          <w:szCs w:val="16"/>
          <w:b w:val="1"/>
          <w:bCs w:val="1"/>
          <w:color w:val="404040"/>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wp:posOffset>
            </wp:positionH>
            <wp:positionV relativeFrom="paragraph">
              <wp:posOffset>39370</wp:posOffset>
            </wp:positionV>
            <wp:extent cx="34372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ind w:left="520" w:hanging="517"/>
        <w:spacing w:after="0" w:line="238" w:lineRule="auto"/>
        <w:tabs>
          <w:tab w:leader="none" w:pos="520" w:val="left"/>
        </w:tabs>
        <w:numPr>
          <w:ilvl w:val="0"/>
          <w:numId w:val="15"/>
        </w:numPr>
        <w:rPr>
          <w:rFonts w:ascii="Arial" w:cs="Arial" w:eastAsia="Arial" w:hAnsi="Arial"/>
          <w:sz w:val="32"/>
          <w:szCs w:val="32"/>
          <w:color w:val="404040"/>
          <w:vertAlign w:val="superscript"/>
        </w:rPr>
      </w:pPr>
      <w:r>
        <w:rPr>
          <w:rFonts w:ascii="Arial" w:cs="Arial" w:eastAsia="Arial" w:hAnsi="Arial"/>
          <w:sz w:val="16"/>
          <w:szCs w:val="16"/>
          <w:b w:val="1"/>
          <w:bCs w:val="1"/>
          <w:color w:val="404040"/>
        </w:rPr>
        <w:t>Other Information About the Annual Meeting</w:t>
      </w:r>
    </w:p>
    <w:p>
      <w:pPr>
        <w:spacing w:after="0" w:line="117" w:lineRule="exact"/>
        <w:rPr>
          <w:rFonts w:ascii="Arial" w:cs="Arial" w:eastAsia="Arial" w:hAnsi="Arial"/>
          <w:sz w:val="32"/>
          <w:szCs w:val="32"/>
          <w:color w:val="404040"/>
          <w:vertAlign w:val="superscript"/>
        </w:rPr>
      </w:pPr>
    </w:p>
    <w:p>
      <w:pPr>
        <w:ind w:left="720" w:hanging="717"/>
        <w:spacing w:after="0" w:line="184" w:lineRule="auto"/>
        <w:tabs>
          <w:tab w:leader="none" w:pos="720" w:val="left"/>
        </w:tabs>
        <w:numPr>
          <w:ilvl w:val="0"/>
          <w:numId w:val="15"/>
        </w:numPr>
        <w:rPr>
          <w:rFonts w:ascii="Arial" w:cs="Arial" w:eastAsia="Arial" w:hAnsi="Arial"/>
          <w:sz w:val="27"/>
          <w:szCs w:val="27"/>
          <w:b w:val="1"/>
          <w:bCs w:val="1"/>
          <w:color w:val="404040"/>
          <w:vertAlign w:val="superscript"/>
        </w:rPr>
      </w:pPr>
      <w:r>
        <w:rPr>
          <w:rFonts w:ascii="Arial" w:cs="Arial" w:eastAsia="Arial" w:hAnsi="Arial"/>
          <w:sz w:val="14"/>
          <w:szCs w:val="14"/>
          <w:color w:val="404040"/>
        </w:rPr>
        <w:t>Expenses of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wp:posOffset>
            </wp:positionH>
            <wp:positionV relativeFrom="paragraph">
              <wp:posOffset>45085</wp:posOffset>
            </wp:positionV>
            <wp:extent cx="34372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37255" cy="8255"/>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-186055</wp:posOffset>
            </wp:positionV>
            <wp:extent cx="34372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37255" cy="8890"/>
                    </a:xfrm>
                    <a:prstGeom prst="rect">
                      <a:avLst/>
                    </a:prstGeom>
                    <a:noFill/>
                  </pic:spPr>
                </pic:pic>
              </a:graphicData>
            </a:graphic>
          </wp:anchor>
        </w:drawing>
      </w:r>
    </w:p>
    <w:p>
      <w:pPr>
        <w:spacing w:after="0" w:line="187" w:lineRule="auto"/>
        <w:tabs>
          <w:tab w:leader="none" w:pos="700" w:val="left"/>
        </w:tabs>
        <w:rPr>
          <w:sz w:val="20"/>
          <w:szCs w:val="20"/>
          <w:color w:val="auto"/>
        </w:rPr>
      </w:pPr>
      <w:r>
        <w:rPr>
          <w:rFonts w:ascii="Arial" w:cs="Arial" w:eastAsia="Arial" w:hAnsi="Arial"/>
          <w:sz w:val="32"/>
          <w:szCs w:val="32"/>
          <w:color w:val="404040"/>
          <w:vertAlign w:val="superscript"/>
        </w:rPr>
        <w:t>41</w:t>
      </w:r>
      <w:r>
        <w:rPr>
          <w:sz w:val="20"/>
          <w:szCs w:val="20"/>
          <w:color w:val="auto"/>
        </w:rPr>
        <w:tab/>
      </w:r>
      <w:r>
        <w:rPr>
          <w:rFonts w:ascii="Arial" w:cs="Arial" w:eastAsia="Arial" w:hAnsi="Arial"/>
          <w:sz w:val="16"/>
          <w:szCs w:val="16"/>
          <w:color w:val="404040"/>
        </w:rPr>
        <w:t>Householding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wp:posOffset>
            </wp:positionH>
            <wp:positionV relativeFrom="paragraph">
              <wp:posOffset>93980</wp:posOffset>
            </wp:positionV>
            <wp:extent cx="34372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55" w:lineRule="exact"/>
        <w:rPr>
          <w:sz w:val="20"/>
          <w:szCs w:val="20"/>
          <w:color w:val="auto"/>
        </w:rPr>
      </w:pPr>
    </w:p>
    <w:p>
      <w:pPr>
        <w:ind w:left="720" w:hanging="717"/>
        <w:spacing w:after="0"/>
        <w:tabs>
          <w:tab w:leader="none" w:pos="720" w:val="left"/>
        </w:tabs>
        <w:numPr>
          <w:ilvl w:val="0"/>
          <w:numId w:val="16"/>
        </w:numPr>
        <w:rPr>
          <w:rFonts w:ascii="Arial" w:cs="Arial" w:eastAsia="Arial" w:hAnsi="Arial"/>
          <w:sz w:val="32"/>
          <w:szCs w:val="32"/>
          <w:b w:val="1"/>
          <w:bCs w:val="1"/>
          <w:color w:val="202945"/>
          <w:vertAlign w:val="superscript"/>
        </w:rPr>
      </w:pPr>
      <w:r>
        <w:rPr>
          <w:rFonts w:ascii="Arial" w:cs="Arial" w:eastAsia="Arial" w:hAnsi="Arial"/>
          <w:sz w:val="16"/>
          <w:szCs w:val="16"/>
          <w:color w:val="404040"/>
        </w:rPr>
        <w:t>2027 Shareholder Proposals and Director Nominations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wp:posOffset>
            </wp:positionH>
            <wp:positionV relativeFrom="paragraph">
              <wp:posOffset>44450</wp:posOffset>
            </wp:positionV>
            <wp:extent cx="34372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404040"/>
        </w:rPr>
        <w:t>73</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404040"/>
        </w:rPr>
        <w:t>74</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404040"/>
        </w:rPr>
        <w:t>74</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404040"/>
        </w:rPr>
        <w:t>75</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404040"/>
        </w:rPr>
        <w:t>75</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404040"/>
        </w:rPr>
        <w:t>76</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404040"/>
        </w:rPr>
        <w:t>76</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404040"/>
        </w:rPr>
        <w:t>78</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404040"/>
        </w:rPr>
        <w:t>79</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404040"/>
        </w:rPr>
        <w:t>84</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404040"/>
        </w:rPr>
        <w:t>84</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404040"/>
        </w:rPr>
        <w:t>84</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404040"/>
        </w:rPr>
        <w:t>85</w:t>
      </w:r>
    </w:p>
    <w:p>
      <w:pPr>
        <w:spacing w:after="0" w:line="196" w:lineRule="exact"/>
        <w:rPr>
          <w:sz w:val="20"/>
          <w:szCs w:val="20"/>
          <w:color w:val="auto"/>
        </w:rPr>
      </w:pPr>
    </w:p>
    <w:p>
      <w:pPr>
        <w:sectPr>
          <w:pgSz w:w="11900" w:h="16838" w:orient="portrait"/>
          <w:cols w:equalWidth="0" w:num="3">
            <w:col w:w="4760" w:space="460"/>
            <w:col w:w="4980" w:space="720"/>
            <w:col w:w="300"/>
          </w:cols>
          <w:pgMar w:left="320" w:top="1211" w:right="359" w:bottom="1440" w:gutter="0" w:footer="0" w:header="0"/>
          <w:type w:val="continuous"/>
        </w:sectPr>
      </w:pPr>
    </w:p>
    <w:p>
      <w:pPr>
        <w:spacing w:after="0" w:line="1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404040"/>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34372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6"/>
          <w:szCs w:val="16"/>
          <w:color w:val="404040"/>
        </w:rPr>
        <w:t>Our Named Executive Officers</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404040"/>
        </w:rPr>
        <w:t>45</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404040"/>
        </w:rPr>
        <w:t>45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404040"/>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63500</wp:posOffset>
            </wp:positionV>
            <wp:extent cx="343725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37255" cy="889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404040"/>
        </w:rPr>
        <w:t xml:space="preserve">Special </w:t>
      </w:r>
      <w:r>
        <w:rPr>
          <w:rFonts w:ascii="Arial" w:cs="Arial" w:eastAsia="Arial" w:hAnsi="Arial"/>
          <w:sz w:val="16"/>
          <w:szCs w:val="16"/>
          <w:b w:val="1"/>
          <w:bCs w:val="1"/>
          <w:color w:val="000000"/>
        </w:rPr>
        <w:t>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63500</wp:posOffset>
            </wp:positionV>
            <wp:extent cx="34372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404040"/>
        </w:rPr>
        <w:t>86</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404040"/>
        </w:rPr>
        <w:t>87</w:t>
      </w:r>
    </w:p>
    <w:p>
      <w:pPr>
        <w:spacing w:after="0" w:line="176" w:lineRule="exact"/>
        <w:rPr>
          <w:sz w:val="20"/>
          <w:szCs w:val="20"/>
          <w:color w:val="auto"/>
        </w:rPr>
      </w:pPr>
    </w:p>
    <w:p>
      <w:pPr>
        <w:sectPr>
          <w:pgSz w:w="11900" w:h="16838" w:orient="portrait"/>
          <w:cols w:equalWidth="0" w:num="4">
            <w:col w:w="4500" w:space="720"/>
            <w:col w:w="180" w:space="340"/>
            <w:col w:w="4460" w:space="720"/>
            <w:col w:w="300"/>
          </w:cols>
          <w:pgMar w:left="320" w:top="1211" w:right="359" w:bottom="1440" w:gutter="0" w:footer="0" w:header="0"/>
          <w:type w:val="continuous"/>
        </w:sectPr>
      </w:pPr>
    </w:p>
    <w:p>
      <w:pPr>
        <w:spacing w:after="0" w:line="180" w:lineRule="exact"/>
        <w:rPr>
          <w:sz w:val="20"/>
          <w:szCs w:val="20"/>
          <w:color w:val="auto"/>
        </w:rPr>
      </w:pPr>
    </w:p>
    <w:p>
      <w:pPr>
        <w:ind w:left="240"/>
        <w:spacing w:after="0"/>
        <w:rPr>
          <w:sz w:val="20"/>
          <w:szCs w:val="20"/>
          <w:color w:val="auto"/>
        </w:rPr>
      </w:pPr>
      <w:r>
        <w:rPr>
          <w:rFonts w:ascii="Arial" w:cs="Arial" w:eastAsia="Arial" w:hAnsi="Arial"/>
          <w:sz w:val="16"/>
          <w:szCs w:val="16"/>
          <w:color w:val="404040"/>
        </w:rPr>
        <w:t>CD&amp;A At-A-Glance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34372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37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34372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37255" cy="8890"/>
                    </a:xfrm>
                    <a:prstGeom prst="rect">
                      <a:avLst/>
                    </a:prstGeom>
                    <a:noFill/>
                  </pic:spPr>
                </pic:pic>
              </a:graphicData>
            </a:graphic>
          </wp:anchor>
        </w:drawing>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6"/>
          <w:szCs w:val="16"/>
          <w:color w:val="404040"/>
        </w:rPr>
        <w:t>Our Compensation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34372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6"/>
          <w:szCs w:val="16"/>
          <w:color w:val="404040"/>
        </w:rPr>
        <w:t>Compensation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34372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37255" cy="8890"/>
                    </a:xfrm>
                    <a:prstGeom prst="rect">
                      <a:avLst/>
                    </a:prstGeom>
                    <a:noFill/>
                  </pic:spPr>
                </pic:pic>
              </a:graphicData>
            </a:graphic>
          </wp:anchor>
        </w:drawing>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6"/>
          <w:szCs w:val="16"/>
          <w:color w:val="404040"/>
        </w:rPr>
        <w:t>Fiscal Year 2025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34372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6"/>
          <w:szCs w:val="16"/>
          <w:color w:val="404040"/>
        </w:rPr>
        <w:t>Executive Officer Employment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34372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37255" cy="8890"/>
                    </a:xfrm>
                    <a:prstGeom prst="rect">
                      <a:avLst/>
                    </a:prstGeom>
                    <a:noFill/>
                  </pic:spPr>
                </pic:pic>
              </a:graphicData>
            </a:graphic>
          </wp:anchor>
        </w:drawing>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6"/>
          <w:szCs w:val="16"/>
          <w:color w:val="404040"/>
        </w:rPr>
        <w:t>Compensation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34372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6"/>
          <w:szCs w:val="16"/>
          <w:color w:val="404040"/>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343725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37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200660</wp:posOffset>
            </wp:positionV>
            <wp:extent cx="120015" cy="1200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492125</wp:posOffset>
            </wp:positionV>
            <wp:extent cx="925830" cy="2660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25830" cy="266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520"/>
        <w:spacing w:after="0" w:line="221" w:lineRule="auto"/>
        <w:rPr>
          <w:sz w:val="20"/>
          <w:szCs w:val="20"/>
          <w:color w:val="auto"/>
        </w:rPr>
      </w:pPr>
      <w:r>
        <w:rPr>
          <w:rFonts w:ascii="Arial" w:cs="Arial" w:eastAsia="Arial" w:hAnsi="Arial"/>
          <w:sz w:val="16"/>
          <w:szCs w:val="16"/>
          <w:b w:val="1"/>
          <w:bCs w:val="1"/>
          <w:color w:val="404040"/>
        </w:rPr>
        <w:t>Appendix A - GAAP to Non-GAAP Reconciliation of Adjusted</w:t>
      </w:r>
    </w:p>
    <w:p>
      <w:pPr>
        <w:spacing w:after="0" w:line="181" w:lineRule="auto"/>
        <w:rPr>
          <w:sz w:val="20"/>
          <w:szCs w:val="20"/>
          <w:color w:val="auto"/>
        </w:rPr>
      </w:pPr>
      <w:r>
        <w:rPr>
          <w:rFonts w:ascii="Arial" w:cs="Arial" w:eastAsia="Arial" w:hAnsi="Arial"/>
          <w:sz w:val="14"/>
          <w:szCs w:val="14"/>
          <w:color w:val="404040"/>
        </w:rPr>
        <w:t>47</w:t>
      </w:r>
    </w:p>
    <w:p>
      <w:pPr>
        <w:ind w:left="520"/>
        <w:spacing w:after="0"/>
        <w:rPr>
          <w:sz w:val="20"/>
          <w:szCs w:val="20"/>
          <w:color w:val="auto"/>
        </w:rPr>
      </w:pPr>
      <w:r>
        <w:rPr>
          <w:rFonts w:ascii="Arial" w:cs="Arial" w:eastAsia="Arial" w:hAnsi="Arial"/>
          <w:sz w:val="16"/>
          <w:szCs w:val="16"/>
          <w:b w:val="1"/>
          <w:bCs w:val="1"/>
          <w:color w:val="404040"/>
        </w:rPr>
        <w:t>EBITDA</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404040"/>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wp:posOffset>
            </wp:positionH>
            <wp:positionV relativeFrom="paragraph">
              <wp:posOffset>-90170</wp:posOffset>
            </wp:positionV>
            <wp:extent cx="34372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37255" cy="889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404040"/>
        </w:rPr>
        <w:t>50</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404040"/>
        </w:rPr>
        <w:t>51</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404040"/>
        </w:rPr>
        <w:t>58</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404040"/>
        </w:rPr>
        <w:t>60</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404040"/>
        </w:rPr>
        <w:t>64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404040"/>
        </w:rPr>
        <w:t>89</w:t>
      </w:r>
    </w:p>
    <w:p>
      <w:pPr>
        <w:spacing w:after="0" w:line="2546" w:lineRule="exact"/>
        <w:rPr>
          <w:sz w:val="20"/>
          <w:szCs w:val="20"/>
          <w:color w:val="auto"/>
        </w:rPr>
      </w:pPr>
    </w:p>
    <w:p>
      <w:pPr>
        <w:sectPr>
          <w:pgSz w:w="11900" w:h="16838" w:orient="portrait"/>
          <w:cols w:equalWidth="0" w:num="3">
            <w:col w:w="4500" w:space="720"/>
            <w:col w:w="5200" w:space="500"/>
            <w:col w:w="300"/>
          </w:cols>
          <w:pgMar w:left="320" w:top="121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auto"/>
        </w:rPr>
        <w:t>2</w:t>
      </w:r>
      <w:r>
        <w:rPr>
          <w:sz w:val="20"/>
          <w:szCs w:val="20"/>
          <w:color w:val="auto"/>
        </w:rPr>
        <w:tab/>
      </w:r>
      <w:r>
        <w:rPr>
          <w:rFonts w:ascii="Arial" w:cs="Arial" w:eastAsia="Arial" w:hAnsi="Arial"/>
          <w:sz w:val="12"/>
          <w:szCs w:val="12"/>
          <w:b w:val="1"/>
          <w:bCs w:val="1"/>
          <w:color w:val="FF7F32"/>
        </w:rPr>
        <w:t xml:space="preserve">2026 </w:t>
      </w:r>
      <w:r>
        <w:rPr>
          <w:rFonts w:ascii="Arial" w:cs="Arial" w:eastAsia="Arial" w:hAnsi="Arial"/>
          <w:sz w:val="12"/>
          <w:szCs w:val="12"/>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271145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1" w:right="359" w:bottom="1440" w:gutter="0" w:footer="0" w:header="0"/>
          <w:type w:val="continuous"/>
        </w:sectPr>
      </w:pPr>
    </w:p>
    <w:bookmarkStart w:id="5" w:name="page6"/>
    <w:bookmarkEnd w:id="5"/>
    <w:p>
      <w:pPr>
        <w:ind w:right="2400"/>
        <w:spacing w:after="0" w:line="282" w:lineRule="auto"/>
        <w:rPr>
          <w:sz w:val="20"/>
          <w:szCs w:val="20"/>
          <w:color w:val="auto"/>
        </w:rPr>
      </w:pPr>
      <w:r>
        <w:rPr>
          <w:rFonts w:ascii="Arial" w:cs="Arial" w:eastAsia="Arial" w:hAnsi="Arial"/>
          <w:sz w:val="50"/>
          <w:szCs w:val="50"/>
          <w:b w:val="1"/>
          <w:bCs w:val="1"/>
          <w:color w:val="FF7F32"/>
        </w:rPr>
        <w:t>Notice of 2026 Annual Meeting of Shareholders to be Held Wednesday, November 19, 2025</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072"/>
        </w:trPr>
        <w:tc>
          <w:tcPr>
            <w:tcW w:w="3360" w:type="dxa"/>
            <w:vAlign w:val="bottom"/>
            <w:shd w:val="clear" w:color="auto" w:fill="E5EAF8"/>
          </w:tcPr>
          <w:p>
            <w:pPr>
              <w:ind w:left="220"/>
              <w:spacing w:after="0"/>
              <w:rPr>
                <w:sz w:val="20"/>
                <w:szCs w:val="20"/>
                <w:color w:val="auto"/>
              </w:rPr>
            </w:pPr>
            <w:r>
              <w:rPr>
                <w:rFonts w:ascii="Arial" w:cs="Arial" w:eastAsia="Arial" w:hAnsi="Arial"/>
                <w:sz w:val="16"/>
                <w:szCs w:val="16"/>
                <w:b w:val="1"/>
                <w:bCs w:val="1"/>
                <w:color w:val="202945"/>
              </w:rPr>
              <w:t>Date and Time</w:t>
            </w:r>
          </w:p>
        </w:tc>
        <w:tc>
          <w:tcPr>
            <w:tcW w:w="3880" w:type="dxa"/>
            <w:vAlign w:val="bottom"/>
            <w:shd w:val="clear" w:color="auto" w:fill="E5EAF8"/>
          </w:tcPr>
          <w:p>
            <w:pPr>
              <w:ind w:left="20"/>
              <w:spacing w:after="0"/>
              <w:rPr>
                <w:sz w:val="20"/>
                <w:szCs w:val="20"/>
                <w:color w:val="auto"/>
              </w:rPr>
            </w:pPr>
            <w:r>
              <w:rPr>
                <w:rFonts w:ascii="Arial" w:cs="Arial" w:eastAsia="Arial" w:hAnsi="Arial"/>
                <w:sz w:val="16"/>
                <w:szCs w:val="16"/>
                <w:b w:val="1"/>
                <w:bCs w:val="1"/>
                <w:color w:val="202945"/>
              </w:rPr>
              <w:t>Virtual Annual Meeting Site</w:t>
            </w:r>
          </w:p>
        </w:tc>
        <w:tc>
          <w:tcPr>
            <w:tcW w:w="4000" w:type="dxa"/>
            <w:vAlign w:val="bottom"/>
            <w:shd w:val="clear" w:color="auto" w:fill="E5EAF8"/>
          </w:tcPr>
          <w:p>
            <w:pPr>
              <w:spacing w:after="0"/>
              <w:rPr>
                <w:sz w:val="20"/>
                <w:szCs w:val="20"/>
                <w:color w:val="auto"/>
              </w:rPr>
            </w:pPr>
            <w:r>
              <w:rPr>
                <w:rFonts w:ascii="Arial" w:cs="Arial" w:eastAsia="Arial" w:hAnsi="Arial"/>
                <w:sz w:val="16"/>
                <w:szCs w:val="16"/>
                <w:b w:val="1"/>
                <w:bCs w:val="1"/>
                <w:color w:val="202945"/>
              </w:rPr>
              <w:t>Who Can Vote</w:t>
            </w:r>
          </w:p>
        </w:tc>
      </w:tr>
      <w:tr>
        <w:trPr>
          <w:trHeight w:val="214"/>
        </w:trPr>
        <w:tc>
          <w:tcPr>
            <w:tcW w:w="3360" w:type="dxa"/>
            <w:vAlign w:val="bottom"/>
            <w:shd w:val="clear" w:color="auto" w:fill="E5EAF8"/>
          </w:tcPr>
          <w:p>
            <w:pPr>
              <w:ind w:left="220"/>
              <w:spacing w:after="0"/>
              <w:rPr>
                <w:sz w:val="20"/>
                <w:szCs w:val="20"/>
                <w:color w:val="auto"/>
              </w:rPr>
            </w:pPr>
            <w:r>
              <w:rPr>
                <w:rFonts w:ascii="Arial" w:cs="Arial" w:eastAsia="Arial" w:hAnsi="Arial"/>
                <w:sz w:val="14"/>
                <w:szCs w:val="14"/>
                <w:color w:val="auto"/>
              </w:rPr>
              <w:t>11:00 a.m., ET, on Wednesday,</w:t>
            </w:r>
          </w:p>
        </w:tc>
        <w:tc>
          <w:tcPr>
            <w:tcW w:w="3880" w:type="dxa"/>
            <w:vAlign w:val="bottom"/>
            <w:shd w:val="clear" w:color="auto" w:fill="E5EAF8"/>
          </w:tcPr>
          <w:p>
            <w:pPr>
              <w:ind w:left="20"/>
              <w:spacing w:after="0"/>
              <w:rPr>
                <w:sz w:val="20"/>
                <w:szCs w:val="20"/>
                <w:color w:val="auto"/>
              </w:rPr>
            </w:pPr>
            <w:r>
              <w:rPr>
                <w:rFonts w:ascii="Arial" w:cs="Arial" w:eastAsia="Arial" w:hAnsi="Arial"/>
                <w:sz w:val="14"/>
                <w:szCs w:val="14"/>
                <w:i w:val="1"/>
                <w:iCs w:val="1"/>
                <w:color w:val="auto"/>
              </w:rPr>
              <w:t>www.virtualshareholdermeeting.com/CTLP2026</w:t>
            </w:r>
            <w:r>
              <w:rPr>
                <w:rFonts w:ascii="Arial" w:cs="Arial" w:eastAsia="Arial" w:hAnsi="Arial"/>
                <w:sz w:val="14"/>
                <w:szCs w:val="14"/>
                <w:color w:val="auto"/>
              </w:rPr>
              <w:t>. There</w:t>
            </w:r>
          </w:p>
        </w:tc>
        <w:tc>
          <w:tcPr>
            <w:tcW w:w="4000" w:type="dxa"/>
            <w:vAlign w:val="bottom"/>
            <w:shd w:val="clear" w:color="auto" w:fill="E5EAF8"/>
          </w:tcPr>
          <w:p>
            <w:pPr>
              <w:spacing w:after="0"/>
              <w:rPr>
                <w:sz w:val="20"/>
                <w:szCs w:val="20"/>
                <w:color w:val="auto"/>
              </w:rPr>
            </w:pPr>
            <w:r>
              <w:rPr>
                <w:rFonts w:ascii="Arial" w:cs="Arial" w:eastAsia="Arial" w:hAnsi="Arial"/>
                <w:sz w:val="14"/>
                <w:szCs w:val="14"/>
                <w:color w:val="auto"/>
              </w:rPr>
              <w:t>Holders of our Common Stock and Preferred Stock as of</w:t>
            </w:r>
          </w:p>
        </w:tc>
      </w:tr>
      <w:tr>
        <w:trPr>
          <w:trHeight w:val="217"/>
        </w:trPr>
        <w:tc>
          <w:tcPr>
            <w:tcW w:w="3360" w:type="dxa"/>
            <w:vAlign w:val="bottom"/>
            <w:shd w:val="clear" w:color="auto" w:fill="E5EAF8"/>
          </w:tcPr>
          <w:p>
            <w:pPr>
              <w:ind w:left="220"/>
              <w:spacing w:after="0"/>
              <w:rPr>
                <w:sz w:val="20"/>
                <w:szCs w:val="20"/>
                <w:color w:val="auto"/>
              </w:rPr>
            </w:pPr>
            <w:r>
              <w:rPr>
                <w:rFonts w:ascii="Arial" w:cs="Arial" w:eastAsia="Arial" w:hAnsi="Arial"/>
                <w:sz w:val="14"/>
                <w:szCs w:val="14"/>
                <w:color w:val="auto"/>
              </w:rPr>
              <w:t>November 19, 2025</w:t>
            </w:r>
          </w:p>
        </w:tc>
        <w:tc>
          <w:tcPr>
            <w:tcW w:w="3880" w:type="dxa"/>
            <w:vAlign w:val="bottom"/>
            <w:shd w:val="clear" w:color="auto" w:fill="E5EAF8"/>
          </w:tcPr>
          <w:p>
            <w:pPr>
              <w:ind w:left="20"/>
              <w:spacing w:after="0"/>
              <w:rPr>
                <w:sz w:val="20"/>
                <w:szCs w:val="20"/>
                <w:color w:val="auto"/>
              </w:rPr>
            </w:pPr>
            <w:r>
              <w:rPr>
                <w:rFonts w:ascii="Arial" w:cs="Arial" w:eastAsia="Arial" w:hAnsi="Arial"/>
                <w:sz w:val="14"/>
                <w:szCs w:val="14"/>
                <w:color w:val="auto"/>
              </w:rPr>
              <w:t>will be no physical meeting.</w:t>
            </w:r>
          </w:p>
        </w:tc>
        <w:tc>
          <w:tcPr>
            <w:tcW w:w="4000" w:type="dxa"/>
            <w:vAlign w:val="bottom"/>
            <w:shd w:val="clear" w:color="auto" w:fill="E5EAF8"/>
          </w:tcPr>
          <w:p>
            <w:pPr>
              <w:spacing w:after="0"/>
              <w:rPr>
                <w:sz w:val="20"/>
                <w:szCs w:val="20"/>
                <w:color w:val="auto"/>
              </w:rPr>
            </w:pPr>
            <w:r>
              <w:rPr>
                <w:rFonts w:ascii="Arial" w:cs="Arial" w:eastAsia="Arial" w:hAnsi="Arial"/>
                <w:sz w:val="14"/>
                <w:szCs w:val="14"/>
                <w:color w:val="auto"/>
              </w:rPr>
              <w:t>September 25, 2025 (the “Record Date”)</w:t>
            </w:r>
          </w:p>
        </w:tc>
      </w:tr>
      <w:tr>
        <w:trPr>
          <w:trHeight w:val="103"/>
        </w:trPr>
        <w:tc>
          <w:tcPr>
            <w:tcW w:w="3360" w:type="dxa"/>
            <w:vAlign w:val="bottom"/>
            <w:shd w:val="clear" w:color="auto" w:fill="E5EAF8"/>
          </w:tcPr>
          <w:p>
            <w:pPr>
              <w:spacing w:after="0"/>
              <w:rPr>
                <w:sz w:val="8"/>
                <w:szCs w:val="8"/>
                <w:color w:val="auto"/>
              </w:rPr>
            </w:pPr>
          </w:p>
        </w:tc>
        <w:tc>
          <w:tcPr>
            <w:tcW w:w="3880" w:type="dxa"/>
            <w:vAlign w:val="bottom"/>
            <w:shd w:val="clear" w:color="auto" w:fill="E5EAF8"/>
          </w:tcPr>
          <w:p>
            <w:pPr>
              <w:spacing w:after="0"/>
              <w:rPr>
                <w:sz w:val="8"/>
                <w:szCs w:val="8"/>
                <w:color w:val="auto"/>
              </w:rPr>
            </w:pPr>
          </w:p>
        </w:tc>
        <w:tc>
          <w:tcPr>
            <w:tcW w:w="4000" w:type="dxa"/>
            <w:vAlign w:val="bottom"/>
            <w:shd w:val="clear" w:color="auto" w:fill="E5EAF8"/>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-934085</wp:posOffset>
            </wp:positionV>
            <wp:extent cx="325755" cy="3257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-934085</wp:posOffset>
            </wp:positionV>
            <wp:extent cx="325755" cy="3257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-934085</wp:posOffset>
            </wp:positionV>
            <wp:extent cx="325755" cy="3257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5755" cy="325755"/>
                    </a:xfrm>
                    <a:prstGeom prst="rect">
                      <a:avLst/>
                    </a:prstGeom>
                    <a:noFill/>
                  </pic:spPr>
                </pic:pic>
              </a:graphicData>
            </a:graphic>
          </wp:anchor>
        </w:drawing>
      </w:r>
    </w:p>
    <w:p>
      <w:pPr>
        <w:spacing w:after="0" w:line="121" w:lineRule="exact"/>
        <w:rPr>
          <w:sz w:val="20"/>
          <w:szCs w:val="20"/>
          <w:color w:val="auto"/>
        </w:rPr>
      </w:pPr>
    </w:p>
    <w:p>
      <w:pPr>
        <w:spacing w:after="0"/>
        <w:rPr>
          <w:sz w:val="20"/>
          <w:szCs w:val="20"/>
          <w:color w:val="auto"/>
        </w:rPr>
      </w:pPr>
      <w:r>
        <w:rPr>
          <w:rFonts w:ascii="Arial" w:cs="Arial" w:eastAsia="Arial" w:hAnsi="Arial"/>
          <w:sz w:val="29"/>
          <w:szCs w:val="29"/>
          <w:b w:val="1"/>
          <w:bCs w:val="1"/>
          <w:color w:val="FF7F32"/>
        </w:rPr>
        <w:t>Matters to be Voted 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60" w:type="dxa"/>
            <w:vAlign w:val="bottom"/>
          </w:tcPr>
          <w:p>
            <w:pPr>
              <w:ind w:left="20"/>
              <w:spacing w:after="0"/>
              <w:rPr>
                <w:sz w:val="20"/>
                <w:szCs w:val="20"/>
                <w:color w:val="auto"/>
              </w:rPr>
            </w:pPr>
            <w:r>
              <w:rPr>
                <w:rFonts w:ascii="Arial" w:cs="Arial" w:eastAsia="Arial" w:hAnsi="Arial"/>
                <w:sz w:val="13"/>
                <w:szCs w:val="13"/>
                <w:b w:val="1"/>
                <w:bCs w:val="1"/>
                <w:color w:val="404040"/>
                <w:w w:val="98"/>
              </w:rPr>
              <w:t>Proposals</w:t>
            </w:r>
          </w:p>
        </w:tc>
        <w:tc>
          <w:tcPr>
            <w:tcW w:w="744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3"/>
                <w:szCs w:val="13"/>
                <w:b w:val="1"/>
                <w:bCs w:val="1"/>
                <w:color w:val="404040"/>
                <w:w w:val="96"/>
              </w:rPr>
              <w:t>Board Vote Recommendation</w:t>
            </w:r>
          </w:p>
        </w:tc>
        <w:tc>
          <w:tcPr>
            <w:tcW w:w="1260" w:type="dxa"/>
            <w:vAlign w:val="bottom"/>
          </w:tcPr>
          <w:p>
            <w:pPr>
              <w:jc w:val="center"/>
              <w:spacing w:after="0"/>
              <w:rPr>
                <w:sz w:val="20"/>
                <w:szCs w:val="20"/>
                <w:color w:val="auto"/>
              </w:rPr>
            </w:pPr>
            <w:r>
              <w:rPr>
                <w:rFonts w:ascii="Arial" w:cs="Arial" w:eastAsia="Arial" w:hAnsi="Arial"/>
                <w:sz w:val="13"/>
                <w:szCs w:val="13"/>
                <w:b w:val="1"/>
                <w:bCs w:val="1"/>
                <w:color w:val="404040"/>
                <w:w w:val="97"/>
              </w:rPr>
              <w:t>For Further Details</w:t>
            </w:r>
          </w:p>
        </w:tc>
        <w:tc>
          <w:tcPr>
            <w:tcW w:w="0" w:type="dxa"/>
            <w:vAlign w:val="bottom"/>
          </w:tcPr>
          <w:p>
            <w:pPr>
              <w:spacing w:after="0"/>
              <w:rPr>
                <w:sz w:val="1"/>
                <w:szCs w:val="1"/>
                <w:color w:val="auto"/>
              </w:rPr>
            </w:pPr>
          </w:p>
        </w:tc>
      </w:tr>
      <w:tr>
        <w:trPr>
          <w:trHeight w:val="75"/>
        </w:trPr>
        <w:tc>
          <w:tcPr>
            <w:tcW w:w="660" w:type="dxa"/>
            <w:vAlign w:val="bottom"/>
            <w:tcBorders>
              <w:bottom w:val="single" w:sz="8" w:color="FF7F32"/>
            </w:tcBorders>
          </w:tcPr>
          <w:p>
            <w:pPr>
              <w:spacing w:after="0"/>
              <w:rPr>
                <w:sz w:val="6"/>
                <w:szCs w:val="6"/>
                <w:color w:val="auto"/>
              </w:rPr>
            </w:pPr>
          </w:p>
        </w:tc>
        <w:tc>
          <w:tcPr>
            <w:tcW w:w="7440" w:type="dxa"/>
            <w:vAlign w:val="bottom"/>
            <w:tcBorders>
              <w:bottom w:val="single" w:sz="8" w:color="FF7F32"/>
            </w:tcBorders>
          </w:tcPr>
          <w:p>
            <w:pPr>
              <w:spacing w:after="0"/>
              <w:rPr>
                <w:sz w:val="6"/>
                <w:szCs w:val="6"/>
                <w:color w:val="auto"/>
              </w:rPr>
            </w:pPr>
          </w:p>
        </w:tc>
        <w:tc>
          <w:tcPr>
            <w:tcW w:w="1880" w:type="dxa"/>
            <w:vAlign w:val="bottom"/>
            <w:tcBorders>
              <w:bottom w:val="single" w:sz="8" w:color="FF7F32"/>
            </w:tcBorders>
          </w:tcPr>
          <w:p>
            <w:pPr>
              <w:spacing w:after="0"/>
              <w:rPr>
                <w:sz w:val="6"/>
                <w:szCs w:val="6"/>
                <w:color w:val="auto"/>
              </w:rPr>
            </w:pPr>
          </w:p>
        </w:tc>
        <w:tc>
          <w:tcPr>
            <w:tcW w:w="1260" w:type="dxa"/>
            <w:vAlign w:val="bottom"/>
            <w:tcBorders>
              <w:bottom w:val="single" w:sz="8" w:color="FF7F32"/>
            </w:tcBorders>
          </w:tcPr>
          <w:p>
            <w:pPr>
              <w:spacing w:after="0"/>
              <w:rPr>
                <w:sz w:val="6"/>
                <w:szCs w:val="6"/>
                <w:color w:val="auto"/>
              </w:rPr>
            </w:pPr>
          </w:p>
        </w:tc>
        <w:tc>
          <w:tcPr>
            <w:tcW w:w="0" w:type="dxa"/>
            <w:vAlign w:val="bottom"/>
          </w:tcPr>
          <w:p>
            <w:pPr>
              <w:spacing w:after="0"/>
              <w:rPr>
                <w:sz w:val="1"/>
                <w:szCs w:val="1"/>
                <w:color w:val="auto"/>
              </w:rPr>
            </w:pPr>
          </w:p>
        </w:tc>
      </w:tr>
      <w:tr>
        <w:trPr>
          <w:trHeight w:val="336"/>
        </w:trPr>
        <w:tc>
          <w:tcPr>
            <w:tcW w:w="660" w:type="dxa"/>
            <w:vAlign w:val="bottom"/>
            <w:vMerge w:val="restart"/>
          </w:tcPr>
          <w:p>
            <w:pPr>
              <w:ind w:left="20"/>
              <w:spacing w:after="0"/>
              <w:rPr>
                <w:sz w:val="20"/>
                <w:szCs w:val="20"/>
                <w:color w:val="auto"/>
              </w:rPr>
            </w:pPr>
            <w:r>
              <w:rPr>
                <w:rFonts w:ascii="Arial" w:cs="Arial" w:eastAsia="Arial" w:hAnsi="Arial"/>
                <w:sz w:val="45"/>
                <w:szCs w:val="45"/>
                <w:color w:val="5576D1"/>
              </w:rPr>
              <w:t>1</w:t>
            </w:r>
          </w:p>
        </w:tc>
        <w:tc>
          <w:tcPr>
            <w:tcW w:w="7440" w:type="dxa"/>
            <w:vAlign w:val="bottom"/>
          </w:tcPr>
          <w:p>
            <w:pPr>
              <w:ind w:left="20"/>
              <w:spacing w:after="0"/>
              <w:rPr>
                <w:sz w:val="20"/>
                <w:szCs w:val="20"/>
                <w:color w:val="auto"/>
              </w:rPr>
            </w:pPr>
            <w:r>
              <w:rPr>
                <w:rFonts w:ascii="Arial" w:cs="Arial" w:eastAsia="Arial" w:hAnsi="Arial"/>
                <w:sz w:val="14"/>
                <w:szCs w:val="14"/>
                <w:color w:val="auto"/>
              </w:rPr>
              <w:t>Election of nine directors nominated by the Company’s Board of Directors to serve until the next Annual Meeting</w:t>
            </w:r>
          </w:p>
        </w:tc>
        <w:tc>
          <w:tcPr>
            <w:tcW w:w="1880" w:type="dxa"/>
            <w:vAlign w:val="bottom"/>
            <w:shd w:val="clear" w:color="auto" w:fill="EBEBEB"/>
          </w:tcPr>
          <w:p>
            <w:pPr>
              <w:jc w:val="center"/>
              <w:spacing w:after="0"/>
              <w:rPr>
                <w:sz w:val="20"/>
                <w:szCs w:val="20"/>
                <w:color w:val="auto"/>
              </w:rPr>
            </w:pPr>
            <w:r>
              <w:rPr>
                <w:rFonts w:ascii="Arial" w:cs="Arial" w:eastAsia="Arial" w:hAnsi="Arial"/>
                <w:sz w:val="25"/>
                <w:szCs w:val="25"/>
                <w:b w:val="1"/>
                <w:bCs w:val="1"/>
                <w:color w:val="FF7F32"/>
              </w:rPr>
              <w:t>“FOR”</w:t>
            </w:r>
          </w:p>
        </w:tc>
        <w:tc>
          <w:tcPr>
            <w:tcW w:w="1260" w:type="dxa"/>
            <w:vAlign w:val="bottom"/>
          </w:tcPr>
          <w:p>
            <w:pPr>
              <w:jc w:val="center"/>
              <w:spacing w:after="0"/>
              <w:rPr>
                <w:sz w:val="20"/>
                <w:szCs w:val="20"/>
                <w:color w:val="auto"/>
              </w:rPr>
            </w:pPr>
            <w:r>
              <w:rPr>
                <w:rFonts w:ascii="Arial" w:cs="Arial" w:eastAsia="Arial" w:hAnsi="Arial"/>
                <w:sz w:val="14"/>
                <w:szCs w:val="14"/>
                <w:color w:val="auto"/>
              </w:rPr>
              <w:t>Page 15</w:t>
            </w:r>
          </w:p>
        </w:tc>
        <w:tc>
          <w:tcPr>
            <w:tcW w:w="0" w:type="dxa"/>
            <w:vAlign w:val="bottom"/>
          </w:tcPr>
          <w:p>
            <w:pPr>
              <w:spacing w:after="0"/>
              <w:rPr>
                <w:sz w:val="1"/>
                <w:szCs w:val="1"/>
                <w:color w:val="auto"/>
              </w:rPr>
            </w:pPr>
          </w:p>
        </w:tc>
      </w:tr>
      <w:tr>
        <w:trPr>
          <w:trHeight w:val="190"/>
        </w:trPr>
        <w:tc>
          <w:tcPr>
            <w:tcW w:w="660" w:type="dxa"/>
            <w:vAlign w:val="bottom"/>
            <w:vMerge w:val="continue"/>
          </w:tcPr>
          <w:p>
            <w:pPr>
              <w:spacing w:after="0"/>
              <w:rPr>
                <w:sz w:val="16"/>
                <w:szCs w:val="16"/>
                <w:color w:val="auto"/>
              </w:rPr>
            </w:pPr>
          </w:p>
        </w:tc>
        <w:tc>
          <w:tcPr>
            <w:tcW w:w="7440" w:type="dxa"/>
            <w:vAlign w:val="bottom"/>
          </w:tcPr>
          <w:p>
            <w:pPr>
              <w:ind w:left="20"/>
              <w:spacing w:after="0"/>
              <w:rPr>
                <w:sz w:val="20"/>
                <w:szCs w:val="20"/>
                <w:color w:val="auto"/>
              </w:rPr>
            </w:pPr>
            <w:r>
              <w:rPr>
                <w:rFonts w:ascii="Arial" w:cs="Arial" w:eastAsia="Arial" w:hAnsi="Arial"/>
                <w:sz w:val="14"/>
                <w:szCs w:val="14"/>
                <w:color w:val="auto"/>
              </w:rPr>
              <w:t>of Shareholders.</w:t>
            </w:r>
          </w:p>
        </w:tc>
        <w:tc>
          <w:tcPr>
            <w:tcW w:w="1880" w:type="dxa"/>
            <w:vAlign w:val="bottom"/>
            <w:vMerge w:val="restart"/>
            <w:shd w:val="clear" w:color="auto" w:fill="EBEBEB"/>
          </w:tcPr>
          <w:p>
            <w:pPr>
              <w:jc w:val="center"/>
              <w:spacing w:after="0"/>
              <w:rPr>
                <w:sz w:val="20"/>
                <w:szCs w:val="20"/>
                <w:color w:val="auto"/>
              </w:rPr>
            </w:pPr>
            <w:r>
              <w:rPr>
                <w:rFonts w:ascii="Arial" w:cs="Arial" w:eastAsia="Arial" w:hAnsi="Arial"/>
                <w:sz w:val="14"/>
                <w:szCs w:val="14"/>
                <w:color w:val="auto"/>
              </w:rPr>
              <w:t>each director nominee</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660" w:type="dxa"/>
            <w:vAlign w:val="bottom"/>
            <w:vMerge w:val="continue"/>
          </w:tcPr>
          <w:p>
            <w:pPr>
              <w:spacing w:after="0"/>
              <w:rPr>
                <w:sz w:val="12"/>
                <w:szCs w:val="12"/>
                <w:color w:val="auto"/>
              </w:rPr>
            </w:pPr>
          </w:p>
        </w:tc>
        <w:tc>
          <w:tcPr>
            <w:tcW w:w="7440" w:type="dxa"/>
            <w:vAlign w:val="bottom"/>
          </w:tcPr>
          <w:p>
            <w:pPr>
              <w:spacing w:after="0"/>
              <w:rPr>
                <w:sz w:val="12"/>
                <w:szCs w:val="12"/>
                <w:color w:val="auto"/>
              </w:rPr>
            </w:pPr>
          </w:p>
        </w:tc>
        <w:tc>
          <w:tcPr>
            <w:tcW w:w="1880" w:type="dxa"/>
            <w:vAlign w:val="bottom"/>
            <w:tcBorders>
              <w:bottom w:val="single" w:sz="8" w:color="EBEBEB"/>
            </w:tcBorders>
            <w:vMerge w:val="continue"/>
            <w:shd w:val="clear" w:color="auto" w:fill="EBEBEB"/>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9"/>
        </w:trPr>
        <w:tc>
          <w:tcPr>
            <w:tcW w:w="660" w:type="dxa"/>
            <w:vAlign w:val="bottom"/>
            <w:tcBorders>
              <w:top w:val="single" w:sz="8" w:color="D9D9D9"/>
            </w:tcBorders>
          </w:tcPr>
          <w:p>
            <w:pPr>
              <w:ind w:left="20"/>
              <w:spacing w:after="0"/>
              <w:rPr>
                <w:sz w:val="20"/>
                <w:szCs w:val="20"/>
                <w:color w:val="auto"/>
              </w:rPr>
            </w:pPr>
            <w:r>
              <w:rPr>
                <w:rFonts w:ascii="Arial" w:cs="Arial" w:eastAsia="Arial" w:hAnsi="Arial"/>
                <w:sz w:val="45"/>
                <w:szCs w:val="45"/>
                <w:color w:val="5576D1"/>
              </w:rPr>
              <w:t>2</w:t>
            </w:r>
          </w:p>
        </w:tc>
        <w:tc>
          <w:tcPr>
            <w:tcW w:w="7440" w:type="dxa"/>
            <w:vAlign w:val="bottom"/>
            <w:tcBorders>
              <w:top w:val="single" w:sz="8" w:color="D9D9D9"/>
            </w:tcBorders>
          </w:tcPr>
          <w:p>
            <w:pPr>
              <w:ind w:left="20"/>
              <w:spacing w:after="0"/>
              <w:rPr>
                <w:sz w:val="20"/>
                <w:szCs w:val="20"/>
                <w:color w:val="auto"/>
              </w:rPr>
            </w:pPr>
            <w:r>
              <w:rPr>
                <w:rFonts w:ascii="Arial" w:cs="Arial" w:eastAsia="Arial" w:hAnsi="Arial"/>
                <w:sz w:val="14"/>
                <w:szCs w:val="14"/>
                <w:color w:val="auto"/>
              </w:rPr>
              <w:t>Approval, on an advisory basis, of the compensation of the Company’s named executive officers.</w:t>
            </w:r>
          </w:p>
        </w:tc>
        <w:tc>
          <w:tcPr>
            <w:tcW w:w="1880" w:type="dxa"/>
            <w:vAlign w:val="bottom"/>
            <w:tcBorders>
              <w:top w:val="single" w:sz="8" w:color="D9D9D9"/>
              <w:bottom w:val="single" w:sz="8" w:color="EBEBEB"/>
            </w:tcBorders>
            <w:shd w:val="clear" w:color="auto" w:fill="EBEBEB"/>
          </w:tcPr>
          <w:p>
            <w:pPr>
              <w:jc w:val="center"/>
              <w:spacing w:after="0"/>
              <w:rPr>
                <w:sz w:val="20"/>
                <w:szCs w:val="20"/>
                <w:color w:val="auto"/>
              </w:rPr>
            </w:pPr>
            <w:r>
              <w:rPr>
                <w:rFonts w:ascii="Arial" w:cs="Arial" w:eastAsia="Arial" w:hAnsi="Arial"/>
                <w:sz w:val="25"/>
                <w:szCs w:val="25"/>
                <w:b w:val="1"/>
                <w:bCs w:val="1"/>
                <w:color w:val="FF7F32"/>
              </w:rPr>
              <w:t>“FOR”</w:t>
            </w:r>
          </w:p>
        </w:tc>
        <w:tc>
          <w:tcPr>
            <w:tcW w:w="1260" w:type="dxa"/>
            <w:vAlign w:val="bottom"/>
            <w:tcBorders>
              <w:top w:val="single" w:sz="8" w:color="D9D9D9"/>
            </w:tcBorders>
          </w:tcPr>
          <w:p>
            <w:pPr>
              <w:jc w:val="center"/>
              <w:spacing w:after="0"/>
              <w:rPr>
                <w:sz w:val="20"/>
                <w:szCs w:val="20"/>
                <w:color w:val="auto"/>
              </w:rPr>
            </w:pPr>
            <w:r>
              <w:rPr>
                <w:rFonts w:ascii="Arial" w:cs="Arial" w:eastAsia="Arial" w:hAnsi="Arial"/>
                <w:sz w:val="14"/>
                <w:szCs w:val="14"/>
                <w:color w:val="auto"/>
              </w:rPr>
              <w:t>Page 47</w:t>
            </w:r>
          </w:p>
        </w:tc>
        <w:tc>
          <w:tcPr>
            <w:tcW w:w="0" w:type="dxa"/>
            <w:vAlign w:val="bottom"/>
          </w:tcPr>
          <w:p>
            <w:pPr>
              <w:spacing w:after="0"/>
              <w:rPr>
                <w:sz w:val="1"/>
                <w:szCs w:val="1"/>
                <w:color w:val="auto"/>
              </w:rPr>
            </w:pPr>
          </w:p>
        </w:tc>
      </w:tr>
      <w:tr>
        <w:trPr>
          <w:trHeight w:val="322"/>
        </w:trPr>
        <w:tc>
          <w:tcPr>
            <w:tcW w:w="660" w:type="dxa"/>
            <w:vAlign w:val="bottom"/>
            <w:tcBorders>
              <w:top w:val="single" w:sz="8" w:color="D9D9D9"/>
            </w:tcBorders>
            <w:vMerge w:val="restart"/>
          </w:tcPr>
          <w:p>
            <w:pPr>
              <w:ind w:left="20"/>
              <w:spacing w:after="0"/>
              <w:rPr>
                <w:sz w:val="20"/>
                <w:szCs w:val="20"/>
                <w:color w:val="auto"/>
              </w:rPr>
            </w:pPr>
            <w:r>
              <w:rPr>
                <w:rFonts w:ascii="Arial" w:cs="Arial" w:eastAsia="Arial" w:hAnsi="Arial"/>
                <w:sz w:val="45"/>
                <w:szCs w:val="45"/>
                <w:color w:val="5576D1"/>
              </w:rPr>
              <w:t>3</w:t>
            </w:r>
          </w:p>
        </w:tc>
        <w:tc>
          <w:tcPr>
            <w:tcW w:w="7440" w:type="dxa"/>
            <w:vAlign w:val="bottom"/>
            <w:tcBorders>
              <w:top w:val="single" w:sz="8" w:color="D9D9D9"/>
            </w:tcBorders>
          </w:tcPr>
          <w:p>
            <w:pPr>
              <w:ind w:left="20"/>
              <w:spacing w:after="0"/>
              <w:rPr>
                <w:sz w:val="20"/>
                <w:szCs w:val="20"/>
                <w:color w:val="auto"/>
              </w:rPr>
            </w:pPr>
            <w:r>
              <w:rPr>
                <w:rFonts w:ascii="Arial" w:cs="Arial" w:eastAsia="Arial" w:hAnsi="Arial"/>
                <w:sz w:val="14"/>
                <w:szCs w:val="14"/>
                <w:color w:val="auto"/>
              </w:rPr>
              <w:t>Ratification of the appointment of Deloitte &amp; Touche LLP (“Deloitte”) as the Company’s independent registered</w:t>
            </w:r>
          </w:p>
        </w:tc>
        <w:tc>
          <w:tcPr>
            <w:tcW w:w="1880" w:type="dxa"/>
            <w:vAlign w:val="bottom"/>
            <w:tcBorders>
              <w:top w:val="single" w:sz="8" w:color="D9D9D9"/>
            </w:tcBorders>
            <w:vMerge w:val="restart"/>
            <w:shd w:val="clear" w:color="auto" w:fill="EBEBEB"/>
          </w:tcPr>
          <w:p>
            <w:pPr>
              <w:jc w:val="center"/>
              <w:spacing w:after="0"/>
              <w:rPr>
                <w:sz w:val="20"/>
                <w:szCs w:val="20"/>
                <w:color w:val="auto"/>
              </w:rPr>
            </w:pPr>
            <w:r>
              <w:rPr>
                <w:rFonts w:ascii="Arial" w:cs="Arial" w:eastAsia="Arial" w:hAnsi="Arial"/>
                <w:sz w:val="25"/>
                <w:szCs w:val="25"/>
                <w:b w:val="1"/>
                <w:bCs w:val="1"/>
                <w:color w:val="FF7F32"/>
              </w:rPr>
              <w:t>“FOR”</w:t>
            </w:r>
          </w:p>
        </w:tc>
        <w:tc>
          <w:tcPr>
            <w:tcW w:w="1260" w:type="dxa"/>
            <w:vAlign w:val="bottom"/>
            <w:tcBorders>
              <w:top w:val="single" w:sz="8" w:color="D9D9D9"/>
            </w:tcBorders>
            <w:vMerge w:val="restart"/>
          </w:tcPr>
          <w:p>
            <w:pPr>
              <w:jc w:val="center"/>
              <w:spacing w:after="0"/>
              <w:rPr>
                <w:sz w:val="20"/>
                <w:szCs w:val="20"/>
                <w:color w:val="auto"/>
              </w:rPr>
            </w:pPr>
            <w:r>
              <w:rPr>
                <w:rFonts w:ascii="Arial" w:cs="Arial" w:eastAsia="Arial" w:hAnsi="Arial"/>
                <w:sz w:val="14"/>
                <w:szCs w:val="14"/>
                <w:color w:val="auto"/>
              </w:rPr>
              <w:t>Page 77</w:t>
            </w:r>
          </w:p>
        </w:tc>
        <w:tc>
          <w:tcPr>
            <w:tcW w:w="0" w:type="dxa"/>
            <w:vAlign w:val="bottom"/>
          </w:tcPr>
          <w:p>
            <w:pPr>
              <w:spacing w:after="0"/>
              <w:rPr>
                <w:sz w:val="1"/>
                <w:szCs w:val="1"/>
                <w:color w:val="auto"/>
              </w:rPr>
            </w:pPr>
          </w:p>
        </w:tc>
      </w:tr>
      <w:tr>
        <w:trPr>
          <w:trHeight w:val="96"/>
        </w:trPr>
        <w:tc>
          <w:tcPr>
            <w:tcW w:w="660" w:type="dxa"/>
            <w:vAlign w:val="bottom"/>
            <w:vMerge w:val="continue"/>
          </w:tcPr>
          <w:p>
            <w:pPr>
              <w:spacing w:after="0"/>
              <w:rPr>
                <w:sz w:val="8"/>
                <w:szCs w:val="8"/>
                <w:color w:val="auto"/>
              </w:rPr>
            </w:pPr>
          </w:p>
        </w:tc>
        <w:tc>
          <w:tcPr>
            <w:tcW w:w="7440" w:type="dxa"/>
            <w:vAlign w:val="bottom"/>
            <w:vMerge w:val="restart"/>
          </w:tcPr>
          <w:p>
            <w:pPr>
              <w:ind w:left="20"/>
              <w:spacing w:after="0"/>
              <w:rPr>
                <w:sz w:val="20"/>
                <w:szCs w:val="20"/>
                <w:color w:val="auto"/>
              </w:rPr>
            </w:pPr>
            <w:r>
              <w:rPr>
                <w:rFonts w:ascii="Arial" w:cs="Arial" w:eastAsia="Arial" w:hAnsi="Arial"/>
                <w:sz w:val="14"/>
                <w:szCs w:val="14"/>
                <w:color w:val="auto"/>
              </w:rPr>
              <w:t>public accountants for the fiscal year ending June 30, 2026.</w:t>
            </w:r>
          </w:p>
        </w:tc>
        <w:tc>
          <w:tcPr>
            <w:tcW w:w="1880" w:type="dxa"/>
            <w:vAlign w:val="bottom"/>
            <w:vMerge w:val="continue"/>
            <w:shd w:val="clear" w:color="auto" w:fill="EBEBEB"/>
          </w:tcPr>
          <w:p>
            <w:pPr>
              <w:spacing w:after="0"/>
              <w:rPr>
                <w:sz w:val="8"/>
                <w:szCs w:val="8"/>
                <w:color w:val="auto"/>
              </w:rPr>
            </w:pPr>
          </w:p>
        </w:tc>
        <w:tc>
          <w:tcPr>
            <w:tcW w:w="1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660" w:type="dxa"/>
            <w:vAlign w:val="bottom"/>
            <w:vMerge w:val="continue"/>
          </w:tcPr>
          <w:p>
            <w:pPr>
              <w:spacing w:after="0"/>
              <w:rPr>
                <w:sz w:val="20"/>
                <w:szCs w:val="20"/>
                <w:color w:val="auto"/>
              </w:rPr>
            </w:pPr>
          </w:p>
        </w:tc>
        <w:tc>
          <w:tcPr>
            <w:tcW w:w="7440" w:type="dxa"/>
            <w:vAlign w:val="bottom"/>
            <w:vMerge w:val="continue"/>
          </w:tcPr>
          <w:p>
            <w:pPr>
              <w:spacing w:after="0"/>
              <w:rPr>
                <w:sz w:val="20"/>
                <w:szCs w:val="20"/>
                <w:color w:val="auto"/>
              </w:rPr>
            </w:pPr>
          </w:p>
        </w:tc>
        <w:tc>
          <w:tcPr>
            <w:tcW w:w="1880" w:type="dxa"/>
            <w:vAlign w:val="bottom"/>
            <w:tcBorders>
              <w:bottom w:val="single" w:sz="8" w:color="EBEBEB"/>
            </w:tcBorders>
            <w:vMerge w:val="continue"/>
            <w:shd w:val="clear" w:color="auto" w:fill="EBEBEB"/>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D9D9D9"/>
          </w:tcPr>
          <w:p>
            <w:pPr>
              <w:spacing w:after="0" w:line="20" w:lineRule="exact"/>
              <w:rPr>
                <w:sz w:val="1"/>
                <w:szCs w:val="1"/>
                <w:color w:val="auto"/>
              </w:rPr>
            </w:pPr>
          </w:p>
        </w:tc>
        <w:tc>
          <w:tcPr>
            <w:tcW w:w="7440" w:type="dxa"/>
            <w:vAlign w:val="bottom"/>
            <w:shd w:val="clear" w:color="auto" w:fill="D9D9D9"/>
          </w:tcPr>
          <w:p>
            <w:pPr>
              <w:spacing w:after="0" w:line="20" w:lineRule="exact"/>
              <w:rPr>
                <w:sz w:val="1"/>
                <w:szCs w:val="1"/>
                <w:color w:val="auto"/>
              </w:rPr>
            </w:pPr>
          </w:p>
        </w:tc>
        <w:tc>
          <w:tcPr>
            <w:tcW w:w="1880" w:type="dxa"/>
            <w:vAlign w:val="bottom"/>
            <w:shd w:val="clear" w:color="auto" w:fill="D9D9D9"/>
          </w:tcPr>
          <w:p>
            <w:pPr>
              <w:spacing w:after="0" w:line="20" w:lineRule="exact"/>
              <w:rPr>
                <w:sz w:val="1"/>
                <w:szCs w:val="1"/>
                <w:color w:val="auto"/>
              </w:rPr>
            </w:pPr>
          </w:p>
        </w:tc>
        <w:tc>
          <w:tcPr>
            <w:tcW w:w="1260" w:type="dxa"/>
            <w:vAlign w:val="bottom"/>
            <w:shd w:val="clear" w:color="auto" w:fill="D9D9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Any other business as may properly come before the meeting or any adjournment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29"/>
          <w:szCs w:val="29"/>
          <w:b w:val="1"/>
          <w:bCs w:val="1"/>
          <w:color w:val="FF7F32"/>
        </w:rPr>
        <w:t>Participating in the Meeting</w:t>
      </w:r>
    </w:p>
    <w:p>
      <w:pPr>
        <w:spacing w:after="0" w:line="137" w:lineRule="exact"/>
        <w:rPr>
          <w:sz w:val="20"/>
          <w:szCs w:val="20"/>
          <w:color w:val="auto"/>
        </w:rPr>
      </w:pPr>
    </w:p>
    <w:p>
      <w:pPr>
        <w:ind w:right="380"/>
        <w:spacing w:after="0" w:line="325" w:lineRule="auto"/>
        <w:rPr>
          <w:sz w:val="20"/>
          <w:szCs w:val="20"/>
          <w:color w:val="auto"/>
        </w:rPr>
      </w:pPr>
      <w:r>
        <w:rPr>
          <w:rFonts w:ascii="Arial" w:cs="Arial" w:eastAsia="Arial" w:hAnsi="Arial"/>
          <w:sz w:val="14"/>
          <w:szCs w:val="14"/>
          <w:color w:val="auto"/>
        </w:rPr>
        <w:t xml:space="preserve">You may vote during the Annual Meeting by visiting </w:t>
      </w:r>
      <w:r>
        <w:rPr>
          <w:rFonts w:ascii="Arial" w:cs="Arial" w:eastAsia="Arial" w:hAnsi="Arial"/>
          <w:sz w:val="14"/>
          <w:szCs w:val="14"/>
          <w:i w:val="1"/>
          <w:iCs w:val="1"/>
          <w:color w:val="auto"/>
        </w:rPr>
        <w:t>www.virtualshareholdermeeting.com/CTLP2026</w:t>
      </w:r>
      <w:r>
        <w:rPr>
          <w:rFonts w:ascii="Arial" w:cs="Arial" w:eastAsia="Arial" w:hAnsi="Arial"/>
          <w:sz w:val="14"/>
          <w:szCs w:val="14"/>
          <w:color w:val="auto"/>
        </w:rPr>
        <w:t>. To participate in the Annual Meeting, you must have your sixteen-digit control number located on your notice, on your proxy card or on the instructions that accompanied your proxy materials.</w:t>
      </w:r>
    </w:p>
    <w:p>
      <w:pPr>
        <w:spacing w:after="0" w:line="12" w:lineRule="exact"/>
        <w:rPr>
          <w:sz w:val="20"/>
          <w:szCs w:val="20"/>
          <w:color w:val="auto"/>
        </w:rPr>
      </w:pPr>
    </w:p>
    <w:p>
      <w:pPr>
        <w:spacing w:after="0"/>
        <w:rPr>
          <w:sz w:val="20"/>
          <w:szCs w:val="20"/>
          <w:color w:val="auto"/>
        </w:rPr>
      </w:pPr>
      <w:r>
        <w:rPr>
          <w:rFonts w:ascii="Arial" w:cs="Arial" w:eastAsia="Arial" w:hAnsi="Arial"/>
          <w:sz w:val="29"/>
          <w:szCs w:val="29"/>
          <w:b w:val="1"/>
          <w:bCs w:val="1"/>
          <w:color w:val="FF7F32"/>
        </w:rPr>
        <w:t>Date of Mailing</w:t>
      </w:r>
    </w:p>
    <w:p>
      <w:pPr>
        <w:spacing w:after="0" w:line="137" w:lineRule="exact"/>
        <w:rPr>
          <w:sz w:val="20"/>
          <w:szCs w:val="20"/>
          <w:color w:val="auto"/>
        </w:rPr>
      </w:pPr>
    </w:p>
    <w:p>
      <w:pPr>
        <w:ind w:right="180"/>
        <w:spacing w:after="0" w:line="305" w:lineRule="auto"/>
        <w:rPr>
          <w:sz w:val="20"/>
          <w:szCs w:val="20"/>
          <w:color w:val="auto"/>
        </w:rPr>
      </w:pPr>
      <w:r>
        <w:rPr>
          <w:rFonts w:ascii="Arial" w:cs="Arial" w:eastAsia="Arial" w:hAnsi="Arial"/>
          <w:sz w:val="14"/>
          <w:szCs w:val="14"/>
          <w:color w:val="auto"/>
        </w:rPr>
        <w:t>We will commence mailing the notice of Internet availability of proxy materials, or a proxy statement, proxy card and Annual Report on Form 10-K, to shareholders on October 10, 2025.</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88315" cy="2825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88315"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b w:val="1"/>
          <w:bCs w:val="1"/>
          <w:color w:val="FF7F32"/>
        </w:rPr>
        <w:t>Ravi Venkatesan</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CEO</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October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121920</wp:posOffset>
            </wp:positionV>
            <wp:extent cx="925830" cy="2660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25830" cy="266065"/>
                    </a:xfrm>
                    <a:prstGeom prst="rect">
                      <a:avLst/>
                    </a:prstGeom>
                    <a:noFill/>
                  </pic:spPr>
                </pic:pic>
              </a:graphicData>
            </a:graphic>
          </wp:anchor>
        </w:drawing>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220" w:type="dxa"/>
            <w:vAlign w:val="bottom"/>
          </w:tcPr>
          <w:p>
            <w:pPr>
              <w:ind w:left="20"/>
              <w:spacing w:after="0"/>
              <w:rPr>
                <w:sz w:val="20"/>
                <w:szCs w:val="20"/>
                <w:color w:val="auto"/>
              </w:rPr>
            </w:pPr>
            <w:r>
              <w:rPr>
                <w:rFonts w:ascii="Arial" w:cs="Arial" w:eastAsia="Arial" w:hAnsi="Arial"/>
                <w:sz w:val="13"/>
                <w:szCs w:val="13"/>
                <w:b w:val="1"/>
                <w:bCs w:val="1"/>
                <w:color w:val="FF7F32"/>
              </w:rPr>
              <w:t xml:space="preserve">2026 </w:t>
            </w:r>
            <w:r>
              <w:rPr>
                <w:rFonts w:ascii="Arial" w:cs="Arial" w:eastAsia="Arial" w:hAnsi="Arial"/>
                <w:sz w:val="13"/>
                <w:szCs w:val="13"/>
                <w:color w:val="000000"/>
              </w:rPr>
              <w:t>Proxy Statement</w:t>
            </w:r>
          </w:p>
        </w:tc>
        <w:tc>
          <w:tcPr>
            <w:tcW w:w="5020" w:type="dxa"/>
            <w:vAlign w:val="bottom"/>
          </w:tcPr>
          <w:p>
            <w:pPr>
              <w:jc w:val="right"/>
              <w:spacing w:after="0"/>
              <w:rPr>
                <w:sz w:val="20"/>
                <w:szCs w:val="20"/>
                <w:color w:val="auto"/>
              </w:rPr>
            </w:pPr>
            <w:r>
              <w:rPr>
                <w:rFonts w:ascii="Arial" w:cs="Arial" w:eastAsia="Arial" w:hAnsi="Arial"/>
                <w:sz w:val="13"/>
                <w:szCs w:val="13"/>
                <w:b w:val="1"/>
                <w:bCs w:val="1"/>
                <w:color w:val="auto"/>
              </w:rPr>
              <w:t>3</w:t>
            </w:r>
          </w:p>
        </w:tc>
      </w:tr>
      <w:tr>
        <w:trPr>
          <w:trHeight w:val="676"/>
        </w:trPr>
        <w:tc>
          <w:tcPr>
            <w:tcW w:w="6220" w:type="dxa"/>
            <w:vAlign w:val="bottom"/>
            <w:tcBorders>
              <w:bottom w:val="single" w:sz="8" w:color="9A9A9A"/>
            </w:tcBorders>
          </w:tcPr>
          <w:p>
            <w:pPr>
              <w:spacing w:after="0"/>
              <w:rPr>
                <w:sz w:val="24"/>
                <w:szCs w:val="24"/>
                <w:color w:val="auto"/>
              </w:rPr>
            </w:pPr>
          </w:p>
        </w:tc>
        <w:tc>
          <w:tcPr>
            <w:tcW w:w="5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 w:name="page7"/>
    <w:bookmarkEnd w:id="6"/>
    <w:p>
      <w:pPr>
        <w:spacing w:after="0"/>
        <w:rPr>
          <w:sz w:val="20"/>
          <w:szCs w:val="20"/>
          <w:color w:val="auto"/>
        </w:rPr>
      </w:pPr>
      <w:r>
        <w:rPr>
          <w:rFonts w:ascii="Arial" w:cs="Arial" w:eastAsia="Arial" w:hAnsi="Arial"/>
          <w:sz w:val="12"/>
          <w:szCs w:val="12"/>
          <w:color w:val="auto"/>
        </w:rPr>
        <w:t>Notice of 2026 Annual Meeting of Shareholders to be Held Wednesday, November 19,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9"/>
          <w:szCs w:val="29"/>
          <w:b w:val="1"/>
          <w:bCs w:val="1"/>
          <w:color w:val="FF7F32"/>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132320" cy="11404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140460"/>
                    </a:xfrm>
                    <a:prstGeom prst="rect">
                      <a:avLst/>
                    </a:prstGeom>
                    <a:noFill/>
                  </pic:spPr>
                </pic:pic>
              </a:graphicData>
            </a:graphic>
          </wp:anchor>
        </w:drawing>
      </w:r>
    </w:p>
    <w:p>
      <w:pPr>
        <w:sectPr>
          <w:pgSz w:w="11900" w:h="16838" w:orient="portrait"/>
          <w:cols w:equalWidth="0" w:num="1">
            <w:col w:w="11220"/>
          </w:cols>
          <w:pgMar w:left="320" w:top="25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202945"/>
        </w:rPr>
        <w:t>Internet</w:t>
      </w:r>
    </w:p>
    <w:p>
      <w:pPr>
        <w:spacing w:after="0" w:line="66" w:lineRule="exact"/>
        <w:rPr>
          <w:sz w:val="20"/>
          <w:szCs w:val="20"/>
          <w:color w:val="auto"/>
        </w:rPr>
      </w:pPr>
    </w:p>
    <w:p>
      <w:pPr>
        <w:ind w:left="220"/>
        <w:spacing w:after="0" w:line="302" w:lineRule="auto"/>
        <w:rPr>
          <w:sz w:val="20"/>
          <w:szCs w:val="20"/>
          <w:color w:val="auto"/>
        </w:rPr>
      </w:pPr>
      <w:r>
        <w:rPr>
          <w:rFonts w:ascii="Arial" w:cs="Arial" w:eastAsia="Arial" w:hAnsi="Arial"/>
          <w:sz w:val="14"/>
          <w:szCs w:val="14"/>
          <w:i w:val="1"/>
          <w:iCs w:val="1"/>
          <w:color w:val="auto"/>
        </w:rPr>
        <w:t>Before the meeting: www.proxyvote.com or scan the QR code located on the proxy card</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During the meeting: virtualshareholdermeeting.com/CTLP2026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b w:val="1"/>
          <w:bCs w:val="1"/>
          <w:color w:val="202945"/>
        </w:rPr>
        <w:t>Phone</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1-800-690-6903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b w:val="1"/>
          <w:bCs w:val="1"/>
          <w:color w:val="202945"/>
        </w:rPr>
        <w:t>Mail</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sign, date and mail your proxy card in the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envelope provided</w:t>
      </w:r>
    </w:p>
    <w:p>
      <w:pPr>
        <w:spacing w:after="0" w:line="377" w:lineRule="exact"/>
        <w:rPr>
          <w:sz w:val="20"/>
          <w:szCs w:val="20"/>
          <w:color w:val="auto"/>
        </w:rPr>
      </w:pPr>
    </w:p>
    <w:p>
      <w:pPr>
        <w:sectPr>
          <w:pgSz w:w="11900" w:h="16838" w:orient="portrait"/>
          <w:cols w:equalWidth="0" w:num="3">
            <w:col w:w="4660" w:space="180"/>
            <w:col w:w="2400" w:space="720"/>
            <w:col w:w="3260"/>
          </w:cols>
          <w:pgMar w:left="320" w:top="257" w:right="359" w:bottom="1440" w:gutter="0" w:footer="0" w:header="0"/>
          <w:type w:val="continuous"/>
        </w:sectPr>
      </w:pP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Important Notice regarding the availability of proxy materials: the proxy statement and form of proxy card are available at: </w:t>
      </w:r>
      <w:r>
        <w:rPr>
          <w:rFonts w:ascii="Arial" w:cs="Arial" w:eastAsia="Arial" w:hAnsi="Arial"/>
          <w:sz w:val="14"/>
          <w:szCs w:val="14"/>
          <w:b w:val="1"/>
          <w:bCs w:val="1"/>
          <w:i w:val="1"/>
          <w:iCs w:val="1"/>
          <w:color w:val="auto"/>
        </w:rPr>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289560</wp:posOffset>
            </wp:positionV>
            <wp:extent cx="925830" cy="2654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25830" cy="26543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auto"/>
        </w:rPr>
        <w:t>4</w:t>
      </w:r>
      <w:r>
        <w:rPr>
          <w:sz w:val="20"/>
          <w:szCs w:val="20"/>
          <w:color w:val="auto"/>
        </w:rPr>
        <w:tab/>
      </w:r>
      <w:r>
        <w:rPr>
          <w:rFonts w:ascii="Arial" w:cs="Arial" w:eastAsia="Arial" w:hAnsi="Arial"/>
          <w:sz w:val="12"/>
          <w:szCs w:val="12"/>
          <w:b w:val="1"/>
          <w:bCs w:val="1"/>
          <w:color w:val="FF7F32"/>
        </w:rPr>
        <w:t xml:space="preserve">2026 </w:t>
      </w:r>
      <w:r>
        <w:rPr>
          <w:rFonts w:ascii="Arial" w:cs="Arial" w:eastAsia="Arial" w:hAnsi="Arial"/>
          <w:sz w:val="12"/>
          <w:szCs w:val="12"/>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7" w:right="359" w:bottom="1440" w:gutter="0" w:footer="0" w:header="0"/>
          <w:type w:val="continuous"/>
        </w:sectPr>
      </w:pPr>
    </w:p>
    <w:bookmarkStart w:id="7" w:name="page8"/>
    <w:bookmarkEnd w:id="7"/>
    <w:p>
      <w:pPr>
        <w:spacing w:after="0"/>
        <w:rPr>
          <w:sz w:val="20"/>
          <w:szCs w:val="20"/>
          <w:color w:val="auto"/>
        </w:rPr>
      </w:pPr>
      <w:r>
        <w:rPr>
          <w:rFonts w:ascii="Arial" w:cs="Arial" w:eastAsia="Arial" w:hAnsi="Arial"/>
          <w:sz w:val="50"/>
          <w:szCs w:val="50"/>
          <w:b w:val="1"/>
          <w:bCs w:val="1"/>
          <w:color w:val="FF7F32"/>
        </w:rPr>
        <w:t>Fiscal Year 2025 Performance Highlights</w:t>
      </w:r>
    </w:p>
    <w:p>
      <w:pPr>
        <w:spacing w:after="0" w:line="132" w:lineRule="exact"/>
        <w:rPr>
          <w:sz w:val="20"/>
          <w:szCs w:val="20"/>
          <w:color w:val="auto"/>
        </w:rPr>
      </w:pPr>
    </w:p>
    <w:p>
      <w:pPr>
        <w:spacing w:after="0"/>
        <w:rPr>
          <w:sz w:val="20"/>
          <w:szCs w:val="20"/>
          <w:color w:val="auto"/>
        </w:rPr>
      </w:pPr>
      <w:r>
        <w:rPr>
          <w:rFonts w:ascii="Arial" w:cs="Arial" w:eastAsia="Arial" w:hAnsi="Arial"/>
          <w:sz w:val="32"/>
          <w:szCs w:val="32"/>
          <w:b w:val="1"/>
          <w:bCs w:val="1"/>
          <w:color w:val="202945"/>
        </w:rPr>
        <w:t>Overview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Cantaloupe has a combination of subscription, transaction, and equipment revenues.</w:t>
      </w:r>
    </w:p>
    <w:p>
      <w:pPr>
        <w:spacing w:after="0" w:line="190" w:lineRule="exact"/>
        <w:rPr>
          <w:sz w:val="20"/>
          <w:szCs w:val="20"/>
          <w:color w:val="auto"/>
        </w:rPr>
      </w:pPr>
    </w:p>
    <w:tbl>
      <w:tblPr>
        <w:tblLayout w:type="fixed"/>
        <w:tblInd w:w="10" w:type="dxa"/>
        <w:tblCellMar>
          <w:top w:w="0" w:type="dxa"/>
          <w:left w:w="0" w:type="dxa"/>
          <w:bottom w:w="0" w:type="dxa"/>
          <w:right w:w="0" w:type="dxa"/>
        </w:tblCellMar>
      </w:tblPr>
      <w:tr>
        <w:trPr>
          <w:trHeight w:val="465"/>
        </w:trPr>
        <w:tc>
          <w:tcPr>
            <w:tcW w:w="3500" w:type="dxa"/>
            <w:vAlign w:val="bottom"/>
            <w:tcBorders>
              <w:left w:val="single" w:sz="8" w:color="202945"/>
            </w:tcBorders>
            <w:shd w:val="clear" w:color="auto" w:fill="202945"/>
          </w:tcPr>
          <w:p>
            <w:pPr>
              <w:jc w:val="center"/>
              <w:spacing w:after="0"/>
              <w:rPr>
                <w:sz w:val="20"/>
                <w:szCs w:val="20"/>
                <w:color w:val="auto"/>
              </w:rPr>
            </w:pPr>
            <w:r>
              <w:rPr>
                <w:rFonts w:ascii="Arial" w:cs="Arial" w:eastAsia="Arial" w:hAnsi="Arial"/>
                <w:sz w:val="16"/>
                <w:szCs w:val="16"/>
                <w:b w:val="1"/>
                <w:bCs w:val="1"/>
                <w:color w:val="FFFFFF"/>
              </w:rPr>
              <w:t>SUBSCRIPTION</w:t>
            </w:r>
          </w:p>
        </w:tc>
        <w:tc>
          <w:tcPr>
            <w:tcW w:w="340" w:type="dxa"/>
            <w:vAlign w:val="bottom"/>
          </w:tcPr>
          <w:p>
            <w:pPr>
              <w:spacing w:after="0"/>
              <w:rPr>
                <w:sz w:val="24"/>
                <w:szCs w:val="24"/>
                <w:color w:val="auto"/>
              </w:rPr>
            </w:pPr>
          </w:p>
        </w:tc>
        <w:tc>
          <w:tcPr>
            <w:tcW w:w="3540" w:type="dxa"/>
            <w:vAlign w:val="bottom"/>
            <w:shd w:val="clear" w:color="auto" w:fill="FF7F32"/>
          </w:tcPr>
          <w:p>
            <w:pPr>
              <w:jc w:val="center"/>
              <w:spacing w:after="0"/>
              <w:rPr>
                <w:sz w:val="20"/>
                <w:szCs w:val="20"/>
                <w:color w:val="auto"/>
              </w:rPr>
            </w:pPr>
            <w:r>
              <w:rPr>
                <w:rFonts w:ascii="Arial" w:cs="Arial" w:eastAsia="Arial" w:hAnsi="Arial"/>
                <w:sz w:val="16"/>
                <w:szCs w:val="16"/>
                <w:b w:val="1"/>
                <w:bCs w:val="1"/>
                <w:color w:val="FFFFFF"/>
              </w:rPr>
              <w:t>TRANSACTION</w:t>
            </w:r>
          </w:p>
        </w:tc>
        <w:tc>
          <w:tcPr>
            <w:tcW w:w="360" w:type="dxa"/>
            <w:vAlign w:val="bottom"/>
            <w:tcBorders>
              <w:right w:val="single" w:sz="8" w:color="5576D1"/>
            </w:tcBorders>
          </w:tcPr>
          <w:p>
            <w:pPr>
              <w:spacing w:after="0"/>
              <w:rPr>
                <w:sz w:val="24"/>
                <w:szCs w:val="24"/>
                <w:color w:val="auto"/>
              </w:rPr>
            </w:pPr>
          </w:p>
        </w:tc>
        <w:tc>
          <w:tcPr>
            <w:tcW w:w="3500" w:type="dxa"/>
            <w:vAlign w:val="bottom"/>
            <w:shd w:val="clear" w:color="auto" w:fill="5576D1"/>
          </w:tcPr>
          <w:p>
            <w:pPr>
              <w:jc w:val="center"/>
              <w:spacing w:after="0"/>
              <w:rPr>
                <w:sz w:val="20"/>
                <w:szCs w:val="20"/>
                <w:color w:val="auto"/>
              </w:rPr>
            </w:pPr>
            <w:r>
              <w:rPr>
                <w:rFonts w:ascii="Arial" w:cs="Arial" w:eastAsia="Arial" w:hAnsi="Arial"/>
                <w:sz w:val="16"/>
                <w:szCs w:val="16"/>
                <w:b w:val="1"/>
                <w:bCs w:val="1"/>
                <w:color w:val="FFFFFF"/>
              </w:rPr>
              <w:t>EQUIPMENT</w:t>
            </w:r>
          </w:p>
        </w:tc>
        <w:tc>
          <w:tcPr>
            <w:tcW w:w="20" w:type="dxa"/>
            <w:vAlign w:val="bottom"/>
          </w:tcPr>
          <w:p>
            <w:pPr>
              <w:spacing w:after="0"/>
              <w:rPr>
                <w:sz w:val="24"/>
                <w:szCs w:val="24"/>
                <w:color w:val="auto"/>
              </w:rPr>
            </w:pPr>
          </w:p>
        </w:tc>
      </w:tr>
      <w:tr>
        <w:trPr>
          <w:trHeight w:val="351"/>
        </w:trPr>
        <w:tc>
          <w:tcPr>
            <w:tcW w:w="3500" w:type="dxa"/>
            <w:vAlign w:val="bottom"/>
            <w:tcBorders>
              <w:left w:val="single" w:sz="8" w:color="202945"/>
            </w:tcBorders>
            <w:shd w:val="clear" w:color="auto" w:fill="202945"/>
          </w:tcPr>
          <w:p>
            <w:pPr>
              <w:jc w:val="center"/>
              <w:spacing w:after="0"/>
              <w:rPr>
                <w:sz w:val="20"/>
                <w:szCs w:val="20"/>
                <w:color w:val="auto"/>
              </w:rPr>
            </w:pPr>
            <w:r>
              <w:rPr>
                <w:rFonts w:ascii="Arial" w:cs="Arial" w:eastAsia="Arial" w:hAnsi="Arial"/>
                <w:sz w:val="16"/>
                <w:szCs w:val="16"/>
                <w:b w:val="1"/>
                <w:bCs w:val="1"/>
                <w:color w:val="FFFFFF"/>
              </w:rPr>
              <w:t xml:space="preserve">Software: </w:t>
            </w:r>
            <w:r>
              <w:rPr>
                <w:rFonts w:ascii="Arial" w:cs="Arial" w:eastAsia="Arial" w:hAnsi="Arial"/>
                <w:sz w:val="16"/>
                <w:szCs w:val="16"/>
                <w:color w:val="FFFFFF"/>
              </w:rPr>
              <w:t>Subscription for access to SEED</w:t>
            </w:r>
          </w:p>
        </w:tc>
        <w:tc>
          <w:tcPr>
            <w:tcW w:w="340" w:type="dxa"/>
            <w:vAlign w:val="bottom"/>
          </w:tcPr>
          <w:p>
            <w:pPr>
              <w:spacing w:after="0"/>
              <w:rPr>
                <w:sz w:val="24"/>
                <w:szCs w:val="24"/>
                <w:color w:val="auto"/>
              </w:rPr>
            </w:pPr>
          </w:p>
        </w:tc>
        <w:tc>
          <w:tcPr>
            <w:tcW w:w="3540" w:type="dxa"/>
            <w:vAlign w:val="bottom"/>
            <w:shd w:val="clear" w:color="auto" w:fill="FF7F32"/>
          </w:tcPr>
          <w:p>
            <w:pPr>
              <w:jc w:val="center"/>
              <w:spacing w:after="0"/>
              <w:rPr>
                <w:sz w:val="20"/>
                <w:szCs w:val="20"/>
                <w:color w:val="auto"/>
              </w:rPr>
            </w:pPr>
            <w:r>
              <w:rPr>
                <w:rFonts w:ascii="Arial" w:cs="Arial" w:eastAsia="Arial" w:hAnsi="Arial"/>
                <w:sz w:val="16"/>
                <w:szCs w:val="16"/>
                <w:b w:val="1"/>
                <w:bCs w:val="1"/>
                <w:color w:val="FFFFFF"/>
              </w:rPr>
              <w:t xml:space="preserve">Payments: </w:t>
            </w:r>
            <w:r>
              <w:rPr>
                <w:rFonts w:ascii="Arial" w:cs="Arial" w:eastAsia="Arial" w:hAnsi="Arial"/>
                <w:sz w:val="16"/>
                <w:szCs w:val="16"/>
                <w:color w:val="FFFFFF"/>
              </w:rPr>
              <w:t>fees associated with transaction</w:t>
            </w:r>
          </w:p>
        </w:tc>
        <w:tc>
          <w:tcPr>
            <w:tcW w:w="360" w:type="dxa"/>
            <w:vAlign w:val="bottom"/>
            <w:tcBorders>
              <w:right w:val="single" w:sz="8" w:color="5576D1"/>
            </w:tcBorders>
          </w:tcPr>
          <w:p>
            <w:pPr>
              <w:spacing w:after="0"/>
              <w:rPr>
                <w:sz w:val="24"/>
                <w:szCs w:val="24"/>
                <w:color w:val="auto"/>
              </w:rPr>
            </w:pPr>
          </w:p>
        </w:tc>
        <w:tc>
          <w:tcPr>
            <w:tcW w:w="3500" w:type="dxa"/>
            <w:vAlign w:val="bottom"/>
            <w:shd w:val="clear" w:color="auto" w:fill="5576D1"/>
          </w:tcPr>
          <w:p>
            <w:pPr>
              <w:jc w:val="center"/>
              <w:spacing w:after="0"/>
              <w:rPr>
                <w:sz w:val="20"/>
                <w:szCs w:val="20"/>
                <w:color w:val="auto"/>
              </w:rPr>
            </w:pPr>
            <w:r>
              <w:rPr>
                <w:rFonts w:ascii="Arial" w:cs="Arial" w:eastAsia="Arial" w:hAnsi="Arial"/>
                <w:sz w:val="16"/>
                <w:szCs w:val="16"/>
                <w:b w:val="1"/>
                <w:bCs w:val="1"/>
                <w:color w:val="FFFFFF"/>
              </w:rPr>
              <w:t xml:space="preserve">Equipment purchases: </w:t>
            </w:r>
            <w:r>
              <w:rPr>
                <w:rFonts w:ascii="Arial" w:cs="Arial" w:eastAsia="Arial" w:hAnsi="Arial"/>
                <w:sz w:val="16"/>
                <w:szCs w:val="16"/>
                <w:color w:val="FFFFFF"/>
              </w:rPr>
              <w:t>one time purchase</w:t>
            </w:r>
          </w:p>
        </w:tc>
        <w:tc>
          <w:tcPr>
            <w:tcW w:w="20" w:type="dxa"/>
            <w:vAlign w:val="bottom"/>
          </w:tcPr>
          <w:p>
            <w:pPr>
              <w:spacing w:after="0"/>
              <w:rPr>
                <w:sz w:val="24"/>
                <w:szCs w:val="24"/>
                <w:color w:val="auto"/>
              </w:rPr>
            </w:pPr>
          </w:p>
        </w:tc>
      </w:tr>
      <w:tr>
        <w:trPr>
          <w:trHeight w:val="235"/>
        </w:trPr>
        <w:tc>
          <w:tcPr>
            <w:tcW w:w="3500" w:type="dxa"/>
            <w:vAlign w:val="bottom"/>
            <w:tcBorders>
              <w:left w:val="single" w:sz="8" w:color="202945"/>
            </w:tcBorders>
            <w:shd w:val="clear" w:color="auto" w:fill="202945"/>
          </w:tcPr>
          <w:p>
            <w:pPr>
              <w:jc w:val="center"/>
              <w:spacing w:after="0"/>
              <w:rPr>
                <w:sz w:val="20"/>
                <w:szCs w:val="20"/>
                <w:color w:val="auto"/>
              </w:rPr>
            </w:pPr>
            <w:r>
              <w:rPr>
                <w:rFonts w:ascii="Arial" w:cs="Arial" w:eastAsia="Arial" w:hAnsi="Arial"/>
                <w:sz w:val="16"/>
                <w:szCs w:val="16"/>
                <w:color w:val="FFFFFF"/>
              </w:rPr>
              <w:t>software solution suite and digital services</w:t>
            </w:r>
          </w:p>
        </w:tc>
        <w:tc>
          <w:tcPr>
            <w:tcW w:w="340" w:type="dxa"/>
            <w:vAlign w:val="bottom"/>
          </w:tcPr>
          <w:p>
            <w:pPr>
              <w:spacing w:after="0"/>
              <w:rPr>
                <w:sz w:val="20"/>
                <w:szCs w:val="20"/>
                <w:color w:val="auto"/>
              </w:rPr>
            </w:pPr>
          </w:p>
        </w:tc>
        <w:tc>
          <w:tcPr>
            <w:tcW w:w="3540" w:type="dxa"/>
            <w:vAlign w:val="bottom"/>
            <w:shd w:val="clear" w:color="auto" w:fill="FF7F32"/>
          </w:tcPr>
          <w:p>
            <w:pPr>
              <w:jc w:val="center"/>
              <w:spacing w:after="0"/>
              <w:rPr>
                <w:sz w:val="20"/>
                <w:szCs w:val="20"/>
                <w:color w:val="auto"/>
              </w:rPr>
            </w:pPr>
            <w:r>
              <w:rPr>
                <w:rFonts w:ascii="Arial" w:cs="Arial" w:eastAsia="Arial" w:hAnsi="Arial"/>
                <w:sz w:val="16"/>
                <w:szCs w:val="16"/>
                <w:color w:val="FFFFFF"/>
              </w:rPr>
              <w:t>processing</w:t>
            </w:r>
          </w:p>
        </w:tc>
        <w:tc>
          <w:tcPr>
            <w:tcW w:w="360" w:type="dxa"/>
            <w:vAlign w:val="bottom"/>
            <w:tcBorders>
              <w:right w:val="single" w:sz="8" w:color="5576D1"/>
            </w:tcBorders>
          </w:tcPr>
          <w:p>
            <w:pPr>
              <w:spacing w:after="0"/>
              <w:rPr>
                <w:sz w:val="20"/>
                <w:szCs w:val="20"/>
                <w:color w:val="auto"/>
              </w:rPr>
            </w:pPr>
          </w:p>
        </w:tc>
        <w:tc>
          <w:tcPr>
            <w:tcW w:w="3500" w:type="dxa"/>
            <w:vAlign w:val="bottom"/>
            <w:shd w:val="clear" w:color="auto" w:fill="5576D1"/>
          </w:tcPr>
          <w:p>
            <w:pPr>
              <w:jc w:val="center"/>
              <w:spacing w:after="0"/>
              <w:rPr>
                <w:sz w:val="20"/>
                <w:szCs w:val="20"/>
                <w:color w:val="auto"/>
              </w:rPr>
            </w:pPr>
            <w:r>
              <w:rPr>
                <w:rFonts w:ascii="Arial" w:cs="Arial" w:eastAsia="Arial" w:hAnsi="Arial"/>
                <w:sz w:val="16"/>
                <w:szCs w:val="16"/>
                <w:color w:val="FFFFFF"/>
              </w:rPr>
              <w:t>fee</w:t>
            </w:r>
          </w:p>
        </w:tc>
        <w:tc>
          <w:tcPr>
            <w:tcW w:w="20" w:type="dxa"/>
            <w:vAlign w:val="bottom"/>
          </w:tcPr>
          <w:p>
            <w:pPr>
              <w:spacing w:after="0"/>
              <w:rPr>
                <w:sz w:val="20"/>
                <w:szCs w:val="20"/>
                <w:color w:val="auto"/>
              </w:rPr>
            </w:pPr>
          </w:p>
        </w:tc>
      </w:tr>
      <w:tr>
        <w:trPr>
          <w:trHeight w:val="243"/>
        </w:trPr>
        <w:tc>
          <w:tcPr>
            <w:tcW w:w="3500" w:type="dxa"/>
            <w:vAlign w:val="bottom"/>
            <w:tcBorders>
              <w:left w:val="single" w:sz="8" w:color="202945"/>
            </w:tcBorders>
            <w:shd w:val="clear" w:color="auto" w:fill="202945"/>
          </w:tcPr>
          <w:p>
            <w:pPr>
              <w:jc w:val="center"/>
              <w:spacing w:after="0"/>
              <w:rPr>
                <w:sz w:val="20"/>
                <w:szCs w:val="20"/>
                <w:color w:val="auto"/>
              </w:rPr>
            </w:pPr>
            <w:r>
              <w:rPr>
                <w:rFonts w:ascii="Arial" w:cs="Arial" w:eastAsia="Arial" w:hAnsi="Arial"/>
                <w:sz w:val="16"/>
                <w:szCs w:val="16"/>
                <w:color w:val="FFFFFF"/>
                <w:w w:val="99"/>
              </w:rPr>
              <w:t>fees</w:t>
            </w:r>
          </w:p>
        </w:tc>
        <w:tc>
          <w:tcPr>
            <w:tcW w:w="340" w:type="dxa"/>
            <w:vAlign w:val="bottom"/>
          </w:tcPr>
          <w:p>
            <w:pPr>
              <w:spacing w:after="0"/>
              <w:rPr>
                <w:sz w:val="21"/>
                <w:szCs w:val="21"/>
                <w:color w:val="auto"/>
              </w:rPr>
            </w:pPr>
          </w:p>
        </w:tc>
        <w:tc>
          <w:tcPr>
            <w:tcW w:w="3540" w:type="dxa"/>
            <w:vAlign w:val="bottom"/>
            <w:shd w:val="clear" w:color="auto" w:fill="FF7F32"/>
          </w:tcPr>
          <w:p>
            <w:pPr>
              <w:spacing w:after="0"/>
              <w:rPr>
                <w:sz w:val="21"/>
                <w:szCs w:val="21"/>
                <w:color w:val="auto"/>
              </w:rPr>
            </w:pPr>
          </w:p>
        </w:tc>
        <w:tc>
          <w:tcPr>
            <w:tcW w:w="360" w:type="dxa"/>
            <w:vAlign w:val="bottom"/>
            <w:tcBorders>
              <w:right w:val="single" w:sz="8" w:color="5576D1"/>
            </w:tcBorders>
          </w:tcPr>
          <w:p>
            <w:pPr>
              <w:spacing w:after="0"/>
              <w:rPr>
                <w:sz w:val="21"/>
                <w:szCs w:val="21"/>
                <w:color w:val="auto"/>
              </w:rPr>
            </w:pPr>
          </w:p>
        </w:tc>
        <w:tc>
          <w:tcPr>
            <w:tcW w:w="3500" w:type="dxa"/>
            <w:vAlign w:val="bottom"/>
            <w:shd w:val="clear" w:color="auto" w:fill="5576D1"/>
          </w:tcPr>
          <w:p>
            <w:pPr>
              <w:spacing w:after="0"/>
              <w:rPr>
                <w:sz w:val="21"/>
                <w:szCs w:val="21"/>
                <w:color w:val="auto"/>
              </w:rPr>
            </w:pPr>
          </w:p>
        </w:tc>
        <w:tc>
          <w:tcPr>
            <w:tcW w:w="20" w:type="dxa"/>
            <w:vAlign w:val="bottom"/>
          </w:tcPr>
          <w:p>
            <w:pPr>
              <w:spacing w:after="0"/>
              <w:rPr>
                <w:sz w:val="21"/>
                <w:szCs w:val="21"/>
                <w:color w:val="auto"/>
              </w:rPr>
            </w:pPr>
          </w:p>
        </w:tc>
      </w:tr>
      <w:tr>
        <w:trPr>
          <w:trHeight w:val="232"/>
        </w:trPr>
        <w:tc>
          <w:tcPr>
            <w:tcW w:w="3500" w:type="dxa"/>
            <w:vAlign w:val="bottom"/>
            <w:tcBorders>
              <w:left w:val="single" w:sz="8" w:color="202945"/>
            </w:tcBorders>
            <w:shd w:val="clear" w:color="auto" w:fill="202945"/>
          </w:tcPr>
          <w:p>
            <w:pPr>
              <w:spacing w:after="0"/>
              <w:rPr>
                <w:sz w:val="20"/>
                <w:szCs w:val="20"/>
                <w:color w:val="auto"/>
              </w:rPr>
            </w:pPr>
          </w:p>
        </w:tc>
        <w:tc>
          <w:tcPr>
            <w:tcW w:w="340" w:type="dxa"/>
            <w:vAlign w:val="bottom"/>
          </w:tcPr>
          <w:p>
            <w:pPr>
              <w:spacing w:after="0"/>
              <w:rPr>
                <w:sz w:val="20"/>
                <w:szCs w:val="20"/>
                <w:color w:val="auto"/>
              </w:rPr>
            </w:pPr>
          </w:p>
        </w:tc>
        <w:tc>
          <w:tcPr>
            <w:tcW w:w="3540" w:type="dxa"/>
            <w:vAlign w:val="bottom"/>
            <w:shd w:val="clear" w:color="auto" w:fill="FF7F32"/>
          </w:tcPr>
          <w:p>
            <w:pPr>
              <w:spacing w:after="0"/>
              <w:rPr>
                <w:sz w:val="20"/>
                <w:szCs w:val="20"/>
                <w:color w:val="auto"/>
              </w:rPr>
            </w:pPr>
          </w:p>
        </w:tc>
        <w:tc>
          <w:tcPr>
            <w:tcW w:w="360" w:type="dxa"/>
            <w:vAlign w:val="bottom"/>
            <w:tcBorders>
              <w:right w:val="single" w:sz="8" w:color="5576D1"/>
            </w:tcBorders>
          </w:tcPr>
          <w:p>
            <w:pPr>
              <w:spacing w:after="0"/>
              <w:rPr>
                <w:sz w:val="20"/>
                <w:szCs w:val="20"/>
                <w:color w:val="auto"/>
              </w:rPr>
            </w:pPr>
          </w:p>
        </w:tc>
        <w:tc>
          <w:tcPr>
            <w:tcW w:w="3500" w:type="dxa"/>
            <w:vAlign w:val="bottom"/>
            <w:shd w:val="clear" w:color="auto" w:fill="5576D1"/>
          </w:tcPr>
          <w:p>
            <w:pPr>
              <w:spacing w:after="0"/>
              <w:rPr>
                <w:sz w:val="20"/>
                <w:szCs w:val="20"/>
                <w:color w:val="auto"/>
              </w:rPr>
            </w:pPr>
          </w:p>
        </w:tc>
        <w:tc>
          <w:tcPr>
            <w:tcW w:w="20" w:type="dxa"/>
            <w:vAlign w:val="bottom"/>
          </w:tcPr>
          <w:p>
            <w:pPr>
              <w:spacing w:after="0"/>
              <w:rPr>
                <w:sz w:val="20"/>
                <w:szCs w:val="20"/>
                <w:color w:val="auto"/>
              </w:rPr>
            </w:pPr>
          </w:p>
        </w:tc>
      </w:tr>
      <w:tr>
        <w:trPr>
          <w:trHeight w:val="54"/>
        </w:trPr>
        <w:tc>
          <w:tcPr>
            <w:tcW w:w="7380" w:type="dxa"/>
            <w:vAlign w:val="bottom"/>
            <w:gridSpan w:val="3"/>
          </w:tcPr>
          <w:p>
            <w:pPr>
              <w:spacing w:after="0"/>
              <w:rPr>
                <w:sz w:val="4"/>
                <w:szCs w:val="4"/>
                <w:color w:val="auto"/>
              </w:rPr>
            </w:pPr>
          </w:p>
        </w:tc>
        <w:tc>
          <w:tcPr>
            <w:tcW w:w="360" w:type="dxa"/>
            <w:vAlign w:val="bottom"/>
          </w:tcPr>
          <w:p>
            <w:pPr>
              <w:spacing w:after="0"/>
              <w:rPr>
                <w:sz w:val="4"/>
                <w:szCs w:val="4"/>
                <w:color w:val="auto"/>
              </w:rPr>
            </w:pPr>
          </w:p>
        </w:tc>
        <w:tc>
          <w:tcPr>
            <w:tcW w:w="35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62"/>
        </w:trPr>
        <w:tc>
          <w:tcPr>
            <w:tcW w:w="3500" w:type="dxa"/>
            <w:vAlign w:val="bottom"/>
            <w:tcBorders>
              <w:left w:val="single" w:sz="8" w:color="202945"/>
              <w:bottom w:val="single" w:sz="8" w:color="202945"/>
            </w:tcBorders>
          </w:tcPr>
          <w:p>
            <w:pPr>
              <w:spacing w:after="0"/>
              <w:rPr>
                <w:sz w:val="14"/>
                <w:szCs w:val="14"/>
                <w:color w:val="auto"/>
              </w:rPr>
            </w:pPr>
          </w:p>
        </w:tc>
        <w:tc>
          <w:tcPr>
            <w:tcW w:w="340" w:type="dxa"/>
            <w:vAlign w:val="bottom"/>
            <w:tcBorders>
              <w:bottom w:val="single" w:sz="8" w:color="202945"/>
            </w:tcBorders>
          </w:tcPr>
          <w:p>
            <w:pPr>
              <w:spacing w:after="0"/>
              <w:rPr>
                <w:sz w:val="14"/>
                <w:szCs w:val="14"/>
                <w:color w:val="auto"/>
              </w:rPr>
            </w:pPr>
          </w:p>
        </w:tc>
        <w:tc>
          <w:tcPr>
            <w:tcW w:w="3540" w:type="dxa"/>
            <w:vAlign w:val="bottom"/>
            <w:tcBorders>
              <w:bottom w:val="single" w:sz="8" w:color="202945"/>
            </w:tcBorders>
          </w:tcPr>
          <w:p>
            <w:pPr>
              <w:spacing w:after="0"/>
              <w:rPr>
                <w:sz w:val="14"/>
                <w:szCs w:val="14"/>
                <w:color w:val="auto"/>
              </w:rPr>
            </w:pPr>
          </w:p>
        </w:tc>
        <w:tc>
          <w:tcPr>
            <w:tcW w:w="360" w:type="dxa"/>
            <w:vAlign w:val="bottom"/>
            <w:tcBorders>
              <w:left w:val="single" w:sz="8" w:color="202945"/>
              <w:right w:val="single" w:sz="8" w:color="202945"/>
            </w:tcBorders>
          </w:tcPr>
          <w:p>
            <w:pPr>
              <w:spacing w:after="0"/>
              <w:rPr>
                <w:sz w:val="14"/>
                <w:szCs w:val="14"/>
                <w:color w:val="auto"/>
              </w:rPr>
            </w:pPr>
          </w:p>
        </w:tc>
        <w:tc>
          <w:tcPr>
            <w:tcW w:w="3500" w:type="dxa"/>
            <w:vAlign w:val="bottom"/>
            <w:tcBorders>
              <w:bottom w:val="single" w:sz="8" w:color="202945"/>
            </w:tcBorders>
          </w:tcPr>
          <w:p>
            <w:pPr>
              <w:spacing w:after="0"/>
              <w:rPr>
                <w:sz w:val="14"/>
                <w:szCs w:val="14"/>
                <w:color w:val="auto"/>
              </w:rPr>
            </w:pPr>
          </w:p>
        </w:tc>
        <w:tc>
          <w:tcPr>
            <w:tcW w:w="20" w:type="dxa"/>
            <w:vAlign w:val="bottom"/>
            <w:tcBorders>
              <w:bottom w:val="single" w:sz="8" w:color="202945"/>
            </w:tcBorders>
            <w:shd w:val="clear" w:color="auto" w:fill="202945"/>
          </w:tcPr>
          <w:p>
            <w:pPr>
              <w:spacing w:after="0"/>
              <w:rPr>
                <w:sz w:val="14"/>
                <w:szCs w:val="14"/>
                <w:color w:val="auto"/>
              </w:rPr>
            </w:pPr>
          </w:p>
        </w:tc>
      </w:tr>
      <w:tr>
        <w:trPr>
          <w:trHeight w:val="288"/>
        </w:trPr>
        <w:tc>
          <w:tcPr>
            <w:tcW w:w="7380" w:type="dxa"/>
            <w:vAlign w:val="bottom"/>
            <w:gridSpan w:val="3"/>
          </w:tcPr>
          <w:p>
            <w:pPr>
              <w:jc w:val="center"/>
              <w:spacing w:after="0"/>
              <w:rPr>
                <w:sz w:val="20"/>
                <w:szCs w:val="20"/>
                <w:color w:val="auto"/>
              </w:rPr>
            </w:pPr>
            <w:r>
              <w:rPr>
                <w:rFonts w:ascii="Arial" w:cs="Arial" w:eastAsia="Arial" w:hAnsi="Arial"/>
                <w:sz w:val="16"/>
                <w:szCs w:val="16"/>
                <w:color w:val="202945"/>
              </w:rPr>
              <w:t>$263.1 million</w:t>
            </w:r>
          </w:p>
        </w:tc>
        <w:tc>
          <w:tcPr>
            <w:tcW w:w="360" w:type="dxa"/>
            <w:vAlign w:val="bottom"/>
          </w:tcPr>
          <w:p>
            <w:pPr>
              <w:spacing w:after="0"/>
              <w:rPr>
                <w:sz w:val="24"/>
                <w:szCs w:val="24"/>
                <w:color w:val="auto"/>
              </w:rPr>
            </w:pPr>
          </w:p>
        </w:tc>
        <w:tc>
          <w:tcPr>
            <w:tcW w:w="3500" w:type="dxa"/>
            <w:vAlign w:val="bottom"/>
          </w:tcPr>
          <w:p>
            <w:pPr>
              <w:jc w:val="center"/>
              <w:spacing w:after="0"/>
              <w:rPr>
                <w:sz w:val="20"/>
                <w:szCs w:val="20"/>
                <w:color w:val="auto"/>
              </w:rPr>
            </w:pPr>
            <w:r>
              <w:rPr>
                <w:rFonts w:ascii="Arial" w:cs="Arial" w:eastAsia="Arial" w:hAnsi="Arial"/>
                <w:sz w:val="16"/>
                <w:szCs w:val="16"/>
                <w:color w:val="202945"/>
              </w:rPr>
              <w:t>$39.4 million</w:t>
            </w:r>
          </w:p>
        </w:tc>
        <w:tc>
          <w:tcPr>
            <w:tcW w:w="20" w:type="dxa"/>
            <w:vAlign w:val="bottom"/>
          </w:tcPr>
          <w:p>
            <w:pPr>
              <w:spacing w:after="0"/>
              <w:rPr>
                <w:sz w:val="24"/>
                <w:szCs w:val="24"/>
                <w:color w:val="auto"/>
              </w:rPr>
            </w:pPr>
          </w:p>
        </w:tc>
      </w:tr>
      <w:tr>
        <w:trPr>
          <w:trHeight w:val="373"/>
        </w:trPr>
        <w:tc>
          <w:tcPr>
            <w:tcW w:w="7380" w:type="dxa"/>
            <w:vAlign w:val="bottom"/>
            <w:gridSpan w:val="3"/>
          </w:tcPr>
          <w:p>
            <w:pPr>
              <w:jc w:val="center"/>
              <w:spacing w:after="0"/>
              <w:rPr>
                <w:sz w:val="20"/>
                <w:szCs w:val="20"/>
                <w:color w:val="auto"/>
              </w:rPr>
            </w:pPr>
            <w:r>
              <w:rPr>
                <w:rFonts w:ascii="Arial" w:cs="Arial" w:eastAsia="Arial" w:hAnsi="Arial"/>
                <w:sz w:val="16"/>
                <w:szCs w:val="16"/>
                <w:color w:val="202945"/>
              </w:rPr>
              <w:t>(</w:t>
            </w:r>
            <w:r>
              <w:rPr>
                <w:rFonts w:ascii="Arial" w:cs="Arial" w:eastAsia="Arial" w:hAnsi="Arial"/>
                <w:sz w:val="16"/>
                <w:szCs w:val="16"/>
                <w:b w:val="1"/>
                <w:bCs w:val="1"/>
                <w:color w:val="202945"/>
              </w:rPr>
              <w:t>87%</w:t>
            </w:r>
            <w:r>
              <w:rPr>
                <w:rFonts w:ascii="Arial" w:cs="Arial" w:eastAsia="Arial" w:hAnsi="Arial"/>
                <w:sz w:val="16"/>
                <w:szCs w:val="16"/>
                <w:color w:val="202945"/>
              </w:rPr>
              <w:t xml:space="preserve"> of Fiscal Year 2025 revenue)</w:t>
            </w:r>
          </w:p>
        </w:tc>
        <w:tc>
          <w:tcPr>
            <w:tcW w:w="360" w:type="dxa"/>
            <w:vAlign w:val="bottom"/>
          </w:tcPr>
          <w:p>
            <w:pPr>
              <w:spacing w:after="0"/>
              <w:rPr>
                <w:sz w:val="24"/>
                <w:szCs w:val="24"/>
                <w:color w:val="auto"/>
              </w:rPr>
            </w:pPr>
          </w:p>
        </w:tc>
        <w:tc>
          <w:tcPr>
            <w:tcW w:w="3500" w:type="dxa"/>
            <w:vAlign w:val="bottom"/>
          </w:tcPr>
          <w:p>
            <w:pPr>
              <w:jc w:val="center"/>
              <w:spacing w:after="0"/>
              <w:rPr>
                <w:sz w:val="20"/>
                <w:szCs w:val="20"/>
                <w:color w:val="auto"/>
              </w:rPr>
            </w:pPr>
            <w:r>
              <w:rPr>
                <w:rFonts w:ascii="Arial" w:cs="Arial" w:eastAsia="Arial" w:hAnsi="Arial"/>
                <w:sz w:val="16"/>
                <w:szCs w:val="16"/>
                <w:color w:val="202945"/>
              </w:rPr>
              <w:t>(</w:t>
            </w:r>
            <w:r>
              <w:rPr>
                <w:rFonts w:ascii="Arial" w:cs="Arial" w:eastAsia="Arial" w:hAnsi="Arial"/>
                <w:sz w:val="16"/>
                <w:szCs w:val="16"/>
                <w:b w:val="1"/>
                <w:bCs w:val="1"/>
                <w:color w:val="202945"/>
              </w:rPr>
              <w:t>13%</w:t>
            </w:r>
            <w:r>
              <w:rPr>
                <w:rFonts w:ascii="Arial" w:cs="Arial" w:eastAsia="Arial" w:hAnsi="Arial"/>
                <w:sz w:val="16"/>
                <w:szCs w:val="16"/>
                <w:color w:val="202945"/>
              </w:rPr>
              <w:t xml:space="preserve"> of Fiscal Year 2025 revenue)</w:t>
            </w:r>
          </w:p>
        </w:tc>
        <w:tc>
          <w:tcPr>
            <w:tcW w:w="20" w:type="dxa"/>
            <w:vAlign w:val="bottom"/>
          </w:tcPr>
          <w:p>
            <w:pPr>
              <w:spacing w:after="0"/>
              <w:rPr>
                <w:sz w:val="24"/>
                <w:szCs w:val="24"/>
                <w:color w:val="auto"/>
              </w:rPr>
            </w:pPr>
          </w:p>
        </w:tc>
      </w:tr>
    </w:tbl>
    <w:p>
      <w:pPr>
        <w:spacing w:after="0" w:line="263" w:lineRule="exact"/>
        <w:rPr>
          <w:sz w:val="20"/>
          <w:szCs w:val="20"/>
          <w:color w:val="auto"/>
        </w:rPr>
      </w:pPr>
    </w:p>
    <w:p>
      <w:pPr>
        <w:spacing w:after="0"/>
        <w:rPr>
          <w:sz w:val="20"/>
          <w:szCs w:val="20"/>
          <w:color w:val="auto"/>
        </w:rPr>
      </w:pPr>
      <w:r>
        <w:rPr>
          <w:rFonts w:ascii="Arial" w:cs="Arial" w:eastAsia="Arial" w:hAnsi="Arial"/>
          <w:sz w:val="16"/>
          <w:szCs w:val="16"/>
          <w:color w:val="auto"/>
        </w:rPr>
        <w:t>A scalable, modular platform to support businesses of all sizes.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4937760" cy="1911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937760" cy="191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780"/>
        <w:spacing w:after="0"/>
        <w:rPr>
          <w:sz w:val="20"/>
          <w:szCs w:val="20"/>
          <w:color w:val="auto"/>
        </w:rPr>
      </w:pPr>
      <w:r>
        <w:rPr>
          <w:rFonts w:ascii="Arial" w:cs="Arial" w:eastAsia="Arial" w:hAnsi="Arial"/>
          <w:sz w:val="32"/>
          <w:szCs w:val="32"/>
          <w:b w:val="1"/>
          <w:bCs w:val="1"/>
          <w:color w:val="202945"/>
        </w:rPr>
        <w:t>Strategy</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159"/>
        </w:trPr>
        <w:tc>
          <w:tcPr>
            <w:tcW w:w="2260" w:type="dxa"/>
            <w:vAlign w:val="bottom"/>
            <w:tcBorders>
              <w:right w:val="single" w:sz="8" w:color="D9D9D9"/>
            </w:tcBorders>
          </w:tcPr>
          <w:p>
            <w:pPr>
              <w:ind w:left="280"/>
              <w:spacing w:after="0"/>
              <w:rPr>
                <w:sz w:val="20"/>
                <w:szCs w:val="20"/>
                <w:color w:val="auto"/>
              </w:rPr>
            </w:pPr>
            <w:r>
              <w:rPr>
                <w:rFonts w:ascii="Arial" w:cs="Arial" w:eastAsia="Arial" w:hAnsi="Arial"/>
                <w:sz w:val="16"/>
                <w:szCs w:val="16"/>
                <w:color w:val="auto"/>
              </w:rPr>
              <w:t>Growth within Existing</w:t>
            </w:r>
          </w:p>
        </w:tc>
        <w:tc>
          <w:tcPr>
            <w:tcW w:w="2240" w:type="dxa"/>
            <w:vAlign w:val="bottom"/>
            <w:tcBorders>
              <w:right w:val="single" w:sz="8" w:color="D9D9D9"/>
            </w:tcBorders>
          </w:tcPr>
          <w:p>
            <w:pPr>
              <w:ind w:left="100"/>
              <w:spacing w:after="0"/>
              <w:rPr>
                <w:sz w:val="20"/>
                <w:szCs w:val="20"/>
                <w:color w:val="auto"/>
              </w:rPr>
            </w:pPr>
            <w:r>
              <w:rPr>
                <w:rFonts w:ascii="Arial" w:cs="Arial" w:eastAsia="Arial" w:hAnsi="Arial"/>
                <w:sz w:val="16"/>
                <w:szCs w:val="16"/>
                <w:color w:val="auto"/>
              </w:rPr>
              <w:t>Adjacent Vertical Expansion</w:t>
            </w:r>
          </w:p>
        </w:tc>
        <w:tc>
          <w:tcPr>
            <w:tcW w:w="2240" w:type="dxa"/>
            <w:vAlign w:val="bottom"/>
            <w:tcBorders>
              <w:right w:val="single" w:sz="8" w:color="D9D9D9"/>
            </w:tcBorders>
          </w:tcPr>
          <w:p>
            <w:pPr>
              <w:jc w:val="center"/>
              <w:spacing w:after="0"/>
              <w:rPr>
                <w:sz w:val="20"/>
                <w:szCs w:val="20"/>
                <w:color w:val="auto"/>
              </w:rPr>
            </w:pPr>
            <w:r>
              <w:rPr>
                <w:rFonts w:ascii="Arial" w:cs="Arial" w:eastAsia="Arial" w:hAnsi="Arial"/>
                <w:sz w:val="16"/>
                <w:szCs w:val="16"/>
                <w:color w:val="auto"/>
              </w:rPr>
              <w:t>Accelerating Subscription</w:t>
            </w:r>
          </w:p>
        </w:tc>
        <w:tc>
          <w:tcPr>
            <w:tcW w:w="2280" w:type="dxa"/>
            <w:vAlign w:val="bottom"/>
            <w:tcBorders>
              <w:right w:val="single" w:sz="8" w:color="D9D9D9"/>
            </w:tcBorders>
          </w:tcPr>
          <w:p>
            <w:pPr>
              <w:ind w:left="280"/>
              <w:spacing w:after="0"/>
              <w:rPr>
                <w:sz w:val="20"/>
                <w:szCs w:val="20"/>
                <w:color w:val="auto"/>
              </w:rPr>
            </w:pPr>
            <w:r>
              <w:rPr>
                <w:rFonts w:ascii="Arial" w:cs="Arial" w:eastAsia="Arial" w:hAnsi="Arial"/>
                <w:sz w:val="16"/>
                <w:szCs w:val="16"/>
                <w:color w:val="auto"/>
              </w:rPr>
              <w:t>International Expansion</w:t>
            </w:r>
          </w:p>
        </w:tc>
        <w:tc>
          <w:tcPr>
            <w:tcW w:w="2220" w:type="dxa"/>
            <w:vAlign w:val="bottom"/>
          </w:tcPr>
          <w:p>
            <w:pPr>
              <w:jc w:val="right"/>
              <w:ind w:right="528"/>
              <w:spacing w:after="0"/>
              <w:rPr>
                <w:sz w:val="20"/>
                <w:szCs w:val="20"/>
                <w:color w:val="auto"/>
              </w:rPr>
            </w:pPr>
            <w:r>
              <w:rPr>
                <w:rFonts w:ascii="Arial" w:cs="Arial" w:eastAsia="Arial" w:hAnsi="Arial"/>
                <w:sz w:val="16"/>
                <w:szCs w:val="16"/>
                <w:color w:val="auto"/>
              </w:rPr>
              <w:t>Strategic M&amp;A</w:t>
            </w:r>
          </w:p>
        </w:tc>
      </w:tr>
      <w:tr>
        <w:trPr>
          <w:trHeight w:val="216"/>
        </w:trPr>
        <w:tc>
          <w:tcPr>
            <w:tcW w:w="2260" w:type="dxa"/>
            <w:vAlign w:val="bottom"/>
            <w:tcBorders>
              <w:right w:val="single" w:sz="8" w:color="D9D9D9"/>
            </w:tcBorders>
          </w:tcPr>
          <w:p>
            <w:pPr>
              <w:ind w:left="280"/>
              <w:spacing w:after="0"/>
              <w:rPr>
                <w:sz w:val="20"/>
                <w:szCs w:val="20"/>
                <w:color w:val="auto"/>
              </w:rPr>
            </w:pPr>
            <w:r>
              <w:rPr>
                <w:rFonts w:ascii="Arial" w:cs="Arial" w:eastAsia="Arial" w:hAnsi="Arial"/>
                <w:sz w:val="16"/>
                <w:szCs w:val="16"/>
                <w:color w:val="auto"/>
              </w:rPr>
              <w:t>Customers</w:t>
            </w:r>
          </w:p>
        </w:tc>
        <w:tc>
          <w:tcPr>
            <w:tcW w:w="2240" w:type="dxa"/>
            <w:vAlign w:val="bottom"/>
            <w:tcBorders>
              <w:right w:val="single" w:sz="8" w:color="D9D9D9"/>
            </w:tcBorders>
          </w:tcPr>
          <w:p>
            <w:pPr>
              <w:spacing w:after="0"/>
              <w:rPr>
                <w:sz w:val="18"/>
                <w:szCs w:val="18"/>
                <w:color w:val="auto"/>
              </w:rPr>
            </w:pPr>
          </w:p>
        </w:tc>
        <w:tc>
          <w:tcPr>
            <w:tcW w:w="2240" w:type="dxa"/>
            <w:vAlign w:val="bottom"/>
            <w:tcBorders>
              <w:right w:val="single" w:sz="8" w:color="D9D9D9"/>
            </w:tcBorders>
          </w:tcPr>
          <w:p>
            <w:pPr>
              <w:jc w:val="center"/>
              <w:spacing w:after="0"/>
              <w:rPr>
                <w:sz w:val="20"/>
                <w:szCs w:val="20"/>
                <w:color w:val="auto"/>
              </w:rPr>
            </w:pPr>
            <w:r>
              <w:rPr>
                <w:rFonts w:ascii="Arial" w:cs="Arial" w:eastAsia="Arial" w:hAnsi="Arial"/>
                <w:sz w:val="16"/>
                <w:szCs w:val="16"/>
                <w:color w:val="auto"/>
                <w:w w:val="99"/>
              </w:rPr>
              <w:t>Revenues</w:t>
            </w:r>
          </w:p>
        </w:tc>
        <w:tc>
          <w:tcPr>
            <w:tcW w:w="2280" w:type="dxa"/>
            <w:vAlign w:val="bottom"/>
            <w:tcBorders>
              <w:right w:val="single" w:sz="8" w:color="D9D9D9"/>
            </w:tcBorders>
          </w:tcPr>
          <w:p>
            <w:pPr>
              <w:spacing w:after="0"/>
              <w:rPr>
                <w:sz w:val="18"/>
                <w:szCs w:val="18"/>
                <w:color w:val="auto"/>
              </w:rPr>
            </w:pPr>
          </w:p>
        </w:tc>
        <w:tc>
          <w:tcPr>
            <w:tcW w:w="2220" w:type="dxa"/>
            <w:vAlign w:val="bottom"/>
          </w:tcPr>
          <w:p>
            <w:pPr>
              <w:spacing w:after="0"/>
              <w:rPr>
                <w:sz w:val="18"/>
                <w:szCs w:val="18"/>
                <w:color w:val="auto"/>
              </w:rPr>
            </w:pPr>
          </w:p>
        </w:tc>
      </w:tr>
      <w:tr>
        <w:trPr>
          <w:trHeight w:val="70"/>
        </w:trPr>
        <w:tc>
          <w:tcPr>
            <w:tcW w:w="2260" w:type="dxa"/>
            <w:vAlign w:val="bottom"/>
            <w:tcBorders>
              <w:right w:val="single" w:sz="8" w:color="D9D9D9"/>
            </w:tcBorders>
          </w:tcPr>
          <w:p>
            <w:pPr>
              <w:spacing w:after="0"/>
              <w:rPr>
                <w:sz w:val="6"/>
                <w:szCs w:val="6"/>
                <w:color w:val="auto"/>
              </w:rPr>
            </w:pPr>
          </w:p>
        </w:tc>
        <w:tc>
          <w:tcPr>
            <w:tcW w:w="2240" w:type="dxa"/>
            <w:vAlign w:val="bottom"/>
            <w:tcBorders>
              <w:right w:val="single" w:sz="8" w:color="D9D9D9"/>
            </w:tcBorders>
          </w:tcPr>
          <w:p>
            <w:pPr>
              <w:spacing w:after="0"/>
              <w:rPr>
                <w:sz w:val="6"/>
                <w:szCs w:val="6"/>
                <w:color w:val="auto"/>
              </w:rPr>
            </w:pPr>
          </w:p>
        </w:tc>
        <w:tc>
          <w:tcPr>
            <w:tcW w:w="2240" w:type="dxa"/>
            <w:vAlign w:val="bottom"/>
            <w:tcBorders>
              <w:right w:val="single" w:sz="8" w:color="D9D9D9"/>
            </w:tcBorders>
          </w:tcPr>
          <w:p>
            <w:pPr>
              <w:spacing w:after="0"/>
              <w:rPr>
                <w:sz w:val="6"/>
                <w:szCs w:val="6"/>
                <w:color w:val="auto"/>
              </w:rPr>
            </w:pPr>
          </w:p>
        </w:tc>
        <w:tc>
          <w:tcPr>
            <w:tcW w:w="2280" w:type="dxa"/>
            <w:vAlign w:val="bottom"/>
            <w:tcBorders>
              <w:right w:val="single" w:sz="8" w:color="D9D9D9"/>
            </w:tcBorders>
          </w:tcPr>
          <w:p>
            <w:pPr>
              <w:spacing w:after="0"/>
              <w:rPr>
                <w:sz w:val="6"/>
                <w:szCs w:val="6"/>
                <w:color w:val="auto"/>
              </w:rPr>
            </w:pPr>
          </w:p>
        </w:tc>
        <w:tc>
          <w:tcPr>
            <w:tcW w:w="2220" w:type="dxa"/>
            <w:vAlign w:val="bottom"/>
          </w:tcPr>
          <w:p>
            <w:pPr>
              <w:spacing w:after="0"/>
              <w:rPr>
                <w:sz w:val="6"/>
                <w:szCs w:val="6"/>
                <w:color w:val="auto"/>
              </w:rPr>
            </w:pPr>
          </w:p>
        </w:tc>
      </w:tr>
      <w:tr>
        <w:trPr>
          <w:trHeight w:val="532"/>
        </w:trPr>
        <w:tc>
          <w:tcPr>
            <w:tcW w:w="2260" w:type="dxa"/>
            <w:vAlign w:val="bottom"/>
          </w:tcPr>
          <w:p>
            <w:pPr>
              <w:ind w:left="20"/>
              <w:spacing w:after="0"/>
              <w:rPr>
                <w:sz w:val="20"/>
                <w:szCs w:val="20"/>
                <w:color w:val="auto"/>
              </w:rPr>
            </w:pPr>
            <w:r>
              <w:rPr>
                <w:rFonts w:ascii="Arial" w:cs="Arial" w:eastAsia="Arial" w:hAnsi="Arial"/>
                <w:sz w:val="13"/>
                <w:szCs w:val="13"/>
                <w:b w:val="1"/>
                <w:bCs w:val="1"/>
                <w:color w:val="FF7F32"/>
              </w:rPr>
              <w:t xml:space="preserve">2026 </w:t>
            </w:r>
            <w:r>
              <w:rPr>
                <w:rFonts w:ascii="Arial" w:cs="Arial" w:eastAsia="Arial" w:hAnsi="Arial"/>
                <w:sz w:val="13"/>
                <w:szCs w:val="13"/>
                <w:color w:val="000000"/>
              </w:rPr>
              <w:t>Proxy Statement</w:t>
            </w:r>
          </w:p>
        </w:tc>
        <w:tc>
          <w:tcPr>
            <w:tcW w:w="2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3"/>
                <w:szCs w:val="13"/>
                <w:b w:val="1"/>
                <w:bCs w:val="1"/>
                <w:color w:val="auto"/>
              </w:rPr>
              <w:t>5</w:t>
            </w:r>
          </w:p>
        </w:tc>
      </w:tr>
      <w:tr>
        <w:trPr>
          <w:trHeight w:val="677"/>
        </w:trPr>
        <w:tc>
          <w:tcPr>
            <w:tcW w:w="226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-1559560</wp:posOffset>
            </wp:positionV>
            <wp:extent cx="325755" cy="3257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-1645285</wp:posOffset>
            </wp:positionV>
            <wp:extent cx="668655" cy="4114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68655" cy="41148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-1645285</wp:posOffset>
            </wp:positionV>
            <wp:extent cx="411480" cy="4114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11480" cy="41148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-1645285</wp:posOffset>
            </wp:positionV>
            <wp:extent cx="411480" cy="4114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11480" cy="41148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-1559560</wp:posOffset>
            </wp:positionV>
            <wp:extent cx="274320" cy="3257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74320" cy="3257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-650875</wp:posOffset>
            </wp:positionV>
            <wp:extent cx="925830" cy="2654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25830" cy="265430"/>
                    </a:xfrm>
                    <a:prstGeom prst="rect">
                      <a:avLst/>
                    </a:prstGeom>
                    <a:noFill/>
                  </pic:spPr>
                </pic:pic>
              </a:graphicData>
            </a:graphic>
          </wp:anchor>
        </w:drawing>
      </w:r>
    </w:p>
    <w:p>
      <w:pPr>
        <w:sectPr>
          <w:pgSz w:w="11900" w:h="16838" w:orient="portrait"/>
          <w:cols w:equalWidth="0" w:num="1">
            <w:col w:w="11260"/>
          </w:cols>
          <w:pgMar w:left="320" w:top="1332" w:right="319" w:bottom="1440" w:gutter="0" w:footer="0" w:header="0"/>
        </w:sectPr>
      </w:pPr>
    </w:p>
    <w:bookmarkStart w:id="8" w:name="page9"/>
    <w:bookmarkEnd w:id="8"/>
    <w:p>
      <w:pPr>
        <w:spacing w:after="0"/>
        <w:rPr>
          <w:sz w:val="20"/>
          <w:szCs w:val="20"/>
          <w:color w:val="auto"/>
        </w:rPr>
      </w:pPr>
      <w:r>
        <w:rPr>
          <w:rFonts w:ascii="Arial" w:cs="Arial" w:eastAsia="Arial" w:hAnsi="Arial"/>
          <w:sz w:val="13"/>
          <w:szCs w:val="13"/>
          <w:color w:val="auto"/>
        </w:rPr>
        <w:t>Fiscal 2025 Performance Highlights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32"/>
          <w:szCs w:val="32"/>
          <w:b w:val="1"/>
          <w:bCs w:val="1"/>
          <w:color w:val="202945"/>
        </w:rPr>
        <w:t>Business and Financial Highlights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0" w:type="dxa"/>
            <w:vAlign w:val="bottom"/>
            <w:shd w:val="clear" w:color="auto" w:fill="E5EAF8"/>
          </w:tcPr>
          <w:p>
            <w:pPr>
              <w:spacing w:after="0"/>
              <w:rPr>
                <w:sz w:val="14"/>
                <w:szCs w:val="14"/>
                <w:color w:val="auto"/>
              </w:rPr>
            </w:pPr>
          </w:p>
        </w:tc>
        <w:tc>
          <w:tcPr>
            <w:tcW w:w="2520" w:type="dxa"/>
            <w:vAlign w:val="bottom"/>
            <w:vMerge w:val="restart"/>
            <w:shd w:val="clear" w:color="auto" w:fill="E5EAF8"/>
          </w:tcPr>
          <w:p>
            <w:pPr>
              <w:ind w:left="560"/>
              <w:spacing w:after="0"/>
              <w:rPr>
                <w:sz w:val="20"/>
                <w:szCs w:val="20"/>
                <w:color w:val="auto"/>
              </w:rPr>
            </w:pPr>
            <w:r>
              <w:rPr>
                <w:rFonts w:ascii="Arial" w:cs="Arial" w:eastAsia="Arial" w:hAnsi="Arial"/>
                <w:sz w:val="16"/>
                <w:szCs w:val="16"/>
                <w:color w:val="auto"/>
              </w:rPr>
              <w:t>Active Customers</w:t>
            </w:r>
            <w:r>
              <w:rPr>
                <w:rFonts w:ascii="Arial" w:cs="Arial" w:eastAsia="Arial" w:hAnsi="Arial"/>
                <w:sz w:val="21"/>
                <w:szCs w:val="21"/>
                <w:color w:val="auto"/>
                <w:vertAlign w:val="superscript"/>
              </w:rPr>
              <w:t>(1)</w:t>
            </w:r>
          </w:p>
        </w:tc>
        <w:tc>
          <w:tcPr>
            <w:tcW w:w="20" w:type="dxa"/>
            <w:vAlign w:val="bottom"/>
            <w:shd w:val="clear" w:color="auto" w:fill="E5EAF8"/>
          </w:tcPr>
          <w:p>
            <w:pPr>
              <w:spacing w:after="0"/>
              <w:rPr>
                <w:sz w:val="14"/>
                <w:szCs w:val="14"/>
                <w:color w:val="auto"/>
              </w:rPr>
            </w:pPr>
          </w:p>
        </w:tc>
        <w:tc>
          <w:tcPr>
            <w:tcW w:w="2740" w:type="dxa"/>
            <w:vAlign w:val="bottom"/>
            <w:gridSpan w:val="2"/>
            <w:vMerge w:val="restart"/>
            <w:shd w:val="clear" w:color="auto" w:fill="E5EAF8"/>
          </w:tcPr>
          <w:p>
            <w:pPr>
              <w:jc w:val="center"/>
              <w:spacing w:after="0"/>
              <w:rPr>
                <w:sz w:val="20"/>
                <w:szCs w:val="20"/>
                <w:color w:val="auto"/>
              </w:rPr>
            </w:pPr>
            <w:r>
              <w:rPr>
                <w:rFonts w:ascii="Arial" w:cs="Arial" w:eastAsia="Arial" w:hAnsi="Arial"/>
                <w:sz w:val="16"/>
                <w:szCs w:val="16"/>
                <w:color w:val="auto"/>
              </w:rPr>
              <w:t>Active Customer Growth (YoY)</w:t>
            </w:r>
          </w:p>
        </w:tc>
        <w:tc>
          <w:tcPr>
            <w:tcW w:w="780" w:type="dxa"/>
            <w:vAlign w:val="bottom"/>
            <w:tcBorders>
              <w:left w:val="single" w:sz="8" w:color="E5EAF8"/>
            </w:tcBorders>
            <w:shd w:val="clear" w:color="auto" w:fill="E5EAF8"/>
          </w:tcPr>
          <w:p>
            <w:pPr>
              <w:spacing w:after="0"/>
              <w:rPr>
                <w:sz w:val="14"/>
                <w:szCs w:val="14"/>
                <w:color w:val="auto"/>
              </w:rPr>
            </w:pPr>
          </w:p>
        </w:tc>
        <w:tc>
          <w:tcPr>
            <w:tcW w:w="1520" w:type="dxa"/>
            <w:vAlign w:val="bottom"/>
            <w:gridSpan w:val="2"/>
            <w:vMerge w:val="restart"/>
            <w:shd w:val="clear" w:color="auto" w:fill="E5EAF8"/>
          </w:tcPr>
          <w:p>
            <w:pPr>
              <w:jc w:val="center"/>
              <w:ind w:right="280"/>
              <w:spacing w:after="0"/>
              <w:rPr>
                <w:sz w:val="20"/>
                <w:szCs w:val="20"/>
                <w:color w:val="auto"/>
              </w:rPr>
            </w:pPr>
            <w:r>
              <w:rPr>
                <w:rFonts w:ascii="Arial" w:cs="Arial" w:eastAsia="Arial" w:hAnsi="Arial"/>
                <w:sz w:val="16"/>
                <w:szCs w:val="16"/>
                <w:color w:val="auto"/>
              </w:rPr>
              <w:t># of Transactions</w:t>
            </w:r>
          </w:p>
        </w:tc>
        <w:tc>
          <w:tcPr>
            <w:tcW w:w="520" w:type="dxa"/>
            <w:vAlign w:val="bottom"/>
            <w:tcBorders>
              <w:right w:val="single" w:sz="8" w:color="E5EAF8"/>
            </w:tcBorders>
            <w:shd w:val="clear" w:color="auto" w:fill="E5EAF8"/>
          </w:tcPr>
          <w:p>
            <w:pPr>
              <w:spacing w:after="0"/>
              <w:rPr>
                <w:sz w:val="14"/>
                <w:szCs w:val="14"/>
                <w:color w:val="auto"/>
              </w:rPr>
            </w:pPr>
          </w:p>
        </w:tc>
        <w:tc>
          <w:tcPr>
            <w:tcW w:w="2800" w:type="dxa"/>
            <w:vAlign w:val="bottom"/>
            <w:gridSpan w:val="2"/>
            <w:vMerge w:val="restart"/>
            <w:shd w:val="clear" w:color="auto" w:fill="E5EAF8"/>
          </w:tcPr>
          <w:p>
            <w:pPr>
              <w:jc w:val="center"/>
              <w:ind w:right="340"/>
              <w:spacing w:after="0"/>
              <w:rPr>
                <w:sz w:val="20"/>
                <w:szCs w:val="20"/>
                <w:color w:val="auto"/>
              </w:rPr>
            </w:pPr>
            <w:r>
              <w:rPr>
                <w:rFonts w:ascii="Arial" w:cs="Arial" w:eastAsia="Arial" w:hAnsi="Arial"/>
                <w:sz w:val="16"/>
                <w:szCs w:val="16"/>
                <w:color w:val="auto"/>
                <w:w w:val="99"/>
              </w:rPr>
              <w:t>Dollar Volume of</w:t>
            </w:r>
          </w:p>
        </w:tc>
        <w:tc>
          <w:tcPr>
            <w:tcW w:w="0" w:type="dxa"/>
            <w:vAlign w:val="bottom"/>
          </w:tcPr>
          <w:p>
            <w:pPr>
              <w:spacing w:after="0"/>
              <w:rPr>
                <w:sz w:val="1"/>
                <w:szCs w:val="1"/>
                <w:color w:val="auto"/>
              </w:rPr>
            </w:pPr>
          </w:p>
        </w:tc>
      </w:tr>
      <w:tr>
        <w:trPr>
          <w:trHeight w:val="254"/>
        </w:trPr>
        <w:tc>
          <w:tcPr>
            <w:tcW w:w="340" w:type="dxa"/>
            <w:vAlign w:val="bottom"/>
            <w:shd w:val="clear" w:color="auto" w:fill="E5EAF8"/>
          </w:tcPr>
          <w:p>
            <w:pPr>
              <w:spacing w:after="0"/>
              <w:rPr>
                <w:sz w:val="22"/>
                <w:szCs w:val="22"/>
                <w:color w:val="auto"/>
              </w:rPr>
            </w:pPr>
          </w:p>
        </w:tc>
        <w:tc>
          <w:tcPr>
            <w:tcW w:w="2520" w:type="dxa"/>
            <w:vAlign w:val="bottom"/>
            <w:vMerge w:val="continue"/>
            <w:shd w:val="clear" w:color="auto" w:fill="E5EAF8"/>
          </w:tcPr>
          <w:p>
            <w:pPr>
              <w:spacing w:after="0"/>
              <w:rPr>
                <w:sz w:val="22"/>
                <w:szCs w:val="22"/>
                <w:color w:val="auto"/>
              </w:rPr>
            </w:pPr>
          </w:p>
        </w:tc>
        <w:tc>
          <w:tcPr>
            <w:tcW w:w="20" w:type="dxa"/>
            <w:vAlign w:val="bottom"/>
            <w:shd w:val="clear" w:color="auto" w:fill="FF7F32"/>
          </w:tcPr>
          <w:p>
            <w:pPr>
              <w:spacing w:after="0"/>
              <w:rPr>
                <w:sz w:val="22"/>
                <w:szCs w:val="22"/>
                <w:color w:val="auto"/>
              </w:rPr>
            </w:pPr>
          </w:p>
        </w:tc>
        <w:tc>
          <w:tcPr>
            <w:tcW w:w="2740" w:type="dxa"/>
            <w:vAlign w:val="bottom"/>
            <w:gridSpan w:val="2"/>
            <w:vMerge w:val="continue"/>
            <w:shd w:val="clear" w:color="auto" w:fill="E5EAF8"/>
          </w:tcPr>
          <w:p>
            <w:pPr>
              <w:spacing w:after="0"/>
              <w:rPr>
                <w:sz w:val="22"/>
                <w:szCs w:val="22"/>
                <w:color w:val="auto"/>
              </w:rPr>
            </w:pPr>
          </w:p>
        </w:tc>
        <w:tc>
          <w:tcPr>
            <w:tcW w:w="780" w:type="dxa"/>
            <w:vAlign w:val="bottom"/>
            <w:tcBorders>
              <w:left w:val="single" w:sz="8" w:color="FF7F32"/>
            </w:tcBorders>
            <w:shd w:val="clear" w:color="auto" w:fill="E5EAF8"/>
          </w:tcPr>
          <w:p>
            <w:pPr>
              <w:spacing w:after="0"/>
              <w:rPr>
                <w:sz w:val="22"/>
                <w:szCs w:val="22"/>
                <w:color w:val="auto"/>
              </w:rPr>
            </w:pPr>
          </w:p>
        </w:tc>
        <w:tc>
          <w:tcPr>
            <w:tcW w:w="1520" w:type="dxa"/>
            <w:vAlign w:val="bottom"/>
            <w:gridSpan w:val="2"/>
            <w:vMerge w:val="continue"/>
            <w:shd w:val="clear" w:color="auto" w:fill="E5EAF8"/>
          </w:tcPr>
          <w:p>
            <w:pPr>
              <w:spacing w:after="0"/>
              <w:rPr>
                <w:sz w:val="22"/>
                <w:szCs w:val="22"/>
                <w:color w:val="auto"/>
              </w:rPr>
            </w:pPr>
          </w:p>
        </w:tc>
        <w:tc>
          <w:tcPr>
            <w:tcW w:w="520" w:type="dxa"/>
            <w:vAlign w:val="bottom"/>
            <w:tcBorders>
              <w:right w:val="single" w:sz="8" w:color="FF7F32"/>
            </w:tcBorders>
            <w:shd w:val="clear" w:color="auto" w:fill="E5EAF8"/>
          </w:tcPr>
          <w:p>
            <w:pPr>
              <w:spacing w:after="0"/>
              <w:rPr>
                <w:sz w:val="22"/>
                <w:szCs w:val="22"/>
                <w:color w:val="auto"/>
              </w:rPr>
            </w:pPr>
          </w:p>
        </w:tc>
        <w:tc>
          <w:tcPr>
            <w:tcW w:w="2800" w:type="dxa"/>
            <w:vAlign w:val="bottom"/>
            <w:gridSpan w:val="2"/>
            <w:vMerge w:val="continue"/>
            <w:shd w:val="clear" w:color="auto" w:fill="E5EAF8"/>
          </w:tcPr>
          <w:p>
            <w:pPr>
              <w:spacing w:after="0"/>
              <w:rPr>
                <w:sz w:val="22"/>
                <w:szCs w:val="22"/>
                <w:color w:val="auto"/>
              </w:rPr>
            </w:pPr>
          </w:p>
        </w:tc>
        <w:tc>
          <w:tcPr>
            <w:tcW w:w="0" w:type="dxa"/>
            <w:vAlign w:val="bottom"/>
          </w:tcPr>
          <w:p>
            <w:pPr>
              <w:spacing w:after="0"/>
              <w:rPr>
                <w:sz w:val="1"/>
                <w:szCs w:val="1"/>
                <w:color w:val="auto"/>
              </w:rPr>
            </w:pPr>
          </w:p>
        </w:tc>
      </w:tr>
      <w:tr>
        <w:trPr>
          <w:trHeight w:val="145"/>
        </w:trPr>
        <w:tc>
          <w:tcPr>
            <w:tcW w:w="340" w:type="dxa"/>
            <w:vAlign w:val="bottom"/>
            <w:shd w:val="clear" w:color="auto" w:fill="E5EAF8"/>
          </w:tcPr>
          <w:p>
            <w:pPr>
              <w:spacing w:after="0"/>
              <w:rPr>
                <w:sz w:val="12"/>
                <w:szCs w:val="12"/>
                <w:color w:val="auto"/>
              </w:rPr>
            </w:pPr>
          </w:p>
        </w:tc>
        <w:tc>
          <w:tcPr>
            <w:tcW w:w="2520" w:type="dxa"/>
            <w:vAlign w:val="bottom"/>
            <w:vMerge w:val="continue"/>
            <w:shd w:val="clear" w:color="auto" w:fill="E5EAF8"/>
          </w:tcPr>
          <w:p>
            <w:pPr>
              <w:spacing w:after="0"/>
              <w:rPr>
                <w:sz w:val="12"/>
                <w:szCs w:val="12"/>
                <w:color w:val="auto"/>
              </w:rPr>
            </w:pPr>
          </w:p>
        </w:tc>
        <w:tc>
          <w:tcPr>
            <w:tcW w:w="20" w:type="dxa"/>
            <w:vAlign w:val="bottom"/>
            <w:shd w:val="clear" w:color="auto" w:fill="FF7F32"/>
          </w:tcPr>
          <w:p>
            <w:pPr>
              <w:spacing w:after="0"/>
              <w:rPr>
                <w:sz w:val="12"/>
                <w:szCs w:val="12"/>
                <w:color w:val="auto"/>
              </w:rPr>
            </w:pPr>
          </w:p>
        </w:tc>
        <w:tc>
          <w:tcPr>
            <w:tcW w:w="2740" w:type="dxa"/>
            <w:vAlign w:val="bottom"/>
            <w:gridSpan w:val="2"/>
            <w:vMerge w:val="continue"/>
            <w:shd w:val="clear" w:color="auto" w:fill="E5EAF8"/>
          </w:tcPr>
          <w:p>
            <w:pPr>
              <w:spacing w:after="0"/>
              <w:rPr>
                <w:sz w:val="12"/>
                <w:szCs w:val="12"/>
                <w:color w:val="auto"/>
              </w:rPr>
            </w:pPr>
          </w:p>
        </w:tc>
        <w:tc>
          <w:tcPr>
            <w:tcW w:w="780" w:type="dxa"/>
            <w:vAlign w:val="bottom"/>
            <w:tcBorders>
              <w:left w:val="single" w:sz="8" w:color="FF7F32"/>
            </w:tcBorders>
            <w:shd w:val="clear" w:color="auto" w:fill="E5EAF8"/>
          </w:tcPr>
          <w:p>
            <w:pPr>
              <w:spacing w:after="0"/>
              <w:rPr>
                <w:sz w:val="12"/>
                <w:szCs w:val="12"/>
                <w:color w:val="auto"/>
              </w:rPr>
            </w:pPr>
          </w:p>
        </w:tc>
        <w:tc>
          <w:tcPr>
            <w:tcW w:w="1520" w:type="dxa"/>
            <w:vAlign w:val="bottom"/>
            <w:gridSpan w:val="2"/>
            <w:vMerge w:val="continue"/>
            <w:shd w:val="clear" w:color="auto" w:fill="E5EAF8"/>
          </w:tcPr>
          <w:p>
            <w:pPr>
              <w:spacing w:after="0"/>
              <w:rPr>
                <w:sz w:val="12"/>
                <w:szCs w:val="12"/>
                <w:color w:val="auto"/>
              </w:rPr>
            </w:pPr>
          </w:p>
        </w:tc>
        <w:tc>
          <w:tcPr>
            <w:tcW w:w="520" w:type="dxa"/>
            <w:vAlign w:val="bottom"/>
            <w:tcBorders>
              <w:right w:val="single" w:sz="8" w:color="FF7F32"/>
            </w:tcBorders>
            <w:shd w:val="clear" w:color="auto" w:fill="E5EAF8"/>
          </w:tcPr>
          <w:p>
            <w:pPr>
              <w:spacing w:after="0"/>
              <w:rPr>
                <w:sz w:val="12"/>
                <w:szCs w:val="12"/>
                <w:color w:val="auto"/>
              </w:rPr>
            </w:pPr>
          </w:p>
        </w:tc>
        <w:tc>
          <w:tcPr>
            <w:tcW w:w="2800" w:type="dxa"/>
            <w:vAlign w:val="bottom"/>
            <w:gridSpan w:val="2"/>
            <w:vMerge w:val="restart"/>
            <w:shd w:val="clear" w:color="auto" w:fill="E5EAF8"/>
          </w:tcPr>
          <w:p>
            <w:pPr>
              <w:jc w:val="center"/>
              <w:ind w:right="360"/>
              <w:spacing w:after="0"/>
              <w:rPr>
                <w:sz w:val="20"/>
                <w:szCs w:val="20"/>
                <w:color w:val="auto"/>
              </w:rPr>
            </w:pPr>
            <w:r>
              <w:rPr>
                <w:rFonts w:ascii="Arial" w:cs="Arial" w:eastAsia="Arial" w:hAnsi="Arial"/>
                <w:sz w:val="16"/>
                <w:szCs w:val="16"/>
                <w:color w:val="auto"/>
              </w:rPr>
              <w:t>Transactions</w:t>
            </w:r>
          </w:p>
        </w:tc>
        <w:tc>
          <w:tcPr>
            <w:tcW w:w="0" w:type="dxa"/>
            <w:vAlign w:val="bottom"/>
          </w:tcPr>
          <w:p>
            <w:pPr>
              <w:spacing w:after="0"/>
              <w:rPr>
                <w:sz w:val="1"/>
                <w:szCs w:val="1"/>
                <w:color w:val="auto"/>
              </w:rPr>
            </w:pPr>
          </w:p>
        </w:tc>
      </w:tr>
      <w:tr>
        <w:trPr>
          <w:trHeight w:val="98"/>
        </w:trPr>
        <w:tc>
          <w:tcPr>
            <w:tcW w:w="340" w:type="dxa"/>
            <w:vAlign w:val="bottom"/>
            <w:shd w:val="clear" w:color="auto" w:fill="E5EAF8"/>
          </w:tcPr>
          <w:p>
            <w:pPr>
              <w:spacing w:after="0"/>
              <w:rPr>
                <w:sz w:val="8"/>
                <w:szCs w:val="8"/>
                <w:color w:val="auto"/>
              </w:rPr>
            </w:pPr>
          </w:p>
        </w:tc>
        <w:tc>
          <w:tcPr>
            <w:tcW w:w="2520" w:type="dxa"/>
            <w:vAlign w:val="bottom"/>
            <w:vMerge w:val="restart"/>
            <w:shd w:val="clear" w:color="auto" w:fill="E5EAF8"/>
          </w:tcPr>
          <w:p>
            <w:pPr>
              <w:ind w:left="560"/>
              <w:spacing w:after="0"/>
              <w:rPr>
                <w:sz w:val="20"/>
                <w:szCs w:val="20"/>
                <w:color w:val="auto"/>
              </w:rPr>
            </w:pPr>
            <w:r>
              <w:rPr>
                <w:rFonts w:ascii="Arial" w:cs="Arial" w:eastAsia="Arial" w:hAnsi="Arial"/>
                <w:sz w:val="45"/>
                <w:szCs w:val="45"/>
                <w:color w:val="5576D1"/>
              </w:rPr>
              <w:t>34,896</w:t>
            </w:r>
          </w:p>
        </w:tc>
        <w:tc>
          <w:tcPr>
            <w:tcW w:w="20" w:type="dxa"/>
            <w:vAlign w:val="bottom"/>
            <w:shd w:val="clear" w:color="auto" w:fill="FF7F32"/>
          </w:tcPr>
          <w:p>
            <w:pPr>
              <w:spacing w:after="0"/>
              <w:rPr>
                <w:sz w:val="8"/>
                <w:szCs w:val="8"/>
                <w:color w:val="auto"/>
              </w:rPr>
            </w:pPr>
          </w:p>
        </w:tc>
        <w:tc>
          <w:tcPr>
            <w:tcW w:w="2740" w:type="dxa"/>
            <w:vAlign w:val="bottom"/>
            <w:gridSpan w:val="2"/>
            <w:vMerge w:val="restart"/>
            <w:shd w:val="clear" w:color="auto" w:fill="E5EAF8"/>
          </w:tcPr>
          <w:p>
            <w:pPr>
              <w:jc w:val="right"/>
              <w:ind w:right="787"/>
              <w:spacing w:after="0"/>
              <w:rPr>
                <w:sz w:val="20"/>
                <w:szCs w:val="20"/>
                <w:color w:val="auto"/>
              </w:rPr>
            </w:pPr>
            <w:r>
              <w:rPr>
                <w:rFonts w:ascii="Arial" w:cs="Arial" w:eastAsia="Arial" w:hAnsi="Arial"/>
                <w:sz w:val="45"/>
                <w:szCs w:val="45"/>
                <w:color w:val="5576D1"/>
              </w:rPr>
              <w:t>11%</w:t>
            </w:r>
          </w:p>
        </w:tc>
        <w:tc>
          <w:tcPr>
            <w:tcW w:w="780" w:type="dxa"/>
            <w:vAlign w:val="bottom"/>
            <w:tcBorders>
              <w:left w:val="single" w:sz="8" w:color="FF7F32"/>
            </w:tcBorders>
            <w:shd w:val="clear" w:color="auto" w:fill="E5EAF8"/>
          </w:tcPr>
          <w:p>
            <w:pPr>
              <w:spacing w:after="0"/>
              <w:rPr>
                <w:sz w:val="8"/>
                <w:szCs w:val="8"/>
                <w:color w:val="auto"/>
              </w:rPr>
            </w:pPr>
          </w:p>
        </w:tc>
        <w:tc>
          <w:tcPr>
            <w:tcW w:w="1520" w:type="dxa"/>
            <w:vAlign w:val="bottom"/>
            <w:gridSpan w:val="2"/>
            <w:vMerge w:val="restart"/>
            <w:shd w:val="clear" w:color="auto" w:fill="E5EAF8"/>
          </w:tcPr>
          <w:p>
            <w:pPr>
              <w:jc w:val="center"/>
              <w:ind w:right="260"/>
              <w:spacing w:after="0"/>
              <w:rPr>
                <w:sz w:val="20"/>
                <w:szCs w:val="20"/>
                <w:color w:val="auto"/>
              </w:rPr>
            </w:pPr>
            <w:r>
              <w:rPr>
                <w:rFonts w:ascii="Arial" w:cs="Arial" w:eastAsia="Arial" w:hAnsi="Arial"/>
                <w:sz w:val="45"/>
                <w:szCs w:val="45"/>
                <w:color w:val="5576D1"/>
              </w:rPr>
              <w:t>1.2B</w:t>
            </w:r>
          </w:p>
        </w:tc>
        <w:tc>
          <w:tcPr>
            <w:tcW w:w="520" w:type="dxa"/>
            <w:vAlign w:val="bottom"/>
            <w:tcBorders>
              <w:right w:val="single" w:sz="8" w:color="FF7F32"/>
            </w:tcBorders>
            <w:shd w:val="clear" w:color="auto" w:fill="E5EAF8"/>
          </w:tcPr>
          <w:p>
            <w:pPr>
              <w:spacing w:after="0"/>
              <w:rPr>
                <w:sz w:val="8"/>
                <w:szCs w:val="8"/>
                <w:color w:val="auto"/>
              </w:rPr>
            </w:pPr>
          </w:p>
        </w:tc>
        <w:tc>
          <w:tcPr>
            <w:tcW w:w="2800" w:type="dxa"/>
            <w:vAlign w:val="bottom"/>
            <w:gridSpan w:val="2"/>
            <w:vMerge w:val="continue"/>
            <w:shd w:val="clear" w:color="auto" w:fill="E5EAF8"/>
          </w:tcPr>
          <w:p>
            <w:pPr>
              <w:spacing w:after="0"/>
              <w:rPr>
                <w:sz w:val="8"/>
                <w:szCs w:val="8"/>
                <w:color w:val="auto"/>
              </w:rPr>
            </w:pPr>
          </w:p>
        </w:tc>
        <w:tc>
          <w:tcPr>
            <w:tcW w:w="0" w:type="dxa"/>
            <w:vAlign w:val="bottom"/>
          </w:tcPr>
          <w:p>
            <w:pPr>
              <w:spacing w:after="0"/>
              <w:rPr>
                <w:sz w:val="1"/>
                <w:szCs w:val="1"/>
                <w:color w:val="auto"/>
              </w:rPr>
            </w:pPr>
          </w:p>
        </w:tc>
      </w:tr>
      <w:tr>
        <w:trPr>
          <w:trHeight w:val="618"/>
        </w:trPr>
        <w:tc>
          <w:tcPr>
            <w:tcW w:w="340" w:type="dxa"/>
            <w:vAlign w:val="bottom"/>
            <w:shd w:val="clear" w:color="auto" w:fill="E5EAF8"/>
          </w:tcPr>
          <w:p>
            <w:pPr>
              <w:spacing w:after="0"/>
              <w:rPr>
                <w:sz w:val="24"/>
                <w:szCs w:val="24"/>
                <w:color w:val="auto"/>
              </w:rPr>
            </w:pPr>
          </w:p>
        </w:tc>
        <w:tc>
          <w:tcPr>
            <w:tcW w:w="2520" w:type="dxa"/>
            <w:vAlign w:val="bottom"/>
            <w:vMerge w:val="continue"/>
            <w:shd w:val="clear" w:color="auto" w:fill="E5EAF8"/>
          </w:tcPr>
          <w:p>
            <w:pPr>
              <w:spacing w:after="0"/>
              <w:rPr>
                <w:sz w:val="24"/>
                <w:szCs w:val="24"/>
                <w:color w:val="auto"/>
              </w:rPr>
            </w:pPr>
          </w:p>
        </w:tc>
        <w:tc>
          <w:tcPr>
            <w:tcW w:w="20" w:type="dxa"/>
            <w:vAlign w:val="bottom"/>
            <w:shd w:val="clear" w:color="auto" w:fill="FF7F32"/>
          </w:tcPr>
          <w:p>
            <w:pPr>
              <w:spacing w:after="0"/>
              <w:rPr>
                <w:sz w:val="24"/>
                <w:szCs w:val="24"/>
                <w:color w:val="auto"/>
              </w:rPr>
            </w:pPr>
          </w:p>
        </w:tc>
        <w:tc>
          <w:tcPr>
            <w:tcW w:w="2740" w:type="dxa"/>
            <w:vAlign w:val="bottom"/>
            <w:gridSpan w:val="2"/>
            <w:vMerge w:val="continue"/>
            <w:shd w:val="clear" w:color="auto" w:fill="E5EAF8"/>
          </w:tcPr>
          <w:p>
            <w:pPr>
              <w:spacing w:after="0"/>
              <w:rPr>
                <w:sz w:val="24"/>
                <w:szCs w:val="24"/>
                <w:color w:val="auto"/>
              </w:rPr>
            </w:pPr>
          </w:p>
        </w:tc>
        <w:tc>
          <w:tcPr>
            <w:tcW w:w="780" w:type="dxa"/>
            <w:vAlign w:val="bottom"/>
            <w:tcBorders>
              <w:left w:val="single" w:sz="8" w:color="FF7F32"/>
            </w:tcBorders>
            <w:shd w:val="clear" w:color="auto" w:fill="E5EAF8"/>
          </w:tcPr>
          <w:p>
            <w:pPr>
              <w:spacing w:after="0"/>
              <w:rPr>
                <w:sz w:val="24"/>
                <w:szCs w:val="24"/>
                <w:color w:val="auto"/>
              </w:rPr>
            </w:pPr>
          </w:p>
        </w:tc>
        <w:tc>
          <w:tcPr>
            <w:tcW w:w="1520" w:type="dxa"/>
            <w:vAlign w:val="bottom"/>
            <w:gridSpan w:val="2"/>
            <w:vMerge w:val="continue"/>
            <w:shd w:val="clear" w:color="auto" w:fill="E5EAF8"/>
          </w:tcPr>
          <w:p>
            <w:pPr>
              <w:spacing w:after="0"/>
              <w:rPr>
                <w:sz w:val="24"/>
                <w:szCs w:val="24"/>
                <w:color w:val="auto"/>
              </w:rPr>
            </w:pPr>
          </w:p>
        </w:tc>
        <w:tc>
          <w:tcPr>
            <w:tcW w:w="520" w:type="dxa"/>
            <w:vAlign w:val="bottom"/>
            <w:tcBorders>
              <w:right w:val="single" w:sz="8" w:color="FF7F32"/>
            </w:tcBorders>
            <w:shd w:val="clear" w:color="auto" w:fill="E5EAF8"/>
          </w:tcPr>
          <w:p>
            <w:pPr>
              <w:spacing w:after="0"/>
              <w:rPr>
                <w:sz w:val="24"/>
                <w:szCs w:val="24"/>
                <w:color w:val="auto"/>
              </w:rPr>
            </w:pPr>
          </w:p>
        </w:tc>
        <w:tc>
          <w:tcPr>
            <w:tcW w:w="2800" w:type="dxa"/>
            <w:vAlign w:val="bottom"/>
            <w:gridSpan w:val="2"/>
            <w:shd w:val="clear" w:color="auto" w:fill="E5EAF8"/>
          </w:tcPr>
          <w:p>
            <w:pPr>
              <w:jc w:val="center"/>
              <w:ind w:right="340"/>
              <w:spacing w:after="0"/>
              <w:rPr>
                <w:sz w:val="20"/>
                <w:szCs w:val="20"/>
                <w:color w:val="auto"/>
              </w:rPr>
            </w:pPr>
            <w:r>
              <w:rPr>
                <w:rFonts w:ascii="Arial" w:cs="Arial" w:eastAsia="Arial" w:hAnsi="Arial"/>
                <w:sz w:val="45"/>
                <w:szCs w:val="45"/>
                <w:color w:val="5576D1"/>
              </w:rPr>
              <w:t>$3.4B</w:t>
            </w:r>
          </w:p>
        </w:tc>
        <w:tc>
          <w:tcPr>
            <w:tcW w:w="0" w:type="dxa"/>
            <w:vAlign w:val="bottom"/>
          </w:tcPr>
          <w:p>
            <w:pPr>
              <w:spacing w:after="0"/>
              <w:rPr>
                <w:sz w:val="1"/>
                <w:szCs w:val="1"/>
                <w:color w:val="auto"/>
              </w:rPr>
            </w:pPr>
          </w:p>
        </w:tc>
      </w:tr>
      <w:tr>
        <w:trPr>
          <w:trHeight w:val="328"/>
        </w:trPr>
        <w:tc>
          <w:tcPr>
            <w:tcW w:w="340" w:type="dxa"/>
            <w:vAlign w:val="bottom"/>
            <w:tcBorders>
              <w:bottom w:val="single" w:sz="8" w:color="E5EAF8"/>
            </w:tcBorders>
            <w:shd w:val="clear" w:color="auto" w:fill="E5EAF8"/>
          </w:tcPr>
          <w:p>
            <w:pPr>
              <w:spacing w:after="0"/>
              <w:rPr>
                <w:sz w:val="24"/>
                <w:szCs w:val="24"/>
                <w:color w:val="auto"/>
              </w:rPr>
            </w:pPr>
          </w:p>
        </w:tc>
        <w:tc>
          <w:tcPr>
            <w:tcW w:w="2520" w:type="dxa"/>
            <w:vAlign w:val="bottom"/>
            <w:tcBorders>
              <w:bottom w:val="single" w:sz="8" w:color="FF7F32"/>
            </w:tcBorders>
            <w:shd w:val="clear" w:color="auto" w:fill="E5EAF8"/>
          </w:tcPr>
          <w:p>
            <w:pPr>
              <w:spacing w:after="0"/>
              <w:rPr>
                <w:sz w:val="24"/>
                <w:szCs w:val="24"/>
                <w:color w:val="auto"/>
              </w:rPr>
            </w:pPr>
          </w:p>
        </w:tc>
        <w:tc>
          <w:tcPr>
            <w:tcW w:w="20" w:type="dxa"/>
            <w:vAlign w:val="bottom"/>
            <w:tcBorders>
              <w:bottom w:val="single" w:sz="8" w:color="FF7F32"/>
            </w:tcBorders>
            <w:shd w:val="clear" w:color="auto" w:fill="FF7F32"/>
          </w:tcPr>
          <w:p>
            <w:pPr>
              <w:spacing w:after="0"/>
              <w:rPr>
                <w:sz w:val="24"/>
                <w:szCs w:val="24"/>
                <w:color w:val="auto"/>
              </w:rPr>
            </w:pPr>
          </w:p>
        </w:tc>
        <w:tc>
          <w:tcPr>
            <w:tcW w:w="1020" w:type="dxa"/>
            <w:vAlign w:val="bottom"/>
            <w:tcBorders>
              <w:bottom w:val="single" w:sz="8" w:color="FF7F32"/>
              <w:right w:val="single" w:sz="8" w:color="E5EAF8"/>
            </w:tcBorders>
            <w:shd w:val="clear" w:color="auto" w:fill="E5EAF8"/>
          </w:tcPr>
          <w:p>
            <w:pPr>
              <w:spacing w:after="0"/>
              <w:rPr>
                <w:sz w:val="24"/>
                <w:szCs w:val="24"/>
                <w:color w:val="auto"/>
              </w:rPr>
            </w:pPr>
          </w:p>
        </w:tc>
        <w:tc>
          <w:tcPr>
            <w:tcW w:w="1720" w:type="dxa"/>
            <w:vAlign w:val="bottom"/>
            <w:tcBorders>
              <w:bottom w:val="single" w:sz="8" w:color="FF7F32"/>
            </w:tcBorders>
            <w:shd w:val="clear" w:color="auto" w:fill="E5EAF8"/>
          </w:tcPr>
          <w:p>
            <w:pPr>
              <w:spacing w:after="0"/>
              <w:rPr>
                <w:sz w:val="24"/>
                <w:szCs w:val="24"/>
                <w:color w:val="auto"/>
              </w:rPr>
            </w:pPr>
          </w:p>
        </w:tc>
        <w:tc>
          <w:tcPr>
            <w:tcW w:w="780" w:type="dxa"/>
            <w:vAlign w:val="bottom"/>
            <w:tcBorders>
              <w:left w:val="single" w:sz="8" w:color="FF7F32"/>
              <w:bottom w:val="single" w:sz="8" w:color="FF7F32"/>
            </w:tcBorders>
            <w:shd w:val="clear" w:color="auto" w:fill="E5EAF8"/>
          </w:tcPr>
          <w:p>
            <w:pPr>
              <w:spacing w:after="0"/>
              <w:rPr>
                <w:sz w:val="24"/>
                <w:szCs w:val="24"/>
                <w:color w:val="auto"/>
              </w:rPr>
            </w:pPr>
          </w:p>
        </w:tc>
        <w:tc>
          <w:tcPr>
            <w:tcW w:w="980" w:type="dxa"/>
            <w:vAlign w:val="bottom"/>
            <w:tcBorders>
              <w:bottom w:val="single" w:sz="8" w:color="FF7F32"/>
              <w:right w:val="single" w:sz="8" w:color="E5EAF8"/>
            </w:tcBorders>
            <w:shd w:val="clear" w:color="auto" w:fill="E5EAF8"/>
          </w:tcPr>
          <w:p>
            <w:pPr>
              <w:spacing w:after="0"/>
              <w:rPr>
                <w:sz w:val="24"/>
                <w:szCs w:val="24"/>
                <w:color w:val="auto"/>
              </w:rPr>
            </w:pPr>
          </w:p>
        </w:tc>
        <w:tc>
          <w:tcPr>
            <w:tcW w:w="540" w:type="dxa"/>
            <w:vAlign w:val="bottom"/>
            <w:tcBorders>
              <w:bottom w:val="single" w:sz="8" w:color="FF7F32"/>
            </w:tcBorders>
            <w:shd w:val="clear" w:color="auto" w:fill="E5EAF8"/>
          </w:tcPr>
          <w:p>
            <w:pPr>
              <w:spacing w:after="0"/>
              <w:rPr>
                <w:sz w:val="24"/>
                <w:szCs w:val="24"/>
                <w:color w:val="auto"/>
              </w:rPr>
            </w:pPr>
          </w:p>
        </w:tc>
        <w:tc>
          <w:tcPr>
            <w:tcW w:w="520" w:type="dxa"/>
            <w:vAlign w:val="bottom"/>
            <w:tcBorders>
              <w:bottom w:val="single" w:sz="8" w:color="FF7F32"/>
              <w:right w:val="single" w:sz="8" w:color="FF7F32"/>
            </w:tcBorders>
            <w:shd w:val="clear" w:color="auto" w:fill="E5EAF8"/>
          </w:tcPr>
          <w:p>
            <w:pPr>
              <w:spacing w:after="0"/>
              <w:rPr>
                <w:sz w:val="24"/>
                <w:szCs w:val="24"/>
                <w:color w:val="auto"/>
              </w:rPr>
            </w:pPr>
          </w:p>
        </w:tc>
        <w:tc>
          <w:tcPr>
            <w:tcW w:w="2460" w:type="dxa"/>
            <w:vAlign w:val="bottom"/>
            <w:tcBorders>
              <w:bottom w:val="single" w:sz="8" w:color="FF7F32"/>
            </w:tcBorders>
            <w:shd w:val="clear" w:color="auto" w:fill="E5EAF8"/>
          </w:tcPr>
          <w:p>
            <w:pPr>
              <w:spacing w:after="0"/>
              <w:rPr>
                <w:sz w:val="24"/>
                <w:szCs w:val="24"/>
                <w:color w:val="auto"/>
              </w:rPr>
            </w:pPr>
          </w:p>
        </w:tc>
        <w:tc>
          <w:tcPr>
            <w:tcW w:w="340" w:type="dxa"/>
            <w:vAlign w:val="bottom"/>
            <w:tcBorders>
              <w:bottom w:val="single" w:sz="8" w:color="E5EAF8"/>
            </w:tcBorders>
            <w:shd w:val="clear" w:color="auto" w:fill="E5EAF8"/>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340" w:type="dxa"/>
            <w:vAlign w:val="bottom"/>
            <w:shd w:val="clear" w:color="auto" w:fill="E5EAF8"/>
          </w:tcPr>
          <w:p>
            <w:pPr>
              <w:spacing w:after="0"/>
              <w:rPr>
                <w:sz w:val="24"/>
                <w:szCs w:val="24"/>
                <w:color w:val="auto"/>
              </w:rPr>
            </w:pPr>
          </w:p>
        </w:tc>
        <w:tc>
          <w:tcPr>
            <w:tcW w:w="2520" w:type="dxa"/>
            <w:vAlign w:val="bottom"/>
            <w:vMerge w:val="restart"/>
            <w:shd w:val="clear" w:color="auto" w:fill="E5EAF8"/>
          </w:tcPr>
          <w:p>
            <w:pPr>
              <w:ind w:left="1180"/>
              <w:spacing w:after="0"/>
              <w:rPr>
                <w:sz w:val="20"/>
                <w:szCs w:val="20"/>
                <w:color w:val="auto"/>
              </w:rPr>
            </w:pPr>
            <w:r>
              <w:rPr>
                <w:rFonts w:ascii="Arial" w:cs="Arial" w:eastAsia="Arial" w:hAnsi="Arial"/>
                <w:sz w:val="16"/>
                <w:szCs w:val="16"/>
                <w:color w:val="auto"/>
              </w:rPr>
              <w:t>Active Devices</w:t>
            </w:r>
            <w:r>
              <w:rPr>
                <w:rFonts w:ascii="Arial" w:cs="Arial" w:eastAsia="Arial" w:hAnsi="Arial"/>
                <w:sz w:val="21"/>
                <w:szCs w:val="21"/>
                <w:color w:val="auto"/>
                <w:vertAlign w:val="superscript"/>
              </w:rPr>
              <w:t>(2)</w:t>
            </w:r>
          </w:p>
        </w:tc>
        <w:tc>
          <w:tcPr>
            <w:tcW w:w="20" w:type="dxa"/>
            <w:vAlign w:val="bottom"/>
            <w:shd w:val="clear" w:color="auto" w:fill="E5EAF8"/>
          </w:tcPr>
          <w:p>
            <w:pPr>
              <w:spacing w:after="0"/>
              <w:rPr>
                <w:sz w:val="24"/>
                <w:szCs w:val="24"/>
                <w:color w:val="auto"/>
              </w:rPr>
            </w:pPr>
          </w:p>
        </w:tc>
        <w:tc>
          <w:tcPr>
            <w:tcW w:w="1020" w:type="dxa"/>
            <w:vAlign w:val="bottom"/>
            <w:tcBorders>
              <w:right w:val="single" w:sz="8" w:color="FF7F32"/>
            </w:tcBorders>
            <w:shd w:val="clear" w:color="auto" w:fill="E5EAF8"/>
          </w:tcPr>
          <w:p>
            <w:pPr>
              <w:spacing w:after="0"/>
              <w:rPr>
                <w:sz w:val="24"/>
                <w:szCs w:val="24"/>
                <w:color w:val="auto"/>
              </w:rPr>
            </w:pPr>
          </w:p>
        </w:tc>
        <w:tc>
          <w:tcPr>
            <w:tcW w:w="2500" w:type="dxa"/>
            <w:vAlign w:val="bottom"/>
            <w:gridSpan w:val="2"/>
            <w:vMerge w:val="restart"/>
            <w:shd w:val="clear" w:color="auto" w:fill="E5EAF8"/>
          </w:tcPr>
          <w:p>
            <w:pPr>
              <w:jc w:val="center"/>
              <w:ind w:left="807"/>
              <w:spacing w:after="0"/>
              <w:rPr>
                <w:sz w:val="20"/>
                <w:szCs w:val="20"/>
                <w:color w:val="auto"/>
              </w:rPr>
            </w:pPr>
            <w:r>
              <w:rPr>
                <w:rFonts w:ascii="Arial" w:cs="Arial" w:eastAsia="Arial" w:hAnsi="Arial"/>
                <w:sz w:val="16"/>
                <w:szCs w:val="16"/>
                <w:color w:val="auto"/>
                <w:w w:val="99"/>
              </w:rPr>
              <w:t>Recurring Revenue</w:t>
            </w:r>
            <w:r>
              <w:rPr>
                <w:rFonts w:ascii="Arial" w:cs="Arial" w:eastAsia="Arial" w:hAnsi="Arial"/>
                <w:sz w:val="21"/>
                <w:szCs w:val="21"/>
                <w:color w:val="auto"/>
                <w:w w:val="99"/>
                <w:vertAlign w:val="superscript"/>
              </w:rPr>
              <w:t>(3)</w:t>
            </w:r>
          </w:p>
        </w:tc>
        <w:tc>
          <w:tcPr>
            <w:tcW w:w="980" w:type="dxa"/>
            <w:vAlign w:val="bottom"/>
            <w:tcBorders>
              <w:right w:val="single" w:sz="8" w:color="FF7F32"/>
            </w:tcBorders>
            <w:shd w:val="clear" w:color="auto" w:fill="E5EAF8"/>
          </w:tcPr>
          <w:p>
            <w:pPr>
              <w:spacing w:after="0"/>
              <w:rPr>
                <w:sz w:val="24"/>
                <w:szCs w:val="24"/>
                <w:color w:val="auto"/>
              </w:rPr>
            </w:pPr>
          </w:p>
        </w:tc>
        <w:tc>
          <w:tcPr>
            <w:tcW w:w="540" w:type="dxa"/>
            <w:vAlign w:val="bottom"/>
            <w:shd w:val="clear" w:color="auto" w:fill="E5EAF8"/>
          </w:tcPr>
          <w:p>
            <w:pPr>
              <w:spacing w:after="0"/>
              <w:rPr>
                <w:sz w:val="24"/>
                <w:szCs w:val="24"/>
                <w:color w:val="auto"/>
              </w:rPr>
            </w:pPr>
          </w:p>
        </w:tc>
        <w:tc>
          <w:tcPr>
            <w:tcW w:w="520" w:type="dxa"/>
            <w:vAlign w:val="bottom"/>
            <w:tcBorders>
              <w:right w:val="single" w:sz="8" w:color="E5EAF8"/>
            </w:tcBorders>
            <w:shd w:val="clear" w:color="auto" w:fill="E5EAF8"/>
          </w:tcPr>
          <w:p>
            <w:pPr>
              <w:spacing w:after="0"/>
              <w:rPr>
                <w:sz w:val="24"/>
                <w:szCs w:val="24"/>
                <w:color w:val="auto"/>
              </w:rPr>
            </w:pPr>
          </w:p>
        </w:tc>
        <w:tc>
          <w:tcPr>
            <w:tcW w:w="2800" w:type="dxa"/>
            <w:vAlign w:val="bottom"/>
            <w:gridSpan w:val="2"/>
            <w:shd w:val="clear" w:color="auto" w:fill="E5EAF8"/>
          </w:tcPr>
          <w:p>
            <w:pPr>
              <w:jc w:val="center"/>
              <w:ind w:right="1400"/>
              <w:spacing w:after="0"/>
              <w:rPr>
                <w:sz w:val="20"/>
                <w:szCs w:val="20"/>
                <w:color w:val="auto"/>
              </w:rPr>
            </w:pPr>
            <w:r>
              <w:rPr>
                <w:rFonts w:ascii="Arial" w:cs="Arial" w:eastAsia="Arial" w:hAnsi="Arial"/>
                <w:sz w:val="16"/>
                <w:szCs w:val="16"/>
                <w:color w:val="auto"/>
              </w:rPr>
              <w:t>Dollar Volume of</w:t>
            </w:r>
          </w:p>
        </w:tc>
        <w:tc>
          <w:tcPr>
            <w:tcW w:w="0" w:type="dxa"/>
            <w:vAlign w:val="bottom"/>
          </w:tcPr>
          <w:p>
            <w:pPr>
              <w:spacing w:after="0"/>
              <w:rPr>
                <w:sz w:val="1"/>
                <w:szCs w:val="1"/>
                <w:color w:val="auto"/>
              </w:rPr>
            </w:pPr>
          </w:p>
        </w:tc>
      </w:tr>
      <w:tr>
        <w:trPr>
          <w:trHeight w:val="145"/>
        </w:trPr>
        <w:tc>
          <w:tcPr>
            <w:tcW w:w="340" w:type="dxa"/>
            <w:vAlign w:val="bottom"/>
            <w:shd w:val="clear" w:color="auto" w:fill="E5EAF8"/>
          </w:tcPr>
          <w:p>
            <w:pPr>
              <w:spacing w:after="0"/>
              <w:rPr>
                <w:sz w:val="12"/>
                <w:szCs w:val="12"/>
                <w:color w:val="auto"/>
              </w:rPr>
            </w:pPr>
          </w:p>
        </w:tc>
        <w:tc>
          <w:tcPr>
            <w:tcW w:w="2520" w:type="dxa"/>
            <w:vAlign w:val="bottom"/>
            <w:vMerge w:val="continue"/>
            <w:shd w:val="clear" w:color="auto" w:fill="E5EAF8"/>
          </w:tcPr>
          <w:p>
            <w:pPr>
              <w:spacing w:after="0"/>
              <w:rPr>
                <w:sz w:val="12"/>
                <w:szCs w:val="12"/>
                <w:color w:val="auto"/>
              </w:rPr>
            </w:pPr>
          </w:p>
        </w:tc>
        <w:tc>
          <w:tcPr>
            <w:tcW w:w="20" w:type="dxa"/>
            <w:vAlign w:val="bottom"/>
            <w:shd w:val="clear" w:color="auto" w:fill="E5EAF8"/>
          </w:tcPr>
          <w:p>
            <w:pPr>
              <w:spacing w:after="0"/>
              <w:rPr>
                <w:sz w:val="12"/>
                <w:szCs w:val="12"/>
                <w:color w:val="auto"/>
              </w:rPr>
            </w:pPr>
          </w:p>
        </w:tc>
        <w:tc>
          <w:tcPr>
            <w:tcW w:w="1020" w:type="dxa"/>
            <w:vAlign w:val="bottom"/>
            <w:tcBorders>
              <w:right w:val="single" w:sz="8" w:color="FF7F32"/>
            </w:tcBorders>
            <w:shd w:val="clear" w:color="auto" w:fill="E5EAF8"/>
          </w:tcPr>
          <w:p>
            <w:pPr>
              <w:spacing w:after="0"/>
              <w:rPr>
                <w:sz w:val="12"/>
                <w:szCs w:val="12"/>
                <w:color w:val="auto"/>
              </w:rPr>
            </w:pPr>
          </w:p>
        </w:tc>
        <w:tc>
          <w:tcPr>
            <w:tcW w:w="2500" w:type="dxa"/>
            <w:vAlign w:val="bottom"/>
            <w:gridSpan w:val="2"/>
            <w:vMerge w:val="continue"/>
            <w:shd w:val="clear" w:color="auto" w:fill="E5EAF8"/>
          </w:tcPr>
          <w:p>
            <w:pPr>
              <w:spacing w:after="0"/>
              <w:rPr>
                <w:sz w:val="12"/>
                <w:szCs w:val="12"/>
                <w:color w:val="auto"/>
              </w:rPr>
            </w:pPr>
          </w:p>
        </w:tc>
        <w:tc>
          <w:tcPr>
            <w:tcW w:w="980" w:type="dxa"/>
            <w:vAlign w:val="bottom"/>
            <w:tcBorders>
              <w:right w:val="single" w:sz="8" w:color="FF7F32"/>
            </w:tcBorders>
            <w:shd w:val="clear" w:color="auto" w:fill="E5EAF8"/>
          </w:tcPr>
          <w:p>
            <w:pPr>
              <w:spacing w:after="0"/>
              <w:rPr>
                <w:sz w:val="12"/>
                <w:szCs w:val="12"/>
                <w:color w:val="auto"/>
              </w:rPr>
            </w:pPr>
          </w:p>
        </w:tc>
        <w:tc>
          <w:tcPr>
            <w:tcW w:w="540" w:type="dxa"/>
            <w:vAlign w:val="bottom"/>
            <w:shd w:val="clear" w:color="auto" w:fill="E5EAF8"/>
          </w:tcPr>
          <w:p>
            <w:pPr>
              <w:spacing w:after="0"/>
              <w:rPr>
                <w:sz w:val="12"/>
                <w:szCs w:val="12"/>
                <w:color w:val="auto"/>
              </w:rPr>
            </w:pPr>
          </w:p>
        </w:tc>
        <w:tc>
          <w:tcPr>
            <w:tcW w:w="3320" w:type="dxa"/>
            <w:vAlign w:val="bottom"/>
            <w:gridSpan w:val="3"/>
            <w:vMerge w:val="restart"/>
            <w:shd w:val="clear" w:color="auto" w:fill="E5EAF8"/>
          </w:tcPr>
          <w:p>
            <w:pPr>
              <w:jc w:val="center"/>
              <w:ind w:right="880"/>
              <w:spacing w:after="0"/>
              <w:rPr>
                <w:sz w:val="20"/>
                <w:szCs w:val="20"/>
                <w:color w:val="auto"/>
              </w:rPr>
            </w:pPr>
            <w:r>
              <w:rPr>
                <w:rFonts w:ascii="Arial" w:cs="Arial" w:eastAsia="Arial" w:hAnsi="Arial"/>
                <w:sz w:val="16"/>
                <w:szCs w:val="16"/>
                <w:color w:val="auto"/>
                <w:w w:val="99"/>
              </w:rPr>
              <w:t>Transactions Growth (YoY)</w:t>
            </w:r>
          </w:p>
        </w:tc>
        <w:tc>
          <w:tcPr>
            <w:tcW w:w="0" w:type="dxa"/>
            <w:vAlign w:val="bottom"/>
          </w:tcPr>
          <w:p>
            <w:pPr>
              <w:spacing w:after="0"/>
              <w:rPr>
                <w:sz w:val="1"/>
                <w:szCs w:val="1"/>
                <w:color w:val="auto"/>
              </w:rPr>
            </w:pPr>
          </w:p>
        </w:tc>
      </w:tr>
      <w:tr>
        <w:trPr>
          <w:trHeight w:val="98"/>
        </w:trPr>
        <w:tc>
          <w:tcPr>
            <w:tcW w:w="340" w:type="dxa"/>
            <w:vAlign w:val="bottom"/>
            <w:shd w:val="clear" w:color="auto" w:fill="E5EAF8"/>
          </w:tcPr>
          <w:p>
            <w:pPr>
              <w:spacing w:after="0"/>
              <w:rPr>
                <w:sz w:val="8"/>
                <w:szCs w:val="8"/>
                <w:color w:val="auto"/>
              </w:rPr>
            </w:pPr>
          </w:p>
        </w:tc>
        <w:tc>
          <w:tcPr>
            <w:tcW w:w="2520" w:type="dxa"/>
            <w:vAlign w:val="bottom"/>
            <w:vMerge w:val="restart"/>
            <w:shd w:val="clear" w:color="auto" w:fill="E5EAF8"/>
          </w:tcPr>
          <w:p>
            <w:pPr>
              <w:ind w:left="1140"/>
              <w:spacing w:after="0"/>
              <w:rPr>
                <w:sz w:val="20"/>
                <w:szCs w:val="20"/>
                <w:color w:val="auto"/>
              </w:rPr>
            </w:pPr>
            <w:r>
              <w:rPr>
                <w:rFonts w:ascii="Arial" w:cs="Arial" w:eastAsia="Arial" w:hAnsi="Arial"/>
                <w:sz w:val="45"/>
                <w:szCs w:val="45"/>
                <w:color w:val="5576D1"/>
              </w:rPr>
              <w:t>1.28M</w:t>
            </w:r>
          </w:p>
        </w:tc>
        <w:tc>
          <w:tcPr>
            <w:tcW w:w="20" w:type="dxa"/>
            <w:vAlign w:val="bottom"/>
            <w:shd w:val="clear" w:color="auto" w:fill="E5EAF8"/>
          </w:tcPr>
          <w:p>
            <w:pPr>
              <w:spacing w:after="0"/>
              <w:rPr>
                <w:sz w:val="8"/>
                <w:szCs w:val="8"/>
                <w:color w:val="auto"/>
              </w:rPr>
            </w:pPr>
          </w:p>
        </w:tc>
        <w:tc>
          <w:tcPr>
            <w:tcW w:w="1020" w:type="dxa"/>
            <w:vAlign w:val="bottom"/>
            <w:tcBorders>
              <w:right w:val="single" w:sz="8" w:color="FF7F32"/>
            </w:tcBorders>
            <w:shd w:val="clear" w:color="auto" w:fill="E5EAF8"/>
          </w:tcPr>
          <w:p>
            <w:pPr>
              <w:spacing w:after="0"/>
              <w:rPr>
                <w:sz w:val="8"/>
                <w:szCs w:val="8"/>
                <w:color w:val="auto"/>
              </w:rPr>
            </w:pPr>
          </w:p>
        </w:tc>
        <w:tc>
          <w:tcPr>
            <w:tcW w:w="2500" w:type="dxa"/>
            <w:vAlign w:val="bottom"/>
            <w:gridSpan w:val="2"/>
            <w:vMerge w:val="restart"/>
            <w:shd w:val="clear" w:color="auto" w:fill="E5EAF8"/>
          </w:tcPr>
          <w:p>
            <w:pPr>
              <w:jc w:val="right"/>
              <w:ind w:right="320"/>
              <w:spacing w:after="0"/>
              <w:rPr>
                <w:sz w:val="20"/>
                <w:szCs w:val="20"/>
                <w:color w:val="auto"/>
              </w:rPr>
            </w:pPr>
            <w:r>
              <w:rPr>
                <w:rFonts w:ascii="Arial" w:cs="Arial" w:eastAsia="Arial" w:hAnsi="Arial"/>
                <w:sz w:val="45"/>
                <w:szCs w:val="45"/>
                <w:color w:val="5576D1"/>
              </w:rPr>
              <w:t>87%</w:t>
            </w:r>
          </w:p>
        </w:tc>
        <w:tc>
          <w:tcPr>
            <w:tcW w:w="980" w:type="dxa"/>
            <w:vAlign w:val="bottom"/>
            <w:tcBorders>
              <w:right w:val="single" w:sz="8" w:color="FF7F32"/>
            </w:tcBorders>
            <w:shd w:val="clear" w:color="auto" w:fill="E5EAF8"/>
          </w:tcPr>
          <w:p>
            <w:pPr>
              <w:spacing w:after="0"/>
              <w:rPr>
                <w:sz w:val="8"/>
                <w:szCs w:val="8"/>
                <w:color w:val="auto"/>
              </w:rPr>
            </w:pPr>
          </w:p>
        </w:tc>
        <w:tc>
          <w:tcPr>
            <w:tcW w:w="540" w:type="dxa"/>
            <w:vAlign w:val="bottom"/>
            <w:shd w:val="clear" w:color="auto" w:fill="E5EAF8"/>
          </w:tcPr>
          <w:p>
            <w:pPr>
              <w:spacing w:after="0"/>
              <w:rPr>
                <w:sz w:val="8"/>
                <w:szCs w:val="8"/>
                <w:color w:val="auto"/>
              </w:rPr>
            </w:pPr>
          </w:p>
        </w:tc>
        <w:tc>
          <w:tcPr>
            <w:tcW w:w="3320" w:type="dxa"/>
            <w:vAlign w:val="bottom"/>
            <w:gridSpan w:val="3"/>
            <w:vMerge w:val="continue"/>
            <w:shd w:val="clear" w:color="auto" w:fill="E5EAF8"/>
          </w:tcPr>
          <w:p>
            <w:pPr>
              <w:spacing w:after="0"/>
              <w:rPr>
                <w:sz w:val="8"/>
                <w:szCs w:val="8"/>
                <w:color w:val="auto"/>
              </w:rPr>
            </w:pPr>
          </w:p>
        </w:tc>
        <w:tc>
          <w:tcPr>
            <w:tcW w:w="0" w:type="dxa"/>
            <w:vAlign w:val="bottom"/>
          </w:tcPr>
          <w:p>
            <w:pPr>
              <w:spacing w:after="0"/>
              <w:rPr>
                <w:sz w:val="1"/>
                <w:szCs w:val="1"/>
                <w:color w:val="auto"/>
              </w:rPr>
            </w:pPr>
          </w:p>
        </w:tc>
      </w:tr>
      <w:tr>
        <w:trPr>
          <w:trHeight w:val="657"/>
        </w:trPr>
        <w:tc>
          <w:tcPr>
            <w:tcW w:w="340" w:type="dxa"/>
            <w:vAlign w:val="bottom"/>
            <w:tcBorders>
              <w:bottom w:val="single" w:sz="8" w:color="E5EAF8"/>
            </w:tcBorders>
            <w:shd w:val="clear" w:color="auto" w:fill="E5EAF8"/>
          </w:tcPr>
          <w:p>
            <w:pPr>
              <w:spacing w:after="0"/>
              <w:rPr>
                <w:sz w:val="24"/>
                <w:szCs w:val="24"/>
                <w:color w:val="auto"/>
              </w:rPr>
            </w:pPr>
          </w:p>
        </w:tc>
        <w:tc>
          <w:tcPr>
            <w:tcW w:w="2520" w:type="dxa"/>
            <w:vAlign w:val="bottom"/>
            <w:tcBorders>
              <w:bottom w:val="single" w:sz="8" w:color="E5EAF8"/>
            </w:tcBorders>
            <w:vMerge w:val="continue"/>
            <w:shd w:val="clear" w:color="auto" w:fill="E5EAF8"/>
          </w:tcPr>
          <w:p>
            <w:pPr>
              <w:spacing w:after="0"/>
              <w:rPr>
                <w:sz w:val="24"/>
                <w:szCs w:val="24"/>
                <w:color w:val="auto"/>
              </w:rPr>
            </w:pPr>
          </w:p>
        </w:tc>
        <w:tc>
          <w:tcPr>
            <w:tcW w:w="20" w:type="dxa"/>
            <w:vAlign w:val="bottom"/>
            <w:tcBorders>
              <w:bottom w:val="single" w:sz="8" w:color="E5EAF8"/>
            </w:tcBorders>
            <w:shd w:val="clear" w:color="auto" w:fill="E5EAF8"/>
          </w:tcPr>
          <w:p>
            <w:pPr>
              <w:spacing w:after="0"/>
              <w:rPr>
                <w:sz w:val="24"/>
                <w:szCs w:val="24"/>
                <w:color w:val="auto"/>
              </w:rPr>
            </w:pPr>
          </w:p>
        </w:tc>
        <w:tc>
          <w:tcPr>
            <w:tcW w:w="1020" w:type="dxa"/>
            <w:vAlign w:val="bottom"/>
            <w:tcBorders>
              <w:bottom w:val="single" w:sz="8" w:color="E5EAF8"/>
              <w:right w:val="single" w:sz="8" w:color="FF7F32"/>
            </w:tcBorders>
            <w:shd w:val="clear" w:color="auto" w:fill="E5EAF8"/>
          </w:tcPr>
          <w:p>
            <w:pPr>
              <w:spacing w:after="0"/>
              <w:rPr>
                <w:sz w:val="24"/>
                <w:szCs w:val="24"/>
                <w:color w:val="auto"/>
              </w:rPr>
            </w:pPr>
          </w:p>
        </w:tc>
        <w:tc>
          <w:tcPr>
            <w:tcW w:w="2500" w:type="dxa"/>
            <w:vAlign w:val="bottom"/>
            <w:tcBorders>
              <w:bottom w:val="single" w:sz="8" w:color="E5EAF8"/>
            </w:tcBorders>
            <w:gridSpan w:val="2"/>
            <w:vMerge w:val="continue"/>
            <w:shd w:val="clear" w:color="auto" w:fill="E5EAF8"/>
          </w:tcPr>
          <w:p>
            <w:pPr>
              <w:spacing w:after="0"/>
              <w:rPr>
                <w:sz w:val="24"/>
                <w:szCs w:val="24"/>
                <w:color w:val="auto"/>
              </w:rPr>
            </w:pPr>
          </w:p>
        </w:tc>
        <w:tc>
          <w:tcPr>
            <w:tcW w:w="980" w:type="dxa"/>
            <w:vAlign w:val="bottom"/>
            <w:tcBorders>
              <w:bottom w:val="single" w:sz="8" w:color="E5EAF8"/>
              <w:right w:val="single" w:sz="8" w:color="FF7F32"/>
            </w:tcBorders>
            <w:shd w:val="clear" w:color="auto" w:fill="E5EAF8"/>
          </w:tcPr>
          <w:p>
            <w:pPr>
              <w:spacing w:after="0"/>
              <w:rPr>
                <w:sz w:val="24"/>
                <w:szCs w:val="24"/>
                <w:color w:val="auto"/>
              </w:rPr>
            </w:pPr>
          </w:p>
        </w:tc>
        <w:tc>
          <w:tcPr>
            <w:tcW w:w="540" w:type="dxa"/>
            <w:vAlign w:val="bottom"/>
            <w:tcBorders>
              <w:bottom w:val="single" w:sz="8" w:color="E5EAF8"/>
            </w:tcBorders>
            <w:shd w:val="clear" w:color="auto" w:fill="E5EAF8"/>
          </w:tcPr>
          <w:p>
            <w:pPr>
              <w:spacing w:after="0"/>
              <w:rPr>
                <w:sz w:val="24"/>
                <w:szCs w:val="24"/>
                <w:color w:val="auto"/>
              </w:rPr>
            </w:pPr>
          </w:p>
        </w:tc>
        <w:tc>
          <w:tcPr>
            <w:tcW w:w="2980" w:type="dxa"/>
            <w:vAlign w:val="bottom"/>
            <w:tcBorders>
              <w:bottom w:val="single" w:sz="8" w:color="E5EAF8"/>
            </w:tcBorders>
            <w:gridSpan w:val="2"/>
            <w:shd w:val="clear" w:color="auto" w:fill="E5EAF8"/>
          </w:tcPr>
          <w:p>
            <w:pPr>
              <w:jc w:val="center"/>
              <w:ind w:right="403"/>
              <w:spacing w:after="0"/>
              <w:rPr>
                <w:sz w:val="20"/>
                <w:szCs w:val="20"/>
                <w:color w:val="auto"/>
              </w:rPr>
            </w:pPr>
            <w:r>
              <w:rPr>
                <w:rFonts w:ascii="Arial" w:cs="Arial" w:eastAsia="Arial" w:hAnsi="Arial"/>
                <w:sz w:val="45"/>
                <w:szCs w:val="45"/>
                <w:color w:val="5576D1"/>
                <w:w w:val="99"/>
              </w:rPr>
              <w:t>13%</w:t>
            </w:r>
          </w:p>
        </w:tc>
        <w:tc>
          <w:tcPr>
            <w:tcW w:w="340" w:type="dxa"/>
            <w:vAlign w:val="bottom"/>
            <w:tcBorders>
              <w:bottom w:val="single" w:sz="8" w:color="E5EAF8"/>
            </w:tcBorders>
            <w:shd w:val="clear" w:color="auto" w:fill="E5EAF8"/>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40" w:type="dxa"/>
            <w:vAlign w:val="bottom"/>
            <w:shd w:val="clear" w:color="auto" w:fill="E5EAF8"/>
          </w:tcPr>
          <w:p>
            <w:pPr>
              <w:spacing w:after="0"/>
              <w:rPr>
                <w:sz w:val="14"/>
                <w:szCs w:val="14"/>
                <w:color w:val="auto"/>
              </w:rPr>
            </w:pPr>
          </w:p>
        </w:tc>
        <w:tc>
          <w:tcPr>
            <w:tcW w:w="2520" w:type="dxa"/>
            <w:vAlign w:val="bottom"/>
            <w:shd w:val="clear" w:color="auto" w:fill="E5EAF8"/>
          </w:tcPr>
          <w:p>
            <w:pPr>
              <w:spacing w:after="0"/>
              <w:rPr>
                <w:sz w:val="14"/>
                <w:szCs w:val="14"/>
                <w:color w:val="auto"/>
              </w:rPr>
            </w:pPr>
          </w:p>
        </w:tc>
        <w:tc>
          <w:tcPr>
            <w:tcW w:w="20" w:type="dxa"/>
            <w:vAlign w:val="bottom"/>
            <w:shd w:val="clear" w:color="auto" w:fill="E5EAF8"/>
          </w:tcPr>
          <w:p>
            <w:pPr>
              <w:spacing w:after="0"/>
              <w:rPr>
                <w:sz w:val="14"/>
                <w:szCs w:val="14"/>
                <w:color w:val="auto"/>
              </w:rPr>
            </w:pPr>
          </w:p>
        </w:tc>
        <w:tc>
          <w:tcPr>
            <w:tcW w:w="1020" w:type="dxa"/>
            <w:vAlign w:val="bottom"/>
            <w:tcBorders>
              <w:right w:val="single" w:sz="8" w:color="E5EAF8"/>
            </w:tcBorders>
            <w:shd w:val="clear" w:color="auto" w:fill="E5EAF8"/>
          </w:tcPr>
          <w:p>
            <w:pPr>
              <w:spacing w:after="0"/>
              <w:rPr>
                <w:sz w:val="14"/>
                <w:szCs w:val="14"/>
                <w:color w:val="auto"/>
              </w:rPr>
            </w:pPr>
          </w:p>
        </w:tc>
        <w:tc>
          <w:tcPr>
            <w:tcW w:w="1720" w:type="dxa"/>
            <w:vAlign w:val="bottom"/>
            <w:shd w:val="clear" w:color="auto" w:fill="E5EAF8"/>
          </w:tcPr>
          <w:p>
            <w:pPr>
              <w:spacing w:after="0"/>
              <w:rPr>
                <w:sz w:val="14"/>
                <w:szCs w:val="14"/>
                <w:color w:val="auto"/>
              </w:rPr>
            </w:pPr>
          </w:p>
        </w:tc>
        <w:tc>
          <w:tcPr>
            <w:tcW w:w="780" w:type="dxa"/>
            <w:vAlign w:val="bottom"/>
            <w:tcBorders>
              <w:left w:val="single" w:sz="8" w:color="E5EAF8"/>
            </w:tcBorders>
            <w:shd w:val="clear" w:color="auto" w:fill="E5EAF8"/>
          </w:tcPr>
          <w:p>
            <w:pPr>
              <w:spacing w:after="0"/>
              <w:rPr>
                <w:sz w:val="14"/>
                <w:szCs w:val="14"/>
                <w:color w:val="auto"/>
              </w:rPr>
            </w:pPr>
          </w:p>
        </w:tc>
        <w:tc>
          <w:tcPr>
            <w:tcW w:w="980" w:type="dxa"/>
            <w:vAlign w:val="bottom"/>
            <w:tcBorders>
              <w:right w:val="single" w:sz="8" w:color="E5EAF8"/>
            </w:tcBorders>
            <w:shd w:val="clear" w:color="auto" w:fill="E5EAF8"/>
          </w:tcPr>
          <w:p>
            <w:pPr>
              <w:spacing w:after="0"/>
              <w:rPr>
                <w:sz w:val="14"/>
                <w:szCs w:val="14"/>
                <w:color w:val="auto"/>
              </w:rPr>
            </w:pPr>
          </w:p>
        </w:tc>
        <w:tc>
          <w:tcPr>
            <w:tcW w:w="540" w:type="dxa"/>
            <w:vAlign w:val="bottom"/>
            <w:shd w:val="clear" w:color="auto" w:fill="E5EAF8"/>
          </w:tcPr>
          <w:p>
            <w:pPr>
              <w:spacing w:after="0"/>
              <w:rPr>
                <w:sz w:val="14"/>
                <w:szCs w:val="14"/>
                <w:color w:val="auto"/>
              </w:rPr>
            </w:pPr>
          </w:p>
        </w:tc>
        <w:tc>
          <w:tcPr>
            <w:tcW w:w="520" w:type="dxa"/>
            <w:vAlign w:val="bottom"/>
            <w:tcBorders>
              <w:right w:val="single" w:sz="8" w:color="E5EAF8"/>
            </w:tcBorders>
            <w:shd w:val="clear" w:color="auto" w:fill="E5EAF8"/>
          </w:tcPr>
          <w:p>
            <w:pPr>
              <w:spacing w:after="0"/>
              <w:rPr>
                <w:sz w:val="14"/>
                <w:szCs w:val="14"/>
                <w:color w:val="auto"/>
              </w:rPr>
            </w:pPr>
          </w:p>
        </w:tc>
        <w:tc>
          <w:tcPr>
            <w:tcW w:w="2460" w:type="dxa"/>
            <w:vAlign w:val="bottom"/>
            <w:shd w:val="clear" w:color="auto" w:fill="E5EAF8"/>
          </w:tcPr>
          <w:p>
            <w:pPr>
              <w:spacing w:after="0"/>
              <w:rPr>
                <w:sz w:val="14"/>
                <w:szCs w:val="14"/>
                <w:color w:val="auto"/>
              </w:rPr>
            </w:pPr>
          </w:p>
        </w:tc>
        <w:tc>
          <w:tcPr>
            <w:tcW w:w="340" w:type="dxa"/>
            <w:vAlign w:val="bottom"/>
            <w:shd w:val="clear" w:color="auto" w:fill="E5EAF8"/>
          </w:tcPr>
          <w:p>
            <w:pPr>
              <w:spacing w:after="0"/>
              <w:rPr>
                <w:sz w:val="14"/>
                <w:szCs w:val="14"/>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200" w:hanging="192"/>
        <w:spacing w:after="0"/>
        <w:tabs>
          <w:tab w:leader="none" w:pos="200" w:val="left"/>
        </w:tabs>
        <w:numPr>
          <w:ilvl w:val="0"/>
          <w:numId w:val="17"/>
        </w:numPr>
        <w:rPr>
          <w:rFonts w:ascii="Arial" w:cs="Arial" w:eastAsia="Arial" w:hAnsi="Arial"/>
          <w:sz w:val="16"/>
          <w:szCs w:val="16"/>
          <w:color w:val="202945"/>
          <w:vertAlign w:val="superscript"/>
        </w:rPr>
      </w:pPr>
      <w:r>
        <w:rPr>
          <w:rFonts w:ascii="Arial" w:cs="Arial" w:eastAsia="Arial" w:hAnsi="Arial"/>
          <w:sz w:val="13"/>
          <w:szCs w:val="13"/>
          <w:color w:val="202945"/>
        </w:rPr>
        <w:t>We define Active Customer as all customers with at least one active device.</w:t>
      </w:r>
    </w:p>
    <w:p>
      <w:pPr>
        <w:spacing w:after="0" w:line="90" w:lineRule="exact"/>
        <w:rPr>
          <w:rFonts w:ascii="Arial" w:cs="Arial" w:eastAsia="Arial" w:hAnsi="Arial"/>
          <w:sz w:val="16"/>
          <w:szCs w:val="16"/>
          <w:color w:val="202945"/>
          <w:vertAlign w:val="superscript"/>
        </w:rPr>
      </w:pPr>
    </w:p>
    <w:p>
      <w:pPr>
        <w:ind w:left="200" w:right="240" w:hanging="192"/>
        <w:spacing w:after="0" w:line="274" w:lineRule="auto"/>
        <w:tabs>
          <w:tab w:leader="none" w:pos="186" w:val="left"/>
        </w:tabs>
        <w:numPr>
          <w:ilvl w:val="0"/>
          <w:numId w:val="17"/>
        </w:numPr>
        <w:rPr>
          <w:rFonts w:ascii="Arial" w:cs="Arial" w:eastAsia="Arial" w:hAnsi="Arial"/>
          <w:sz w:val="16"/>
          <w:szCs w:val="16"/>
          <w:color w:val="202945"/>
          <w:vertAlign w:val="superscript"/>
        </w:rPr>
      </w:pPr>
      <w:r>
        <w:rPr>
          <w:rFonts w:ascii="Arial" w:cs="Arial" w:eastAsia="Arial" w:hAnsi="Arial"/>
          <w:sz w:val="13"/>
          <w:szCs w:val="13"/>
          <w:color w:val="202945"/>
        </w:rPr>
        <w:t>We define Active Devices as devices that have communicated with us or have had a transaction in the last twelve months. Included in the number of Active Devices are devices that communicate through other devices that communicate or transact with us.</w:t>
      </w:r>
    </w:p>
    <w:p>
      <w:pPr>
        <w:spacing w:after="0" w:line="60" w:lineRule="exact"/>
        <w:rPr>
          <w:rFonts w:ascii="Arial" w:cs="Arial" w:eastAsia="Arial" w:hAnsi="Arial"/>
          <w:sz w:val="16"/>
          <w:szCs w:val="16"/>
          <w:color w:val="202945"/>
          <w:vertAlign w:val="superscript"/>
        </w:rPr>
      </w:pPr>
    </w:p>
    <w:p>
      <w:pPr>
        <w:ind w:left="180" w:hanging="172"/>
        <w:spacing w:after="0"/>
        <w:tabs>
          <w:tab w:leader="none" w:pos="180" w:val="left"/>
        </w:tabs>
        <w:numPr>
          <w:ilvl w:val="0"/>
          <w:numId w:val="17"/>
        </w:numPr>
        <w:rPr>
          <w:rFonts w:ascii="Arial" w:cs="Arial" w:eastAsia="Arial" w:hAnsi="Arial"/>
          <w:sz w:val="16"/>
          <w:szCs w:val="16"/>
          <w:color w:val="202945"/>
          <w:vertAlign w:val="superscript"/>
        </w:rPr>
      </w:pPr>
      <w:r>
        <w:rPr>
          <w:rFonts w:ascii="Arial" w:cs="Arial" w:eastAsia="Arial" w:hAnsi="Arial"/>
          <w:sz w:val="13"/>
          <w:szCs w:val="13"/>
          <w:color w:val="202945"/>
        </w:rPr>
        <w:t>We define Recurring Revenue as the combination of our subscription and transaction revenue.</w:t>
      </w:r>
    </w:p>
    <w:p>
      <w:pPr>
        <w:spacing w:after="0" w:line="348" w:lineRule="exact"/>
        <w:rPr>
          <w:sz w:val="20"/>
          <w:szCs w:val="20"/>
          <w:color w:val="auto"/>
        </w:rPr>
      </w:pPr>
    </w:p>
    <w:p>
      <w:pPr>
        <w:spacing w:after="0"/>
        <w:rPr>
          <w:sz w:val="20"/>
          <w:szCs w:val="20"/>
          <w:color w:val="auto"/>
        </w:rPr>
      </w:pPr>
      <w:r>
        <w:rPr>
          <w:rFonts w:ascii="Arial" w:cs="Arial" w:eastAsia="Arial" w:hAnsi="Arial"/>
          <w:sz w:val="32"/>
          <w:szCs w:val="32"/>
          <w:b w:val="1"/>
          <w:bCs w:val="1"/>
          <w:color w:val="202945"/>
        </w:rPr>
        <w:t>Operational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28117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20" w:right="660" w:hanging="199"/>
        <w:spacing w:after="0" w:line="339" w:lineRule="auto"/>
        <w:tabs>
          <w:tab w:leader="none" w:pos="404" w:val="left"/>
        </w:tabs>
        <w:numPr>
          <w:ilvl w:val="0"/>
          <w:numId w:val="18"/>
        </w:numPr>
        <w:rPr>
          <w:rFonts w:ascii="Arial" w:cs="Arial" w:eastAsia="Arial" w:hAnsi="Arial"/>
          <w:sz w:val="16"/>
          <w:szCs w:val="16"/>
          <w:color w:val="FF7F32"/>
        </w:rPr>
      </w:pPr>
      <w:r>
        <w:rPr>
          <w:rFonts w:ascii="Arial" w:cs="Arial" w:eastAsia="Arial" w:hAnsi="Arial"/>
          <w:sz w:val="16"/>
          <w:szCs w:val="16"/>
          <w:color w:val="auto"/>
        </w:rPr>
        <w:t>We entered into a Merger Agreement with 365 in June 2025, with the transaction expected to close in the first half of calendar 2026, subject to regulatory clearance under the HSR Act and the satisfaction or waiver of the other closing conditions in the Merger Agreement;</w:t>
      </w:r>
    </w:p>
    <w:p>
      <w:pPr>
        <w:spacing w:after="0" w:line="47" w:lineRule="exact"/>
        <w:rPr>
          <w:rFonts w:ascii="Arial" w:cs="Arial" w:eastAsia="Arial" w:hAnsi="Arial"/>
          <w:sz w:val="16"/>
          <w:szCs w:val="16"/>
          <w:color w:val="FF7F32"/>
        </w:rPr>
      </w:pPr>
    </w:p>
    <w:p>
      <w:pPr>
        <w:ind w:left="420" w:right="420" w:hanging="199"/>
        <w:spacing w:after="0" w:line="321" w:lineRule="auto"/>
        <w:tabs>
          <w:tab w:leader="none" w:pos="404" w:val="left"/>
        </w:tabs>
        <w:numPr>
          <w:ilvl w:val="0"/>
          <w:numId w:val="18"/>
        </w:numPr>
        <w:rPr>
          <w:rFonts w:ascii="Arial" w:cs="Arial" w:eastAsia="Arial" w:hAnsi="Arial"/>
          <w:sz w:val="16"/>
          <w:szCs w:val="16"/>
          <w:color w:val="FF7F32"/>
        </w:rPr>
      </w:pPr>
      <w:r>
        <w:rPr>
          <w:rFonts w:ascii="Arial" w:cs="Arial" w:eastAsia="Arial" w:hAnsi="Arial"/>
          <w:sz w:val="16"/>
          <w:szCs w:val="16"/>
          <w:color w:val="auto"/>
        </w:rPr>
        <w:t>We launched the AdVantage digital media program in October 2024, enabling brands to engage with consumers through digital advertising on our POS touchscreen devices across the U.S. and Canada;</w:t>
      </w:r>
    </w:p>
    <w:p>
      <w:pPr>
        <w:spacing w:after="0" w:line="61" w:lineRule="exact"/>
        <w:rPr>
          <w:rFonts w:ascii="Arial" w:cs="Arial" w:eastAsia="Arial" w:hAnsi="Arial"/>
          <w:sz w:val="16"/>
          <w:szCs w:val="16"/>
          <w:color w:val="FF7F32"/>
        </w:rPr>
      </w:pPr>
    </w:p>
    <w:p>
      <w:pPr>
        <w:ind w:left="420" w:right="500" w:hanging="199"/>
        <w:spacing w:after="0" w:line="339" w:lineRule="auto"/>
        <w:tabs>
          <w:tab w:leader="none" w:pos="404" w:val="left"/>
        </w:tabs>
        <w:numPr>
          <w:ilvl w:val="0"/>
          <w:numId w:val="18"/>
        </w:numPr>
        <w:rPr>
          <w:rFonts w:ascii="Arial" w:cs="Arial" w:eastAsia="Arial" w:hAnsi="Arial"/>
          <w:sz w:val="16"/>
          <w:szCs w:val="16"/>
          <w:color w:val="FF7F32"/>
        </w:rPr>
      </w:pPr>
      <w:r>
        <w:rPr>
          <w:rFonts w:ascii="Arial" w:cs="Arial" w:eastAsia="Arial" w:hAnsi="Arial"/>
          <w:sz w:val="16"/>
          <w:szCs w:val="16"/>
          <w:color w:val="auto"/>
        </w:rPr>
        <w:t>We introduced Smart Store, an advanced self-service retail solution designed to address labor shortages, theft, and shrinkage, while delivering a seamless consumer experience;</w:t>
      </w:r>
    </w:p>
    <w:p>
      <w:pPr>
        <w:spacing w:after="0" w:line="33" w:lineRule="exact"/>
        <w:rPr>
          <w:rFonts w:ascii="Arial" w:cs="Arial" w:eastAsia="Arial" w:hAnsi="Arial"/>
          <w:sz w:val="16"/>
          <w:szCs w:val="16"/>
          <w:color w:val="FF7F32"/>
        </w:rPr>
      </w:pPr>
    </w:p>
    <w:p>
      <w:pPr>
        <w:ind w:left="420" w:right="260" w:hanging="199"/>
        <w:spacing w:after="0" w:line="339" w:lineRule="auto"/>
        <w:tabs>
          <w:tab w:leader="none" w:pos="404" w:val="left"/>
        </w:tabs>
        <w:numPr>
          <w:ilvl w:val="0"/>
          <w:numId w:val="18"/>
        </w:numPr>
        <w:rPr>
          <w:rFonts w:ascii="Arial" w:cs="Arial" w:eastAsia="Arial" w:hAnsi="Arial"/>
          <w:sz w:val="16"/>
          <w:szCs w:val="16"/>
          <w:color w:val="FF7F32"/>
        </w:rPr>
      </w:pPr>
      <w:r>
        <w:rPr>
          <w:rFonts w:ascii="Arial" w:cs="Arial" w:eastAsia="Arial" w:hAnsi="Arial"/>
          <w:sz w:val="16"/>
          <w:szCs w:val="16"/>
          <w:color w:val="auto"/>
        </w:rPr>
        <w:t>We expanded our presence in the sports and entertainment sector by signing the San Jose Earthquakes as a client for our POS technology solution and premium suites management system at their stadium;</w:t>
      </w:r>
    </w:p>
    <w:p>
      <w:pPr>
        <w:spacing w:after="0" w:line="47" w:lineRule="exact"/>
        <w:rPr>
          <w:rFonts w:ascii="Arial" w:cs="Arial" w:eastAsia="Arial" w:hAnsi="Arial"/>
          <w:sz w:val="16"/>
          <w:szCs w:val="16"/>
          <w:color w:val="FF7F32"/>
        </w:rPr>
      </w:pPr>
    </w:p>
    <w:p>
      <w:pPr>
        <w:ind w:left="420" w:right="400" w:hanging="199"/>
        <w:spacing w:after="0" w:line="321" w:lineRule="auto"/>
        <w:tabs>
          <w:tab w:leader="none" w:pos="404" w:val="left"/>
        </w:tabs>
        <w:numPr>
          <w:ilvl w:val="0"/>
          <w:numId w:val="18"/>
        </w:numPr>
        <w:rPr>
          <w:rFonts w:ascii="Arial" w:cs="Arial" w:eastAsia="Arial" w:hAnsi="Arial"/>
          <w:sz w:val="16"/>
          <w:szCs w:val="16"/>
          <w:color w:val="FF7F32"/>
        </w:rPr>
      </w:pPr>
      <w:r>
        <w:rPr>
          <w:rFonts w:ascii="Arial" w:cs="Arial" w:eastAsia="Arial" w:hAnsi="Arial"/>
          <w:sz w:val="16"/>
          <w:szCs w:val="16"/>
          <w:color w:val="auto"/>
        </w:rPr>
        <w:t>We launched Engage Pulse card readers for the arcade and amusement industry, offering a ladder pricing interface to maximize revenue potential and deliver a seamless payment experience for operators and consumers;</w:t>
      </w:r>
    </w:p>
    <w:p>
      <w:pPr>
        <w:spacing w:after="0" w:line="61" w:lineRule="exact"/>
        <w:rPr>
          <w:rFonts w:ascii="Arial" w:cs="Arial" w:eastAsia="Arial" w:hAnsi="Arial"/>
          <w:sz w:val="16"/>
          <w:szCs w:val="16"/>
          <w:color w:val="FF7F32"/>
        </w:rPr>
      </w:pPr>
    </w:p>
    <w:p>
      <w:pPr>
        <w:ind w:left="420" w:right="1020" w:hanging="199"/>
        <w:spacing w:after="0" w:line="339" w:lineRule="auto"/>
        <w:tabs>
          <w:tab w:leader="none" w:pos="404" w:val="left"/>
        </w:tabs>
        <w:numPr>
          <w:ilvl w:val="0"/>
          <w:numId w:val="18"/>
        </w:numPr>
        <w:rPr>
          <w:rFonts w:ascii="Arial" w:cs="Arial" w:eastAsia="Arial" w:hAnsi="Arial"/>
          <w:sz w:val="16"/>
          <w:szCs w:val="16"/>
          <w:color w:val="FF7F32"/>
        </w:rPr>
      </w:pPr>
      <w:r>
        <w:rPr>
          <w:rFonts w:ascii="Arial" w:cs="Arial" w:eastAsia="Arial" w:hAnsi="Arial"/>
          <w:sz w:val="16"/>
          <w:szCs w:val="16"/>
          <w:color w:val="auto"/>
        </w:rPr>
        <w:t>We collaborated with Fundbox to launch Cantaloupe Capital, providing small businesses with streamlined access to capital for equipment investments and flexible cash flow solutions; and</w:t>
      </w:r>
    </w:p>
    <w:p>
      <w:pPr>
        <w:spacing w:after="0" w:line="33" w:lineRule="exact"/>
        <w:rPr>
          <w:rFonts w:ascii="Arial" w:cs="Arial" w:eastAsia="Arial" w:hAnsi="Arial"/>
          <w:sz w:val="16"/>
          <w:szCs w:val="16"/>
          <w:color w:val="FF7F32"/>
        </w:rPr>
      </w:pPr>
    </w:p>
    <w:p>
      <w:pPr>
        <w:ind w:left="420" w:right="800" w:hanging="199"/>
        <w:spacing w:after="0" w:line="339" w:lineRule="auto"/>
        <w:tabs>
          <w:tab w:leader="none" w:pos="404" w:val="left"/>
        </w:tabs>
        <w:numPr>
          <w:ilvl w:val="0"/>
          <w:numId w:val="18"/>
        </w:numPr>
        <w:rPr>
          <w:rFonts w:ascii="Arial" w:cs="Arial" w:eastAsia="Arial" w:hAnsi="Arial"/>
          <w:sz w:val="16"/>
          <w:szCs w:val="16"/>
          <w:color w:val="FF7F32"/>
        </w:rPr>
      </w:pPr>
      <w:r>
        <w:rPr>
          <w:rFonts w:ascii="Arial" w:cs="Arial" w:eastAsia="Arial" w:hAnsi="Arial"/>
          <w:sz w:val="16"/>
          <w:szCs w:val="16"/>
          <w:color w:val="auto"/>
        </w:rPr>
        <w:t>We enhanced financial flexibility by amending and expanding our credit facilities, increasing total borrowing capacity to support future growth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596265</wp:posOffset>
            </wp:positionV>
            <wp:extent cx="925830" cy="2660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25830"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auto"/>
        </w:rPr>
        <w:t>6</w:t>
      </w:r>
      <w:r>
        <w:rPr>
          <w:sz w:val="20"/>
          <w:szCs w:val="20"/>
          <w:color w:val="auto"/>
        </w:rPr>
        <w:tab/>
      </w:r>
      <w:r>
        <w:rPr>
          <w:rFonts w:ascii="Arial" w:cs="Arial" w:eastAsia="Arial" w:hAnsi="Arial"/>
          <w:sz w:val="12"/>
          <w:szCs w:val="12"/>
          <w:b w:val="1"/>
          <w:bCs w:val="1"/>
          <w:color w:val="FF7F32"/>
        </w:rPr>
        <w:t xml:space="preserve">2026 </w:t>
      </w:r>
      <w:r>
        <w:rPr>
          <w:rFonts w:ascii="Arial" w:cs="Arial" w:eastAsia="Arial" w:hAnsi="Arial"/>
          <w:sz w:val="12"/>
          <w:szCs w:val="12"/>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9" w:name="page10"/>
    <w:bookmarkEnd w:id="9"/>
    <w:p>
      <w:pPr>
        <w:spacing w:after="0"/>
        <w:rPr>
          <w:sz w:val="20"/>
          <w:szCs w:val="20"/>
          <w:color w:val="auto"/>
        </w:rPr>
      </w:pPr>
      <w:r>
        <w:rPr>
          <w:rFonts w:ascii="Arial" w:cs="Arial" w:eastAsia="Arial" w:hAnsi="Arial"/>
          <w:sz w:val="50"/>
          <w:szCs w:val="50"/>
          <w:b w:val="1"/>
          <w:bCs w:val="1"/>
          <w:color w:val="FF7F32"/>
        </w:rPr>
        <w:t>Proxy Summary</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80"/>
        <w:spacing w:after="0" w:line="354" w:lineRule="auto"/>
        <w:rPr>
          <w:sz w:val="20"/>
          <w:szCs w:val="20"/>
          <w:color w:val="auto"/>
        </w:rPr>
      </w:pPr>
      <w:r>
        <w:rPr>
          <w:rFonts w:ascii="Arial" w:cs="Arial" w:eastAsia="Arial" w:hAnsi="Arial"/>
          <w:sz w:val="16"/>
          <w:szCs w:val="16"/>
          <w:i w:val="1"/>
          <w:iCs w:val="1"/>
          <w:color w:val="auto"/>
        </w:rPr>
        <w:t>This summary highlights selected information in this proxy statement. Please review the entire proxy statement and our Annual Report for the year ended June 30, 2025, before voting your shares.</w:t>
      </w:r>
    </w:p>
    <w:p>
      <w:pPr>
        <w:spacing w:after="0" w:line="263" w:lineRule="exact"/>
        <w:rPr>
          <w:sz w:val="20"/>
          <w:szCs w:val="20"/>
          <w:color w:val="auto"/>
        </w:rPr>
      </w:pPr>
    </w:p>
    <w:p>
      <w:pPr>
        <w:spacing w:after="0"/>
        <w:rPr>
          <w:sz w:val="20"/>
          <w:szCs w:val="20"/>
          <w:color w:val="auto"/>
        </w:rPr>
      </w:pPr>
      <w:r>
        <w:rPr>
          <w:rFonts w:ascii="Arial" w:cs="Arial" w:eastAsia="Arial" w:hAnsi="Arial"/>
          <w:sz w:val="32"/>
          <w:szCs w:val="32"/>
          <w:b w:val="1"/>
          <w:bCs w:val="1"/>
          <w:color w:val="202945"/>
        </w:rPr>
        <w:t>Annual Meeting Information</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194"/>
        </w:trPr>
        <w:tc>
          <w:tcPr>
            <w:tcW w:w="4080" w:type="dxa"/>
            <w:vAlign w:val="bottom"/>
            <w:shd w:val="clear" w:color="auto" w:fill="E5EAF8"/>
          </w:tcPr>
          <w:p>
            <w:pPr>
              <w:ind w:left="220"/>
              <w:spacing w:after="0"/>
              <w:rPr>
                <w:sz w:val="20"/>
                <w:szCs w:val="20"/>
                <w:color w:val="auto"/>
              </w:rPr>
            </w:pPr>
            <w:r>
              <w:rPr>
                <w:rFonts w:ascii="Arial" w:cs="Arial" w:eastAsia="Arial" w:hAnsi="Arial"/>
                <w:sz w:val="16"/>
                <w:szCs w:val="16"/>
                <w:b w:val="1"/>
                <w:bCs w:val="1"/>
                <w:color w:val="202945"/>
              </w:rPr>
              <w:t>Date and Time</w:t>
            </w:r>
          </w:p>
        </w:tc>
        <w:tc>
          <w:tcPr>
            <w:tcW w:w="3860" w:type="dxa"/>
            <w:vAlign w:val="bottom"/>
            <w:shd w:val="clear" w:color="auto" w:fill="E5EAF8"/>
          </w:tcPr>
          <w:p>
            <w:pPr>
              <w:ind w:left="20"/>
              <w:spacing w:after="0"/>
              <w:rPr>
                <w:sz w:val="20"/>
                <w:szCs w:val="20"/>
                <w:color w:val="auto"/>
              </w:rPr>
            </w:pPr>
            <w:r>
              <w:rPr>
                <w:rFonts w:ascii="Arial" w:cs="Arial" w:eastAsia="Arial" w:hAnsi="Arial"/>
                <w:sz w:val="16"/>
                <w:szCs w:val="16"/>
                <w:b w:val="1"/>
                <w:bCs w:val="1"/>
                <w:color w:val="202945"/>
              </w:rPr>
              <w:t>Virtual Meeting Site</w:t>
            </w:r>
          </w:p>
        </w:tc>
        <w:tc>
          <w:tcPr>
            <w:tcW w:w="3300" w:type="dxa"/>
            <w:vAlign w:val="bottom"/>
            <w:shd w:val="clear" w:color="auto" w:fill="E5EAF8"/>
          </w:tcPr>
          <w:p>
            <w:pPr>
              <w:ind w:left="20"/>
              <w:spacing w:after="0"/>
              <w:rPr>
                <w:sz w:val="20"/>
                <w:szCs w:val="20"/>
                <w:color w:val="auto"/>
              </w:rPr>
            </w:pPr>
            <w:r>
              <w:rPr>
                <w:rFonts w:ascii="Arial" w:cs="Arial" w:eastAsia="Arial" w:hAnsi="Arial"/>
                <w:sz w:val="16"/>
                <w:szCs w:val="16"/>
                <w:b w:val="1"/>
                <w:bCs w:val="1"/>
                <w:color w:val="202945"/>
              </w:rPr>
              <w:t>Record Date</w:t>
            </w:r>
          </w:p>
        </w:tc>
      </w:tr>
      <w:tr>
        <w:trPr>
          <w:trHeight w:val="243"/>
        </w:trPr>
        <w:tc>
          <w:tcPr>
            <w:tcW w:w="4080" w:type="dxa"/>
            <w:vAlign w:val="bottom"/>
            <w:shd w:val="clear" w:color="auto" w:fill="E5EAF8"/>
          </w:tcPr>
          <w:p>
            <w:pPr>
              <w:ind w:left="220"/>
              <w:spacing w:after="0"/>
              <w:rPr>
                <w:sz w:val="20"/>
                <w:szCs w:val="20"/>
                <w:color w:val="auto"/>
              </w:rPr>
            </w:pPr>
            <w:r>
              <w:rPr>
                <w:rFonts w:ascii="Arial" w:cs="Arial" w:eastAsia="Arial" w:hAnsi="Arial"/>
                <w:sz w:val="14"/>
                <w:szCs w:val="14"/>
                <w:color w:val="auto"/>
              </w:rPr>
              <w:t>November 19, 2025 at 11:00 a.m., ET</w:t>
            </w:r>
          </w:p>
        </w:tc>
        <w:tc>
          <w:tcPr>
            <w:tcW w:w="3860" w:type="dxa"/>
            <w:vAlign w:val="bottom"/>
            <w:shd w:val="clear" w:color="auto" w:fill="E5EAF8"/>
          </w:tcPr>
          <w:p>
            <w:pPr>
              <w:ind w:left="20"/>
              <w:spacing w:after="0"/>
              <w:rPr>
                <w:sz w:val="20"/>
                <w:szCs w:val="20"/>
                <w:color w:val="auto"/>
              </w:rPr>
            </w:pPr>
            <w:r>
              <w:rPr>
                <w:rFonts w:ascii="Arial" w:cs="Arial" w:eastAsia="Arial" w:hAnsi="Arial"/>
                <w:sz w:val="14"/>
                <w:szCs w:val="14"/>
                <w:i w:val="1"/>
                <w:iCs w:val="1"/>
                <w:color w:val="auto"/>
              </w:rPr>
              <w:t>www.virtualshareholdermeeting.com/CTLP2026</w:t>
            </w:r>
          </w:p>
        </w:tc>
        <w:tc>
          <w:tcPr>
            <w:tcW w:w="3300" w:type="dxa"/>
            <w:vAlign w:val="bottom"/>
            <w:shd w:val="clear" w:color="auto" w:fill="E5EAF8"/>
          </w:tcPr>
          <w:p>
            <w:pPr>
              <w:ind w:left="20"/>
              <w:spacing w:after="0"/>
              <w:rPr>
                <w:sz w:val="20"/>
                <w:szCs w:val="20"/>
                <w:color w:val="auto"/>
              </w:rPr>
            </w:pPr>
            <w:r>
              <w:rPr>
                <w:rFonts w:ascii="Arial" w:cs="Arial" w:eastAsia="Arial" w:hAnsi="Arial"/>
                <w:sz w:val="14"/>
                <w:szCs w:val="14"/>
                <w:color w:val="auto"/>
              </w:rPr>
              <w:t>September 25, 2025</w:t>
            </w:r>
          </w:p>
        </w:tc>
      </w:tr>
      <w:tr>
        <w:trPr>
          <w:trHeight w:val="211"/>
        </w:trPr>
        <w:tc>
          <w:tcPr>
            <w:tcW w:w="4080" w:type="dxa"/>
            <w:vAlign w:val="bottom"/>
            <w:shd w:val="clear" w:color="auto" w:fill="E5EAF8"/>
          </w:tcPr>
          <w:p>
            <w:pPr>
              <w:spacing w:after="0"/>
              <w:rPr>
                <w:sz w:val="18"/>
                <w:szCs w:val="18"/>
                <w:color w:val="auto"/>
              </w:rPr>
            </w:pPr>
          </w:p>
        </w:tc>
        <w:tc>
          <w:tcPr>
            <w:tcW w:w="3860" w:type="dxa"/>
            <w:vAlign w:val="bottom"/>
            <w:shd w:val="clear" w:color="auto" w:fill="E5EAF8"/>
          </w:tcPr>
          <w:p>
            <w:pPr>
              <w:spacing w:after="0"/>
              <w:rPr>
                <w:sz w:val="18"/>
                <w:szCs w:val="18"/>
                <w:color w:val="auto"/>
              </w:rPr>
            </w:pPr>
          </w:p>
        </w:tc>
        <w:tc>
          <w:tcPr>
            <w:tcW w:w="3300" w:type="dxa"/>
            <w:vAlign w:val="bottom"/>
            <w:shd w:val="clear" w:color="auto" w:fill="E5EAF8"/>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-899160</wp:posOffset>
            </wp:positionV>
            <wp:extent cx="342900" cy="3429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0" cy="342900"/>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-908050</wp:posOffset>
            </wp:positionV>
            <wp:extent cx="325755" cy="3257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-899160</wp:posOffset>
            </wp:positionV>
            <wp:extent cx="325755" cy="3086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25755" cy="308610"/>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32"/>
          <w:szCs w:val="32"/>
          <w:b w:val="1"/>
          <w:bCs w:val="1"/>
          <w:color w:val="202945"/>
        </w:rPr>
        <w:t>How to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202945"/>
        </w:rPr>
        <w:t>Internet</w:t>
      </w:r>
    </w:p>
    <w:p>
      <w:pPr>
        <w:spacing w:after="0" w:line="66" w:lineRule="exact"/>
        <w:rPr>
          <w:sz w:val="20"/>
          <w:szCs w:val="20"/>
          <w:color w:val="auto"/>
        </w:rPr>
      </w:pPr>
    </w:p>
    <w:p>
      <w:pPr>
        <w:ind w:left="220"/>
        <w:spacing w:after="0" w:line="362" w:lineRule="auto"/>
        <w:rPr>
          <w:sz w:val="20"/>
          <w:szCs w:val="20"/>
          <w:color w:val="auto"/>
        </w:rPr>
      </w:pPr>
      <w:r>
        <w:rPr>
          <w:rFonts w:ascii="Arial" w:cs="Arial" w:eastAsia="Arial" w:hAnsi="Arial"/>
          <w:sz w:val="14"/>
          <w:szCs w:val="14"/>
          <w:i w:val="1"/>
          <w:iCs w:val="1"/>
          <w:color w:val="auto"/>
        </w:rPr>
        <w:t>Before the meeting: www.proxyvote.com or scan the QR code located on the proxy card</w:t>
      </w:r>
    </w:p>
    <w:p>
      <w:pPr>
        <w:spacing w:after="0" w:line="54" w:lineRule="exact"/>
        <w:rPr>
          <w:sz w:val="20"/>
          <w:szCs w:val="20"/>
          <w:color w:val="auto"/>
        </w:rPr>
      </w:pPr>
    </w:p>
    <w:p>
      <w:pPr>
        <w:ind w:left="220"/>
        <w:spacing w:after="0"/>
        <w:rPr>
          <w:sz w:val="20"/>
          <w:szCs w:val="20"/>
          <w:color w:val="auto"/>
        </w:rPr>
      </w:pPr>
      <w:r>
        <w:rPr>
          <w:rFonts w:ascii="Arial" w:cs="Arial" w:eastAsia="Arial" w:hAnsi="Arial"/>
          <w:sz w:val="14"/>
          <w:szCs w:val="14"/>
          <w:i w:val="1"/>
          <w:iCs w:val="1"/>
          <w:color w:val="auto"/>
        </w:rPr>
        <w:t>During the meeting:</w:t>
      </w:r>
    </w:p>
    <w:p>
      <w:pPr>
        <w:spacing w:after="0" w:line="55" w:lineRule="exact"/>
        <w:rPr>
          <w:sz w:val="20"/>
          <w:szCs w:val="20"/>
          <w:color w:val="auto"/>
        </w:rPr>
      </w:pPr>
    </w:p>
    <w:p>
      <w:pPr>
        <w:ind w:left="220"/>
        <w:spacing w:after="0"/>
        <w:rPr>
          <w:sz w:val="20"/>
          <w:szCs w:val="20"/>
          <w:color w:val="auto"/>
        </w:rPr>
      </w:pPr>
      <w:r>
        <w:rPr>
          <w:rFonts w:ascii="Arial" w:cs="Arial" w:eastAsia="Arial" w:hAnsi="Arial"/>
          <w:sz w:val="14"/>
          <w:szCs w:val="14"/>
          <w:i w:val="1"/>
          <w:iCs w:val="1"/>
          <w:color w:val="auto"/>
        </w:rPr>
        <w:t>virtualshareholdermeeting.com/CTLP2026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425450</wp:posOffset>
            </wp:positionV>
            <wp:extent cx="925830" cy="2654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25830" cy="265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951"/>
        </w:trPr>
        <w:tc>
          <w:tcPr>
            <w:tcW w:w="3120" w:type="dxa"/>
            <w:vAlign w:val="bottom"/>
            <w:shd w:val="clear" w:color="auto" w:fill="E5EAF8"/>
          </w:tcPr>
          <w:p>
            <w:pPr>
              <w:ind w:left="20"/>
              <w:spacing w:after="0"/>
              <w:rPr>
                <w:sz w:val="20"/>
                <w:szCs w:val="20"/>
                <w:color w:val="auto"/>
              </w:rPr>
            </w:pPr>
            <w:r>
              <w:rPr>
                <w:rFonts w:ascii="Arial" w:cs="Arial" w:eastAsia="Arial" w:hAnsi="Arial"/>
                <w:sz w:val="16"/>
                <w:szCs w:val="16"/>
                <w:b w:val="1"/>
                <w:bCs w:val="1"/>
                <w:color w:val="202945"/>
              </w:rPr>
              <w:t>Phone</w:t>
            </w:r>
          </w:p>
        </w:tc>
        <w:tc>
          <w:tcPr>
            <w:tcW w:w="3300" w:type="dxa"/>
            <w:vAlign w:val="bottom"/>
            <w:shd w:val="clear" w:color="auto" w:fill="E5EAF8"/>
          </w:tcPr>
          <w:p>
            <w:pPr>
              <w:ind w:left="20"/>
              <w:spacing w:after="0"/>
              <w:rPr>
                <w:sz w:val="20"/>
                <w:szCs w:val="20"/>
                <w:color w:val="auto"/>
              </w:rPr>
            </w:pPr>
            <w:r>
              <w:rPr>
                <w:rFonts w:ascii="Arial" w:cs="Arial" w:eastAsia="Arial" w:hAnsi="Arial"/>
                <w:sz w:val="16"/>
                <w:szCs w:val="16"/>
                <w:b w:val="1"/>
                <w:bCs w:val="1"/>
                <w:color w:val="202945"/>
              </w:rPr>
              <w:t>Mail</w:t>
            </w:r>
          </w:p>
        </w:tc>
      </w:tr>
      <w:tr>
        <w:trPr>
          <w:trHeight w:val="256"/>
        </w:trPr>
        <w:tc>
          <w:tcPr>
            <w:tcW w:w="3120" w:type="dxa"/>
            <w:vAlign w:val="bottom"/>
            <w:shd w:val="clear" w:color="auto" w:fill="E5EAF8"/>
          </w:tcPr>
          <w:p>
            <w:pPr>
              <w:ind w:left="20"/>
              <w:spacing w:after="0"/>
              <w:rPr>
                <w:sz w:val="20"/>
                <w:szCs w:val="20"/>
                <w:color w:val="auto"/>
              </w:rPr>
            </w:pPr>
            <w:r>
              <w:rPr>
                <w:rFonts w:ascii="Arial" w:cs="Arial" w:eastAsia="Arial" w:hAnsi="Arial"/>
                <w:sz w:val="14"/>
                <w:szCs w:val="14"/>
                <w:color w:val="auto"/>
              </w:rPr>
              <w:t>1-800-690-6903</w:t>
            </w:r>
          </w:p>
        </w:tc>
        <w:tc>
          <w:tcPr>
            <w:tcW w:w="3300" w:type="dxa"/>
            <w:vAlign w:val="bottom"/>
            <w:shd w:val="clear" w:color="auto" w:fill="E5EAF8"/>
          </w:tcPr>
          <w:p>
            <w:pPr>
              <w:ind w:left="20"/>
              <w:spacing w:after="0"/>
              <w:rPr>
                <w:sz w:val="20"/>
                <w:szCs w:val="20"/>
                <w:color w:val="auto"/>
              </w:rPr>
            </w:pPr>
            <w:r>
              <w:rPr>
                <w:rFonts w:ascii="Arial" w:cs="Arial" w:eastAsia="Arial" w:hAnsi="Arial"/>
                <w:sz w:val="14"/>
                <w:szCs w:val="14"/>
                <w:color w:val="auto"/>
              </w:rPr>
              <w:t>sign, date and mail your proxy card in the</w:t>
            </w:r>
          </w:p>
        </w:tc>
      </w:tr>
      <w:tr>
        <w:trPr>
          <w:trHeight w:val="216"/>
        </w:trPr>
        <w:tc>
          <w:tcPr>
            <w:tcW w:w="3120" w:type="dxa"/>
            <w:vAlign w:val="bottom"/>
            <w:shd w:val="clear" w:color="auto" w:fill="E5EAF8"/>
          </w:tcPr>
          <w:p>
            <w:pPr>
              <w:spacing w:after="0"/>
              <w:rPr>
                <w:sz w:val="18"/>
                <w:szCs w:val="18"/>
                <w:color w:val="auto"/>
              </w:rPr>
            </w:pPr>
          </w:p>
        </w:tc>
        <w:tc>
          <w:tcPr>
            <w:tcW w:w="3300" w:type="dxa"/>
            <w:vAlign w:val="bottom"/>
            <w:shd w:val="clear" w:color="auto" w:fill="E5EAF8"/>
          </w:tcPr>
          <w:p>
            <w:pPr>
              <w:ind w:left="20"/>
              <w:spacing w:after="0"/>
              <w:rPr>
                <w:sz w:val="20"/>
                <w:szCs w:val="20"/>
                <w:color w:val="auto"/>
              </w:rPr>
            </w:pPr>
            <w:r>
              <w:rPr>
                <w:rFonts w:ascii="Arial" w:cs="Arial" w:eastAsia="Arial" w:hAnsi="Arial"/>
                <w:sz w:val="14"/>
                <w:szCs w:val="14"/>
                <w:color w:val="auto"/>
              </w:rPr>
              <w:t>envelope provided</w:t>
            </w:r>
          </w:p>
        </w:tc>
      </w:tr>
      <w:tr>
        <w:trPr>
          <w:trHeight w:val="697"/>
        </w:trPr>
        <w:tc>
          <w:tcPr>
            <w:tcW w:w="3120" w:type="dxa"/>
            <w:vAlign w:val="bottom"/>
            <w:shd w:val="clear" w:color="auto" w:fill="E5EAF8"/>
          </w:tcPr>
          <w:p>
            <w:pPr>
              <w:spacing w:after="0"/>
              <w:rPr>
                <w:sz w:val="24"/>
                <w:szCs w:val="24"/>
                <w:color w:val="auto"/>
              </w:rPr>
            </w:pPr>
          </w:p>
        </w:tc>
        <w:tc>
          <w:tcPr>
            <w:tcW w:w="3300" w:type="dxa"/>
            <w:vAlign w:val="bottom"/>
            <w:shd w:val="clear" w:color="auto" w:fill="E5EAF8"/>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-3054985</wp:posOffset>
            </wp:positionH>
            <wp:positionV relativeFrom="paragraph">
              <wp:posOffset>-1439545</wp:posOffset>
            </wp:positionV>
            <wp:extent cx="7132320" cy="14401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4401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60" w:space="660"/>
            <w:col w:w="6420"/>
          </w:cols>
          <w:pgMar w:left="320" w:top="1332" w:right="33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auto"/>
        </w:rPr>
        <w:t>7</w:t>
      </w:r>
      <w:r>
        <w:rPr>
          <w:sz w:val="20"/>
          <w:szCs w:val="20"/>
          <w:color w:val="auto"/>
        </w:rPr>
        <w:tab/>
      </w:r>
      <w:r>
        <w:rPr>
          <w:rFonts w:ascii="Arial" w:cs="Arial" w:eastAsia="Arial" w:hAnsi="Arial"/>
          <w:sz w:val="12"/>
          <w:szCs w:val="12"/>
          <w:b w:val="1"/>
          <w:bCs w:val="1"/>
          <w:color w:val="FF7F32"/>
        </w:rPr>
        <w:t xml:space="preserve">2026 </w:t>
      </w:r>
      <w:r>
        <w:rPr>
          <w:rFonts w:ascii="Arial" w:cs="Arial" w:eastAsia="Arial" w:hAnsi="Arial"/>
          <w:sz w:val="12"/>
          <w:szCs w:val="12"/>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433705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3"/>
          <w:szCs w:val="13"/>
          <w:color w:val="202945"/>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601980</wp:posOffset>
            </wp:positionV>
            <wp:extent cx="7132320" cy="7715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202945"/>
        </w:rPr>
        <w:t>Proposal 1</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36"/>
          <w:szCs w:val="36"/>
          <w:color w:val="202945"/>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2400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284" w:lineRule="exact"/>
        <w:rPr>
          <w:sz w:val="20"/>
          <w:szCs w:val="20"/>
          <w:color w:val="auto"/>
        </w:rPr>
      </w:pPr>
    </w:p>
    <w:p>
      <w:pPr>
        <w:ind w:left="220"/>
        <w:spacing w:after="0"/>
        <w:tabs>
          <w:tab w:leader="none" w:pos="9340" w:val="left"/>
        </w:tabs>
        <w:rPr>
          <w:sz w:val="20"/>
          <w:szCs w:val="20"/>
          <w:color w:val="auto"/>
        </w:rPr>
      </w:pPr>
      <w:r>
        <w:rPr>
          <w:rFonts w:ascii="Arial" w:cs="Arial" w:eastAsia="Arial" w:hAnsi="Arial"/>
          <w:sz w:val="18"/>
          <w:szCs w:val="18"/>
          <w:color w:val="FFFFFF"/>
        </w:rPr>
        <w:t xml:space="preserve">The Board recommends a vote </w:t>
      </w:r>
      <w:r>
        <w:rPr>
          <w:rFonts w:ascii="Arial" w:cs="Arial" w:eastAsia="Arial" w:hAnsi="Arial"/>
          <w:sz w:val="18"/>
          <w:szCs w:val="18"/>
          <w:b w:val="1"/>
          <w:bCs w:val="1"/>
          <w:color w:val="FF7F32"/>
        </w:rPr>
        <w:t>“FOR”</w:t>
      </w:r>
      <w:r>
        <w:rPr>
          <w:rFonts w:ascii="Arial" w:cs="Arial" w:eastAsia="Arial" w:hAnsi="Arial"/>
          <w:sz w:val="18"/>
          <w:szCs w:val="18"/>
          <w:color w:val="FFFFFF"/>
        </w:rPr>
        <w:t xml:space="preserve"> each director nominee.</w:t>
      </w:r>
      <w:r>
        <w:rPr>
          <w:sz w:val="20"/>
          <w:szCs w:val="20"/>
          <w:color w:val="auto"/>
        </w:rPr>
        <w:tab/>
      </w:r>
      <w:r>
        <w:rPr>
          <w:rFonts w:ascii="Arial" w:cs="Arial" w:eastAsia="Arial" w:hAnsi="Arial"/>
          <w:sz w:val="17"/>
          <w:szCs w:val="17"/>
          <w:color w:val="FFFFFF"/>
        </w:rPr>
        <w:t xml:space="preserve">See page </w:t>
      </w:r>
      <w:r>
        <w:rPr>
          <w:rFonts w:ascii="Arial" w:cs="Arial" w:eastAsia="Arial" w:hAnsi="Arial"/>
          <w:sz w:val="17"/>
          <w:szCs w:val="17"/>
          <w:b w:val="1"/>
          <w:bCs w:val="1"/>
          <w:color w:val="FFFFFF"/>
        </w:rPr>
        <w:t>15</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32"/>
          <w:szCs w:val="32"/>
          <w:b w:val="1"/>
          <w:bCs w:val="1"/>
          <w:color w:val="202945"/>
        </w:rPr>
        <w:t>Director Nominees</w:t>
      </w:r>
    </w:p>
    <w:p>
      <w:pPr>
        <w:spacing w:after="0" w:line="301" w:lineRule="exact"/>
        <w:rPr>
          <w:sz w:val="20"/>
          <w:szCs w:val="20"/>
          <w:color w:val="auto"/>
        </w:rPr>
      </w:pPr>
    </w:p>
    <w:tbl>
      <w:tblPr>
        <w:tblLayout w:type="fixed"/>
        <w:tblInd w:w="60" w:type="dxa"/>
        <w:tblCellMar>
          <w:top w:w="0" w:type="dxa"/>
          <w:left w:w="0" w:type="dxa"/>
          <w:bottom w:w="0" w:type="dxa"/>
          <w:right w:w="0" w:type="dxa"/>
        </w:tblCellMar>
      </w:tblPr>
      <w:tr>
        <w:trPr>
          <w:trHeight w:val="196"/>
        </w:trPr>
        <w:tc>
          <w:tcPr>
            <w:tcW w:w="7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404040"/>
              </w:rPr>
              <w:t>Committee</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404040"/>
              </w:rPr>
              <w:t>Director</w:t>
            </w:r>
          </w:p>
        </w:tc>
        <w:tc>
          <w:tcPr>
            <w:tcW w:w="1380" w:type="dxa"/>
            <w:vAlign w:val="bottom"/>
          </w:tcPr>
          <w:p>
            <w:pPr>
              <w:spacing w:after="0"/>
              <w:rPr>
                <w:sz w:val="17"/>
                <w:szCs w:val="17"/>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404040"/>
              </w:rPr>
              <w:t>Other Public</w:t>
            </w:r>
          </w:p>
        </w:tc>
        <w:tc>
          <w:tcPr>
            <w:tcW w:w="160" w:type="dxa"/>
            <w:vAlign w:val="bottom"/>
            <w:vMerge w:val="restart"/>
          </w:tcPr>
          <w:p>
            <w:pPr>
              <w:spacing w:after="0"/>
              <w:rPr>
                <w:sz w:val="17"/>
                <w:szCs w:val="17"/>
                <w:color w:val="auto"/>
              </w:rPr>
            </w:pPr>
          </w:p>
        </w:tc>
        <w:tc>
          <w:tcPr>
            <w:tcW w:w="5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404040"/>
              </w:rPr>
              <w:t>Memberships</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7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138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160" w:type="dxa"/>
            <w:vAlign w:val="bottom"/>
            <w:tcBorders>
              <w:bottom w:val="single" w:sz="8" w:color="FF7F32"/>
            </w:tcBorders>
            <w:vMerge w:val="continue"/>
          </w:tcPr>
          <w:p>
            <w:pPr>
              <w:spacing w:after="0"/>
              <w:rPr>
                <w:sz w:val="2"/>
                <w:szCs w:val="2"/>
                <w:color w:val="auto"/>
              </w:rPr>
            </w:pPr>
          </w:p>
        </w:tc>
        <w:tc>
          <w:tcPr>
            <w:tcW w:w="500" w:type="dxa"/>
            <w:vAlign w:val="bottom"/>
            <w:tcBorders>
              <w:bottom w:val="single" w:sz="8" w:color="FF7F32"/>
            </w:tcBorders>
          </w:tcPr>
          <w:p>
            <w:pPr>
              <w:spacing w:after="0"/>
              <w:rPr>
                <w:sz w:val="2"/>
                <w:szCs w:val="2"/>
                <w:color w:val="auto"/>
              </w:rPr>
            </w:pPr>
          </w:p>
        </w:tc>
        <w:tc>
          <w:tcPr>
            <w:tcW w:w="1260" w:type="dxa"/>
            <w:vAlign w:val="bottom"/>
            <w:tcBorders>
              <w:bottom w:val="single" w:sz="8" w:color="FF7F32"/>
            </w:tcBorders>
          </w:tcPr>
          <w:p>
            <w:pPr>
              <w:spacing w:after="0"/>
              <w:rPr>
                <w:sz w:val="2"/>
                <w:szCs w:val="2"/>
                <w:color w:val="auto"/>
              </w:rPr>
            </w:pPr>
          </w:p>
        </w:tc>
        <w:tc>
          <w:tcPr>
            <w:tcW w:w="500" w:type="dxa"/>
            <w:vAlign w:val="bottom"/>
            <w:tcBorders>
              <w:bottom w:val="single" w:sz="8" w:color="FF7F32"/>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80" w:type="dxa"/>
            <w:vAlign w:val="bottom"/>
            <w:tcBorders>
              <w:bottom w:val="single" w:sz="8" w:color="FF7F32"/>
            </w:tcBorders>
          </w:tcPr>
          <w:p>
            <w:pPr>
              <w:ind w:left="20"/>
              <w:spacing w:after="0"/>
              <w:rPr>
                <w:sz w:val="20"/>
                <w:szCs w:val="20"/>
                <w:color w:val="auto"/>
              </w:rPr>
            </w:pPr>
            <w:r>
              <w:rPr>
                <w:rFonts w:ascii="Arial" w:cs="Arial" w:eastAsia="Arial" w:hAnsi="Arial"/>
                <w:sz w:val="14"/>
                <w:szCs w:val="14"/>
                <w:b w:val="1"/>
                <w:bCs w:val="1"/>
                <w:color w:val="404040"/>
              </w:rPr>
              <w:t>Director</w:t>
            </w:r>
          </w:p>
        </w:tc>
        <w:tc>
          <w:tcPr>
            <w:tcW w:w="2860" w:type="dxa"/>
            <w:vAlign w:val="bottom"/>
            <w:tcBorders>
              <w:bottom w:val="single" w:sz="8" w:color="FF7F32"/>
            </w:tcBorders>
          </w:tcPr>
          <w:p>
            <w:pPr>
              <w:ind w:left="220"/>
              <w:spacing w:after="0"/>
              <w:rPr>
                <w:sz w:val="20"/>
                <w:szCs w:val="20"/>
                <w:color w:val="auto"/>
              </w:rPr>
            </w:pPr>
            <w:r>
              <w:rPr>
                <w:rFonts w:ascii="Arial" w:cs="Arial" w:eastAsia="Arial" w:hAnsi="Arial"/>
                <w:sz w:val="14"/>
                <w:szCs w:val="14"/>
                <w:b w:val="1"/>
                <w:bCs w:val="1"/>
                <w:color w:val="404040"/>
              </w:rPr>
              <w:t>Occupation</w:t>
            </w:r>
          </w:p>
        </w:tc>
        <w:tc>
          <w:tcPr>
            <w:tcW w:w="840" w:type="dxa"/>
            <w:vAlign w:val="bottom"/>
            <w:tcBorders>
              <w:bottom w:val="single" w:sz="8" w:color="FF7F32"/>
            </w:tcBorders>
          </w:tcPr>
          <w:p>
            <w:pPr>
              <w:jc w:val="center"/>
              <w:ind w:left="68"/>
              <w:spacing w:after="0"/>
              <w:rPr>
                <w:sz w:val="20"/>
                <w:szCs w:val="20"/>
                <w:color w:val="auto"/>
              </w:rPr>
            </w:pPr>
            <w:r>
              <w:rPr>
                <w:rFonts w:ascii="Arial" w:cs="Arial" w:eastAsia="Arial" w:hAnsi="Arial"/>
                <w:sz w:val="14"/>
                <w:szCs w:val="14"/>
                <w:b w:val="1"/>
                <w:bCs w:val="1"/>
                <w:color w:val="404040"/>
                <w:w w:val="98"/>
              </w:rPr>
              <w:t>Age</w:t>
            </w:r>
          </w:p>
        </w:tc>
        <w:tc>
          <w:tcPr>
            <w:tcW w:w="960" w:type="dxa"/>
            <w:vAlign w:val="bottom"/>
            <w:tcBorders>
              <w:bottom w:val="single" w:sz="8" w:color="FF7F32"/>
            </w:tcBorders>
          </w:tcPr>
          <w:p>
            <w:pPr>
              <w:jc w:val="center"/>
              <w:spacing w:after="0"/>
              <w:rPr>
                <w:sz w:val="20"/>
                <w:szCs w:val="20"/>
                <w:color w:val="auto"/>
              </w:rPr>
            </w:pPr>
            <w:r>
              <w:rPr>
                <w:rFonts w:ascii="Arial" w:cs="Arial" w:eastAsia="Arial" w:hAnsi="Arial"/>
                <w:sz w:val="14"/>
                <w:szCs w:val="14"/>
                <w:b w:val="1"/>
                <w:bCs w:val="1"/>
                <w:color w:val="404040"/>
              </w:rPr>
              <w:t>Since</w:t>
            </w:r>
          </w:p>
        </w:tc>
        <w:tc>
          <w:tcPr>
            <w:tcW w:w="1380" w:type="dxa"/>
            <w:vAlign w:val="bottom"/>
            <w:tcBorders>
              <w:bottom w:val="single" w:sz="8" w:color="FF7F32"/>
            </w:tcBorders>
          </w:tcPr>
          <w:p>
            <w:pPr>
              <w:ind w:left="200"/>
              <w:spacing w:after="0"/>
              <w:rPr>
                <w:sz w:val="20"/>
                <w:szCs w:val="20"/>
                <w:color w:val="auto"/>
              </w:rPr>
            </w:pPr>
            <w:r>
              <w:rPr>
                <w:rFonts w:ascii="Arial" w:cs="Arial" w:eastAsia="Arial" w:hAnsi="Arial"/>
                <w:sz w:val="14"/>
                <w:szCs w:val="14"/>
                <w:b w:val="1"/>
                <w:bCs w:val="1"/>
                <w:color w:val="404040"/>
              </w:rPr>
              <w:t>Independence</w:t>
            </w:r>
          </w:p>
        </w:tc>
        <w:tc>
          <w:tcPr>
            <w:tcW w:w="1540" w:type="dxa"/>
            <w:vAlign w:val="bottom"/>
            <w:tcBorders>
              <w:bottom w:val="single" w:sz="8" w:color="FF7F32"/>
            </w:tcBorders>
            <w:gridSpan w:val="2"/>
          </w:tcPr>
          <w:p>
            <w:pPr>
              <w:jc w:val="center"/>
              <w:ind w:right="160"/>
              <w:spacing w:after="0"/>
              <w:rPr>
                <w:sz w:val="20"/>
                <w:szCs w:val="20"/>
                <w:color w:val="auto"/>
              </w:rPr>
            </w:pPr>
            <w:r>
              <w:rPr>
                <w:rFonts w:ascii="Arial" w:cs="Arial" w:eastAsia="Arial" w:hAnsi="Arial"/>
                <w:sz w:val="14"/>
                <w:szCs w:val="14"/>
                <w:b w:val="1"/>
                <w:bCs w:val="1"/>
                <w:color w:val="404040"/>
              </w:rPr>
              <w:t>Directorships</w:t>
            </w:r>
          </w:p>
        </w:tc>
        <w:tc>
          <w:tcPr>
            <w:tcW w:w="500" w:type="dxa"/>
            <w:vAlign w:val="bottom"/>
            <w:tcBorders>
              <w:bottom w:val="single" w:sz="8" w:color="FF7F32"/>
            </w:tcBorders>
          </w:tcPr>
          <w:p>
            <w:pPr>
              <w:ind w:left="220"/>
              <w:spacing w:after="0"/>
              <w:rPr>
                <w:sz w:val="20"/>
                <w:szCs w:val="20"/>
                <w:color w:val="auto"/>
              </w:rPr>
            </w:pPr>
            <w:r>
              <w:rPr>
                <w:rFonts w:ascii="Arial" w:cs="Arial" w:eastAsia="Arial" w:hAnsi="Arial"/>
                <w:sz w:val="14"/>
                <w:szCs w:val="14"/>
                <w:b w:val="1"/>
                <w:bCs w:val="1"/>
                <w:color w:val="404040"/>
              </w:rPr>
              <w:t>A</w:t>
            </w:r>
          </w:p>
        </w:tc>
        <w:tc>
          <w:tcPr>
            <w:tcW w:w="1260" w:type="dxa"/>
            <w:vAlign w:val="bottom"/>
            <w:tcBorders>
              <w:bottom w:val="single" w:sz="8" w:color="FF7F32"/>
            </w:tcBorders>
          </w:tcPr>
          <w:p>
            <w:pPr>
              <w:ind w:left="300"/>
              <w:spacing w:after="0"/>
              <w:rPr>
                <w:sz w:val="20"/>
                <w:szCs w:val="20"/>
                <w:color w:val="auto"/>
              </w:rPr>
            </w:pPr>
            <w:r>
              <w:rPr>
                <w:rFonts w:ascii="Arial" w:cs="Arial" w:eastAsia="Arial" w:hAnsi="Arial"/>
                <w:sz w:val="14"/>
                <w:szCs w:val="14"/>
                <w:b w:val="1"/>
                <w:bCs w:val="1"/>
                <w:color w:val="404040"/>
              </w:rPr>
              <w:t>C   NCG</w:t>
            </w:r>
          </w:p>
        </w:tc>
        <w:tc>
          <w:tcPr>
            <w:tcW w:w="500" w:type="dxa"/>
            <w:vAlign w:val="bottom"/>
            <w:tcBorders>
              <w:bottom w:val="single" w:sz="8" w:color="FF7F32"/>
            </w:tcBorders>
          </w:tcPr>
          <w:p>
            <w:pPr>
              <w:ind w:left="180"/>
              <w:spacing w:after="0"/>
              <w:rPr>
                <w:sz w:val="20"/>
                <w:szCs w:val="20"/>
                <w:color w:val="auto"/>
              </w:rPr>
            </w:pPr>
            <w:r>
              <w:rPr>
                <w:rFonts w:ascii="Arial" w:cs="Arial" w:eastAsia="Arial" w:hAnsi="Arial"/>
                <w:sz w:val="14"/>
                <w:szCs w:val="14"/>
                <w:b w:val="1"/>
                <w:bCs w:val="1"/>
                <w:color w:val="404040"/>
              </w:rPr>
              <w:t>F</w:t>
            </w:r>
          </w:p>
        </w:tc>
        <w:tc>
          <w:tcPr>
            <w:tcW w:w="0" w:type="dxa"/>
            <w:vAlign w:val="bottom"/>
          </w:tcPr>
          <w:p>
            <w:pPr>
              <w:spacing w:after="0"/>
              <w:rPr>
                <w:sz w:val="1"/>
                <w:szCs w:val="1"/>
                <w:color w:val="auto"/>
              </w:rPr>
            </w:pPr>
          </w:p>
        </w:tc>
      </w:tr>
      <w:tr>
        <w:trPr>
          <w:trHeight w:val="295"/>
        </w:trPr>
        <w:tc>
          <w:tcPr>
            <w:tcW w:w="780" w:type="dxa"/>
            <w:vAlign w:val="bottom"/>
          </w:tcPr>
          <w:p>
            <w:pPr>
              <w:spacing w:after="0"/>
              <w:rPr>
                <w:sz w:val="24"/>
                <w:szCs w:val="24"/>
                <w:color w:val="auto"/>
              </w:rPr>
            </w:pPr>
          </w:p>
        </w:tc>
        <w:tc>
          <w:tcPr>
            <w:tcW w:w="2860" w:type="dxa"/>
            <w:vAlign w:val="bottom"/>
          </w:tcPr>
          <w:p>
            <w:pPr>
              <w:ind w:left="220"/>
              <w:spacing w:after="0"/>
              <w:rPr>
                <w:sz w:val="20"/>
                <w:szCs w:val="20"/>
                <w:color w:val="auto"/>
              </w:rPr>
            </w:pPr>
            <w:r>
              <w:rPr>
                <w:rFonts w:ascii="Arial" w:cs="Arial" w:eastAsia="Arial" w:hAnsi="Arial"/>
                <w:sz w:val="14"/>
                <w:szCs w:val="14"/>
                <w:b w:val="1"/>
                <w:bCs w:val="1"/>
                <w:color w:val="FF7F32"/>
              </w:rPr>
              <w:t>Douglas G. Bergeron</w:t>
            </w: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780" w:type="dxa"/>
            <w:vAlign w:val="bottom"/>
          </w:tcPr>
          <w:p>
            <w:pPr>
              <w:spacing w:after="0"/>
              <w:rPr>
                <w:sz w:val="17"/>
                <w:szCs w:val="17"/>
                <w:color w:val="auto"/>
              </w:rPr>
            </w:pPr>
          </w:p>
        </w:tc>
        <w:tc>
          <w:tcPr>
            <w:tcW w:w="2860" w:type="dxa"/>
            <w:vAlign w:val="bottom"/>
          </w:tcPr>
          <w:p>
            <w:pPr>
              <w:ind w:left="220"/>
              <w:spacing w:after="0"/>
              <w:rPr>
                <w:sz w:val="20"/>
                <w:szCs w:val="20"/>
                <w:color w:val="auto"/>
              </w:rPr>
            </w:pPr>
            <w:r>
              <w:rPr>
                <w:rFonts w:ascii="Arial" w:cs="Arial" w:eastAsia="Arial" w:hAnsi="Arial"/>
                <w:sz w:val="14"/>
                <w:szCs w:val="14"/>
                <w:color w:val="auto"/>
              </w:rPr>
              <w:t>Former CEO, VeriFone (2001-2013)</w:t>
            </w:r>
          </w:p>
        </w:tc>
        <w:tc>
          <w:tcPr>
            <w:tcW w:w="840" w:type="dxa"/>
            <w:vAlign w:val="bottom"/>
          </w:tcPr>
          <w:p>
            <w:pPr>
              <w:jc w:val="center"/>
              <w:ind w:left="48"/>
              <w:spacing w:after="0"/>
              <w:rPr>
                <w:sz w:val="20"/>
                <w:szCs w:val="20"/>
                <w:color w:val="auto"/>
              </w:rPr>
            </w:pPr>
            <w:r>
              <w:rPr>
                <w:rFonts w:ascii="Arial" w:cs="Arial" w:eastAsia="Arial" w:hAnsi="Arial"/>
                <w:sz w:val="14"/>
                <w:szCs w:val="14"/>
                <w:color w:val="auto"/>
              </w:rPr>
              <w:t>64</w:t>
            </w:r>
          </w:p>
        </w:tc>
        <w:tc>
          <w:tcPr>
            <w:tcW w:w="960" w:type="dxa"/>
            <w:vAlign w:val="bottom"/>
          </w:tcPr>
          <w:p>
            <w:pPr>
              <w:jc w:val="center"/>
              <w:spacing w:after="0"/>
              <w:rPr>
                <w:sz w:val="20"/>
                <w:szCs w:val="20"/>
                <w:color w:val="auto"/>
              </w:rPr>
            </w:pPr>
            <w:r>
              <w:rPr>
                <w:rFonts w:ascii="Arial" w:cs="Arial" w:eastAsia="Arial" w:hAnsi="Arial"/>
                <w:sz w:val="14"/>
                <w:szCs w:val="14"/>
                <w:color w:val="auto"/>
              </w:rPr>
              <w:t>2020</w:t>
            </w:r>
          </w:p>
        </w:tc>
        <w:tc>
          <w:tcPr>
            <w:tcW w:w="1380" w:type="dxa"/>
            <w:vAlign w:val="bottom"/>
          </w:tcPr>
          <w:p>
            <w:pPr>
              <w:spacing w:after="0"/>
              <w:rPr>
                <w:sz w:val="17"/>
                <w:szCs w:val="17"/>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w w:val="99"/>
              </w:rPr>
              <w:t>—</w:t>
            </w:r>
          </w:p>
        </w:tc>
        <w:tc>
          <w:tcPr>
            <w:tcW w:w="5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2860" w:type="dxa"/>
            <w:vAlign w:val="bottom"/>
          </w:tcPr>
          <w:p>
            <w:pPr>
              <w:ind w:left="220"/>
              <w:spacing w:after="0"/>
              <w:rPr>
                <w:sz w:val="20"/>
                <w:szCs w:val="20"/>
                <w:color w:val="auto"/>
              </w:rPr>
            </w:pPr>
            <w:r>
              <w:rPr>
                <w:rFonts w:ascii="Arial" w:cs="Arial" w:eastAsia="Arial" w:hAnsi="Arial"/>
                <w:sz w:val="14"/>
                <w:szCs w:val="14"/>
                <w:color w:val="auto"/>
              </w:rPr>
              <w:t>Chairman of the Board</w:t>
            </w: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780" w:type="dxa"/>
            <w:vAlign w:val="bottom"/>
            <w:tcBorders>
              <w:bottom w:val="single" w:sz="8" w:color="E5E5E5"/>
            </w:tcBorders>
          </w:tcPr>
          <w:p>
            <w:pPr>
              <w:spacing w:after="0"/>
              <w:rPr>
                <w:sz w:val="8"/>
                <w:szCs w:val="8"/>
                <w:color w:val="auto"/>
              </w:rPr>
            </w:pPr>
          </w:p>
        </w:tc>
        <w:tc>
          <w:tcPr>
            <w:tcW w:w="2860" w:type="dxa"/>
            <w:vAlign w:val="bottom"/>
            <w:tcBorders>
              <w:bottom w:val="single" w:sz="8" w:color="E5E5E5"/>
            </w:tcBorders>
          </w:tcPr>
          <w:p>
            <w:pPr>
              <w:spacing w:after="0"/>
              <w:rPr>
                <w:sz w:val="8"/>
                <w:szCs w:val="8"/>
                <w:color w:val="auto"/>
              </w:rPr>
            </w:pPr>
          </w:p>
        </w:tc>
        <w:tc>
          <w:tcPr>
            <w:tcW w:w="840" w:type="dxa"/>
            <w:vAlign w:val="bottom"/>
            <w:tcBorders>
              <w:bottom w:val="single" w:sz="8" w:color="E5E5E5"/>
            </w:tcBorders>
          </w:tcPr>
          <w:p>
            <w:pPr>
              <w:spacing w:after="0"/>
              <w:rPr>
                <w:sz w:val="8"/>
                <w:szCs w:val="8"/>
                <w:color w:val="auto"/>
              </w:rPr>
            </w:pPr>
          </w:p>
        </w:tc>
        <w:tc>
          <w:tcPr>
            <w:tcW w:w="960" w:type="dxa"/>
            <w:vAlign w:val="bottom"/>
            <w:tcBorders>
              <w:bottom w:val="single" w:sz="8" w:color="E5E5E5"/>
            </w:tcBorders>
          </w:tcPr>
          <w:p>
            <w:pPr>
              <w:spacing w:after="0"/>
              <w:rPr>
                <w:sz w:val="8"/>
                <w:szCs w:val="8"/>
                <w:color w:val="auto"/>
              </w:rPr>
            </w:pPr>
          </w:p>
        </w:tc>
        <w:tc>
          <w:tcPr>
            <w:tcW w:w="1380" w:type="dxa"/>
            <w:vAlign w:val="bottom"/>
            <w:tcBorders>
              <w:bottom w:val="single" w:sz="8" w:color="E5E5E5"/>
            </w:tcBorders>
          </w:tcPr>
          <w:p>
            <w:pPr>
              <w:spacing w:after="0"/>
              <w:rPr>
                <w:sz w:val="8"/>
                <w:szCs w:val="8"/>
                <w:color w:val="auto"/>
              </w:rPr>
            </w:pPr>
          </w:p>
        </w:tc>
        <w:tc>
          <w:tcPr>
            <w:tcW w:w="1380" w:type="dxa"/>
            <w:vAlign w:val="bottom"/>
            <w:tcBorders>
              <w:bottom w:val="single" w:sz="8" w:color="E5E5E5"/>
            </w:tcBorders>
          </w:tcPr>
          <w:p>
            <w:pPr>
              <w:spacing w:after="0"/>
              <w:rPr>
                <w:sz w:val="8"/>
                <w:szCs w:val="8"/>
                <w:color w:val="auto"/>
              </w:rPr>
            </w:pPr>
          </w:p>
        </w:tc>
        <w:tc>
          <w:tcPr>
            <w:tcW w:w="160" w:type="dxa"/>
            <w:vAlign w:val="bottom"/>
            <w:tcBorders>
              <w:bottom w:val="single" w:sz="8" w:color="E5E5E5"/>
            </w:tcBorders>
          </w:tcPr>
          <w:p>
            <w:pPr>
              <w:spacing w:after="0"/>
              <w:rPr>
                <w:sz w:val="8"/>
                <w:szCs w:val="8"/>
                <w:color w:val="auto"/>
              </w:rPr>
            </w:pPr>
          </w:p>
        </w:tc>
        <w:tc>
          <w:tcPr>
            <w:tcW w:w="500" w:type="dxa"/>
            <w:vAlign w:val="bottom"/>
            <w:tcBorders>
              <w:bottom w:val="single" w:sz="8" w:color="D9D9D9"/>
            </w:tcBorders>
          </w:tcPr>
          <w:p>
            <w:pPr>
              <w:spacing w:after="0"/>
              <w:rPr>
                <w:sz w:val="8"/>
                <w:szCs w:val="8"/>
                <w:color w:val="auto"/>
              </w:rPr>
            </w:pPr>
          </w:p>
        </w:tc>
        <w:tc>
          <w:tcPr>
            <w:tcW w:w="1260" w:type="dxa"/>
            <w:vAlign w:val="bottom"/>
            <w:tcBorders>
              <w:bottom w:val="single" w:sz="8" w:color="D9D9D9"/>
            </w:tcBorders>
          </w:tcPr>
          <w:p>
            <w:pPr>
              <w:spacing w:after="0"/>
              <w:rPr>
                <w:sz w:val="8"/>
                <w:szCs w:val="8"/>
                <w:color w:val="auto"/>
              </w:rPr>
            </w:pPr>
          </w:p>
        </w:tc>
        <w:tc>
          <w:tcPr>
            <w:tcW w:w="500" w:type="dxa"/>
            <w:vAlign w:val="bottom"/>
            <w:tcBorders>
              <w:bottom w:val="single" w:sz="8" w:color="D9D9D9"/>
            </w:tcBorders>
          </w:tcPr>
          <w:p>
            <w:pPr>
              <w:spacing w:after="0"/>
              <w:rPr>
                <w:sz w:val="8"/>
                <w:szCs w:val="8"/>
                <w:color w:val="auto"/>
              </w:rPr>
            </w:pPr>
          </w:p>
        </w:tc>
        <w:tc>
          <w:tcPr>
            <w:tcW w:w="0" w:type="dxa"/>
            <w:vAlign w:val="bottom"/>
          </w:tcPr>
          <w:p>
            <w:pPr>
              <w:spacing w:after="0"/>
              <w:rPr>
                <w:sz w:val="1"/>
                <w:szCs w:val="1"/>
                <w:color w:val="auto"/>
              </w:rPr>
            </w:pPr>
          </w:p>
        </w:tc>
      </w:tr>
      <w:tr>
        <w:trPr>
          <w:trHeight w:val="383"/>
        </w:trPr>
        <w:tc>
          <w:tcPr>
            <w:tcW w:w="780" w:type="dxa"/>
            <w:vAlign w:val="bottom"/>
          </w:tcPr>
          <w:p>
            <w:pPr>
              <w:spacing w:after="0"/>
              <w:rPr>
                <w:sz w:val="24"/>
                <w:szCs w:val="24"/>
                <w:color w:val="auto"/>
              </w:rPr>
            </w:pPr>
          </w:p>
        </w:tc>
        <w:tc>
          <w:tcPr>
            <w:tcW w:w="2860" w:type="dxa"/>
            <w:vAlign w:val="bottom"/>
          </w:tcPr>
          <w:p>
            <w:pPr>
              <w:ind w:left="220"/>
              <w:spacing w:after="0"/>
              <w:rPr>
                <w:sz w:val="20"/>
                <w:szCs w:val="20"/>
                <w:color w:val="auto"/>
              </w:rPr>
            </w:pPr>
            <w:r>
              <w:rPr>
                <w:rFonts w:ascii="Arial" w:cs="Arial" w:eastAsia="Arial" w:hAnsi="Arial"/>
                <w:sz w:val="14"/>
                <w:szCs w:val="14"/>
                <w:b w:val="1"/>
                <w:bCs w:val="1"/>
                <w:color w:val="FF7F32"/>
              </w:rPr>
              <w:t>Lisa P. Baird</w:t>
            </w:r>
          </w:p>
        </w:tc>
        <w:tc>
          <w:tcPr>
            <w:tcW w:w="840" w:type="dxa"/>
            <w:vAlign w:val="bottom"/>
            <w:vMerge w:val="restart"/>
          </w:tcPr>
          <w:p>
            <w:pPr>
              <w:jc w:val="center"/>
              <w:ind w:left="48"/>
              <w:spacing w:after="0"/>
              <w:rPr>
                <w:sz w:val="20"/>
                <w:szCs w:val="20"/>
                <w:color w:val="auto"/>
              </w:rPr>
            </w:pPr>
            <w:r>
              <w:rPr>
                <w:rFonts w:ascii="Arial" w:cs="Arial" w:eastAsia="Arial" w:hAnsi="Arial"/>
                <w:sz w:val="14"/>
                <w:szCs w:val="14"/>
                <w:color w:val="auto"/>
              </w:rPr>
              <w:t>64</w:t>
            </w: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rPr>
              <w:t>2020</w:t>
            </w:r>
          </w:p>
        </w:tc>
        <w:tc>
          <w:tcPr>
            <w:tcW w:w="1380" w:type="dxa"/>
            <w:vAlign w:val="bottom"/>
          </w:tcPr>
          <w:p>
            <w:pPr>
              <w:spacing w:after="0"/>
              <w:rPr>
                <w:sz w:val="24"/>
                <w:szCs w:val="24"/>
                <w:color w:val="auto"/>
              </w:rPr>
            </w:pPr>
          </w:p>
        </w:tc>
        <w:tc>
          <w:tcPr>
            <w:tcW w:w="1380" w:type="dxa"/>
            <w:vAlign w:val="bottom"/>
            <w:vMerge w:val="restart"/>
          </w:tcPr>
          <w:p>
            <w:pPr>
              <w:jc w:val="right"/>
              <w:ind w:right="588"/>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780" w:type="dxa"/>
            <w:vAlign w:val="bottom"/>
          </w:tcPr>
          <w:p>
            <w:pPr>
              <w:spacing w:after="0"/>
              <w:rPr>
                <w:sz w:val="8"/>
                <w:szCs w:val="8"/>
                <w:color w:val="auto"/>
              </w:rPr>
            </w:pPr>
          </w:p>
        </w:tc>
        <w:tc>
          <w:tcPr>
            <w:tcW w:w="2860" w:type="dxa"/>
            <w:vAlign w:val="bottom"/>
            <w:vMerge w:val="restart"/>
          </w:tcPr>
          <w:p>
            <w:pPr>
              <w:ind w:left="220"/>
              <w:spacing w:after="0"/>
              <w:rPr>
                <w:sz w:val="20"/>
                <w:szCs w:val="20"/>
                <w:color w:val="auto"/>
              </w:rPr>
            </w:pPr>
            <w:r>
              <w:rPr>
                <w:rFonts w:ascii="Arial" w:cs="Arial" w:eastAsia="Arial" w:hAnsi="Arial"/>
                <w:sz w:val="14"/>
                <w:szCs w:val="14"/>
                <w:color w:val="auto"/>
              </w:rPr>
              <w:t>President and CEO, NextUp</w:t>
            </w:r>
          </w:p>
        </w:tc>
        <w:tc>
          <w:tcPr>
            <w:tcW w:w="84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138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780" w:type="dxa"/>
            <w:vAlign w:val="bottom"/>
          </w:tcPr>
          <w:p>
            <w:pPr>
              <w:spacing w:after="0"/>
              <w:rPr>
                <w:sz w:val="8"/>
                <w:szCs w:val="8"/>
                <w:color w:val="auto"/>
              </w:rPr>
            </w:pPr>
          </w:p>
        </w:tc>
        <w:tc>
          <w:tcPr>
            <w:tcW w:w="286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-868680</wp:posOffset>
            </wp:positionV>
            <wp:extent cx="6746240" cy="14401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46240" cy="1440180"/>
                    </a:xfrm>
                    <a:prstGeom prst="rect">
                      <a:avLst/>
                    </a:prstGeom>
                    <a:noFill/>
                  </pic:spPr>
                </pic:pic>
              </a:graphicData>
            </a:graphic>
          </wp:anchor>
        </w:drawing>
      </w:r>
    </w:p>
    <w:p>
      <w:pPr>
        <w:sectPr>
          <w:pgSz w:w="11900" w:h="16838" w:orient="portrait"/>
          <w:cols w:equalWidth="0" w:num="1">
            <w:col w:w="11220"/>
          </w:cols>
          <w:pgMar w:left="320" w:top="257" w:right="359" w:bottom="1440" w:gutter="0" w:footer="0" w:header="0"/>
        </w:sectPr>
      </w:pPr>
    </w:p>
    <w:p>
      <w:pPr>
        <w:spacing w:after="0" w:line="200" w:lineRule="exact"/>
        <w:rPr>
          <w:sz w:val="20"/>
          <w:szCs w:val="20"/>
          <w:color w:val="auto"/>
        </w:rPr>
      </w:pPr>
    </w:p>
    <w:p>
      <w:pPr>
        <w:spacing w:after="0" w:line="217" w:lineRule="exact"/>
        <w:rPr>
          <w:sz w:val="20"/>
          <w:szCs w:val="20"/>
          <w:color w:val="auto"/>
        </w:rPr>
      </w:pPr>
    </w:p>
    <w:tbl>
      <w:tblPr>
        <w:tblLayout w:type="fixed"/>
        <w:tblInd w:w="60" w:type="dxa"/>
        <w:tblCellMar>
          <w:top w:w="0" w:type="dxa"/>
          <w:left w:w="0" w:type="dxa"/>
          <w:bottom w:w="0" w:type="dxa"/>
          <w:right w:w="0" w:type="dxa"/>
        </w:tblCellMar>
      </w:tblPr>
      <w:tr>
        <w:trPr>
          <w:trHeight w:val="196"/>
        </w:trPr>
        <w:tc>
          <w:tcPr>
            <w:tcW w:w="3820" w:type="dxa"/>
            <w:vAlign w:val="bottom"/>
          </w:tcPr>
          <w:p>
            <w:pPr>
              <w:ind w:left="1000"/>
              <w:spacing w:after="0"/>
              <w:rPr>
                <w:sz w:val="20"/>
                <w:szCs w:val="20"/>
                <w:color w:val="auto"/>
              </w:rPr>
            </w:pPr>
            <w:r>
              <w:rPr>
                <w:rFonts w:ascii="Arial" w:cs="Arial" w:eastAsia="Arial" w:hAnsi="Arial"/>
                <w:sz w:val="14"/>
                <w:szCs w:val="14"/>
                <w:b w:val="1"/>
                <w:bCs w:val="1"/>
                <w:color w:val="FF7F32"/>
              </w:rPr>
              <w:t>Ian Harris</w:t>
            </w:r>
          </w:p>
        </w:tc>
        <w:tc>
          <w:tcPr>
            <w:tcW w:w="680" w:type="dxa"/>
            <w:vAlign w:val="bottom"/>
            <w:vMerge w:val="restart"/>
          </w:tcPr>
          <w:p>
            <w:pPr>
              <w:jc w:val="right"/>
              <w:ind w:right="228"/>
              <w:spacing w:after="0"/>
              <w:rPr>
                <w:sz w:val="20"/>
                <w:szCs w:val="20"/>
                <w:color w:val="auto"/>
              </w:rPr>
            </w:pPr>
            <w:r>
              <w:rPr>
                <w:rFonts w:ascii="Arial" w:cs="Arial" w:eastAsia="Arial" w:hAnsi="Arial"/>
                <w:sz w:val="14"/>
                <w:szCs w:val="14"/>
                <w:color w:val="auto"/>
              </w:rPr>
              <w:t>36</w:t>
            </w:r>
          </w:p>
        </w:tc>
        <w:tc>
          <w:tcPr>
            <w:tcW w:w="2320" w:type="dxa"/>
            <w:vAlign w:val="bottom"/>
            <w:vMerge w:val="restart"/>
          </w:tcPr>
          <w:p>
            <w:pPr>
              <w:jc w:val="right"/>
              <w:ind w:right="1628"/>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102"/>
        </w:trPr>
        <w:tc>
          <w:tcPr>
            <w:tcW w:w="3820" w:type="dxa"/>
            <w:vAlign w:val="bottom"/>
            <w:vMerge w:val="restart"/>
          </w:tcPr>
          <w:p>
            <w:pPr>
              <w:ind w:left="1000"/>
              <w:spacing w:after="0"/>
              <w:rPr>
                <w:sz w:val="20"/>
                <w:szCs w:val="20"/>
                <w:color w:val="auto"/>
              </w:rPr>
            </w:pPr>
            <w:r>
              <w:rPr>
                <w:rFonts w:ascii="Arial" w:cs="Arial" w:eastAsia="Arial" w:hAnsi="Arial"/>
                <w:sz w:val="14"/>
                <w:szCs w:val="14"/>
                <w:color w:val="auto"/>
              </w:rPr>
              <w:t>Chief Financial Officer, Talkspace, Inc.</w:t>
            </w:r>
          </w:p>
        </w:tc>
        <w:tc>
          <w:tcPr>
            <w:tcW w:w="680" w:type="dxa"/>
            <w:vAlign w:val="bottom"/>
            <w:vMerge w:val="continue"/>
          </w:tcPr>
          <w:p>
            <w:pPr>
              <w:spacing w:after="0"/>
              <w:rPr>
                <w:sz w:val="8"/>
                <w:szCs w:val="8"/>
                <w:color w:val="auto"/>
              </w:rPr>
            </w:pPr>
          </w:p>
        </w:tc>
        <w:tc>
          <w:tcPr>
            <w:tcW w:w="2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82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2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9"/>
        </w:trPr>
        <w:tc>
          <w:tcPr>
            <w:tcW w:w="3820" w:type="dxa"/>
            <w:vAlign w:val="bottom"/>
          </w:tcPr>
          <w:p>
            <w:pPr>
              <w:ind w:left="1000"/>
              <w:spacing w:after="0"/>
              <w:rPr>
                <w:sz w:val="20"/>
                <w:szCs w:val="20"/>
                <w:color w:val="auto"/>
              </w:rPr>
            </w:pPr>
            <w:r>
              <w:rPr>
                <w:rFonts w:ascii="Arial" w:cs="Arial" w:eastAsia="Arial" w:hAnsi="Arial"/>
                <w:sz w:val="14"/>
                <w:szCs w:val="14"/>
                <w:b w:val="1"/>
                <w:bCs w:val="1"/>
                <w:color w:val="FF7F32"/>
              </w:rPr>
              <w:t>Jacob Lamm</w:t>
            </w:r>
          </w:p>
        </w:tc>
        <w:tc>
          <w:tcPr>
            <w:tcW w:w="6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20" w:type="dxa"/>
            <w:vAlign w:val="bottom"/>
          </w:tcPr>
          <w:p>
            <w:pPr>
              <w:ind w:left="1000"/>
              <w:spacing w:after="0"/>
              <w:rPr>
                <w:sz w:val="20"/>
                <w:szCs w:val="20"/>
                <w:color w:val="auto"/>
              </w:rPr>
            </w:pPr>
            <w:r>
              <w:rPr>
                <w:rFonts w:ascii="Arial" w:cs="Arial" w:eastAsia="Arial" w:hAnsi="Arial"/>
                <w:sz w:val="14"/>
                <w:szCs w:val="14"/>
                <w:color w:val="auto"/>
              </w:rPr>
              <w:t>Founder &amp; Independent Consultant,</w:t>
            </w:r>
          </w:p>
        </w:tc>
        <w:tc>
          <w:tcPr>
            <w:tcW w:w="680" w:type="dxa"/>
            <w:vAlign w:val="bottom"/>
          </w:tcPr>
          <w:p>
            <w:pPr>
              <w:jc w:val="right"/>
              <w:ind w:right="228"/>
              <w:spacing w:after="0"/>
              <w:rPr>
                <w:sz w:val="20"/>
                <w:szCs w:val="20"/>
                <w:color w:val="auto"/>
              </w:rPr>
            </w:pPr>
            <w:r>
              <w:rPr>
                <w:rFonts w:ascii="Arial" w:cs="Arial" w:eastAsia="Arial" w:hAnsi="Arial"/>
                <w:sz w:val="14"/>
                <w:szCs w:val="14"/>
                <w:color w:val="auto"/>
              </w:rPr>
              <w:t>60</w:t>
            </w:r>
          </w:p>
        </w:tc>
        <w:tc>
          <w:tcPr>
            <w:tcW w:w="2320" w:type="dxa"/>
            <w:vAlign w:val="bottom"/>
          </w:tcPr>
          <w:p>
            <w:pPr>
              <w:jc w:val="right"/>
              <w:ind w:right="1628"/>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03"/>
        </w:trPr>
        <w:tc>
          <w:tcPr>
            <w:tcW w:w="3820" w:type="dxa"/>
            <w:vAlign w:val="bottom"/>
          </w:tcPr>
          <w:p>
            <w:pPr>
              <w:ind w:left="1000"/>
              <w:spacing w:after="0"/>
              <w:rPr>
                <w:sz w:val="20"/>
                <w:szCs w:val="20"/>
                <w:color w:val="auto"/>
              </w:rPr>
            </w:pPr>
            <w:r>
              <w:rPr>
                <w:rFonts w:ascii="Arial" w:cs="Arial" w:eastAsia="Arial" w:hAnsi="Arial"/>
                <w:sz w:val="14"/>
                <w:szCs w:val="14"/>
                <w:color w:val="auto"/>
              </w:rPr>
              <w:t>Enterik Advisory LLC</w:t>
            </w:r>
          </w:p>
        </w:tc>
        <w:tc>
          <w:tcPr>
            <w:tcW w:w="6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3820" w:type="dxa"/>
            <w:vAlign w:val="bottom"/>
            <w:tcBorders>
              <w:bottom w:val="single" w:sz="8" w:color="E5E5E5"/>
            </w:tcBorders>
          </w:tcPr>
          <w:p>
            <w:pPr>
              <w:spacing w:after="0"/>
              <w:rPr>
                <w:sz w:val="8"/>
                <w:szCs w:val="8"/>
                <w:color w:val="auto"/>
              </w:rPr>
            </w:pPr>
          </w:p>
        </w:tc>
        <w:tc>
          <w:tcPr>
            <w:tcW w:w="680" w:type="dxa"/>
            <w:vAlign w:val="bottom"/>
            <w:tcBorders>
              <w:bottom w:val="single" w:sz="8" w:color="E5E5E5"/>
            </w:tcBorders>
          </w:tcPr>
          <w:p>
            <w:pPr>
              <w:spacing w:after="0"/>
              <w:rPr>
                <w:sz w:val="8"/>
                <w:szCs w:val="8"/>
                <w:color w:val="auto"/>
              </w:rPr>
            </w:pPr>
          </w:p>
        </w:tc>
        <w:tc>
          <w:tcPr>
            <w:tcW w:w="2320" w:type="dxa"/>
            <w:vAlign w:val="bottom"/>
            <w:tcBorders>
              <w:bottom w:val="single" w:sz="8" w:color="E5E5E5"/>
            </w:tcBorders>
          </w:tcPr>
          <w:p>
            <w:pPr>
              <w:spacing w:after="0"/>
              <w:rPr>
                <w:sz w:val="8"/>
                <w:szCs w:val="8"/>
                <w:color w:val="auto"/>
              </w:rPr>
            </w:pPr>
          </w:p>
        </w:tc>
        <w:tc>
          <w:tcPr>
            <w:tcW w:w="0" w:type="dxa"/>
            <w:vAlign w:val="bottom"/>
          </w:tcPr>
          <w:p>
            <w:pPr>
              <w:spacing w:after="0"/>
              <w:rPr>
                <w:sz w:val="1"/>
                <w:szCs w:val="1"/>
                <w:color w:val="auto"/>
              </w:rPr>
            </w:pPr>
          </w:p>
        </w:tc>
      </w:tr>
      <w:tr>
        <w:trPr>
          <w:trHeight w:val="383"/>
        </w:trPr>
        <w:tc>
          <w:tcPr>
            <w:tcW w:w="3820" w:type="dxa"/>
            <w:vAlign w:val="bottom"/>
          </w:tcPr>
          <w:p>
            <w:pPr>
              <w:ind w:left="1000"/>
              <w:spacing w:after="0"/>
              <w:rPr>
                <w:sz w:val="20"/>
                <w:szCs w:val="20"/>
                <w:color w:val="auto"/>
              </w:rPr>
            </w:pPr>
            <w:r>
              <w:rPr>
                <w:rFonts w:ascii="Arial" w:cs="Arial" w:eastAsia="Arial" w:hAnsi="Arial"/>
                <w:sz w:val="14"/>
                <w:szCs w:val="14"/>
                <w:b w:val="1"/>
                <w:bCs w:val="1"/>
                <w:color w:val="FF7F32"/>
              </w:rPr>
              <w:t>Michael K. Passilla</w:t>
            </w:r>
          </w:p>
        </w:tc>
        <w:tc>
          <w:tcPr>
            <w:tcW w:w="680" w:type="dxa"/>
            <w:vAlign w:val="bottom"/>
            <w:vMerge w:val="restart"/>
          </w:tcPr>
          <w:p>
            <w:pPr>
              <w:jc w:val="right"/>
              <w:ind w:right="228"/>
              <w:spacing w:after="0"/>
              <w:rPr>
                <w:sz w:val="20"/>
                <w:szCs w:val="20"/>
                <w:color w:val="auto"/>
              </w:rPr>
            </w:pPr>
            <w:r>
              <w:rPr>
                <w:rFonts w:ascii="Arial" w:cs="Arial" w:eastAsia="Arial" w:hAnsi="Arial"/>
                <w:sz w:val="14"/>
                <w:szCs w:val="14"/>
                <w:color w:val="auto"/>
              </w:rPr>
              <w:t>58</w:t>
            </w:r>
          </w:p>
        </w:tc>
        <w:tc>
          <w:tcPr>
            <w:tcW w:w="2320" w:type="dxa"/>
            <w:vAlign w:val="bottom"/>
            <w:vMerge w:val="restart"/>
          </w:tcPr>
          <w:p>
            <w:pPr>
              <w:jc w:val="right"/>
              <w:ind w:right="1628"/>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02"/>
        </w:trPr>
        <w:tc>
          <w:tcPr>
            <w:tcW w:w="3820" w:type="dxa"/>
            <w:vAlign w:val="bottom"/>
            <w:vMerge w:val="restart"/>
          </w:tcPr>
          <w:p>
            <w:pPr>
              <w:ind w:left="1000"/>
              <w:spacing w:after="0"/>
              <w:rPr>
                <w:sz w:val="20"/>
                <w:szCs w:val="20"/>
                <w:color w:val="auto"/>
              </w:rPr>
            </w:pPr>
            <w:r>
              <w:rPr>
                <w:rFonts w:ascii="Arial" w:cs="Arial" w:eastAsia="Arial" w:hAnsi="Arial"/>
                <w:sz w:val="14"/>
                <w:szCs w:val="14"/>
                <w:color w:val="auto"/>
              </w:rPr>
              <w:t>CEO, Posillipo Ventures, Inc.</w:t>
            </w:r>
          </w:p>
        </w:tc>
        <w:tc>
          <w:tcPr>
            <w:tcW w:w="680" w:type="dxa"/>
            <w:vAlign w:val="bottom"/>
            <w:vMerge w:val="continue"/>
          </w:tcPr>
          <w:p>
            <w:pPr>
              <w:spacing w:after="0"/>
              <w:rPr>
                <w:sz w:val="8"/>
                <w:szCs w:val="8"/>
                <w:color w:val="auto"/>
              </w:rPr>
            </w:pPr>
          </w:p>
        </w:tc>
        <w:tc>
          <w:tcPr>
            <w:tcW w:w="2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82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2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3820" w:type="dxa"/>
            <w:vAlign w:val="bottom"/>
            <w:tcBorders>
              <w:bottom w:val="single" w:sz="8" w:color="E5E5E5"/>
            </w:tcBorders>
          </w:tcPr>
          <w:p>
            <w:pPr>
              <w:spacing w:after="0"/>
              <w:rPr>
                <w:sz w:val="18"/>
                <w:szCs w:val="18"/>
                <w:color w:val="auto"/>
              </w:rPr>
            </w:pPr>
          </w:p>
        </w:tc>
        <w:tc>
          <w:tcPr>
            <w:tcW w:w="680" w:type="dxa"/>
            <w:vAlign w:val="bottom"/>
            <w:tcBorders>
              <w:bottom w:val="single" w:sz="8" w:color="E5E5E5"/>
            </w:tcBorders>
          </w:tcPr>
          <w:p>
            <w:pPr>
              <w:spacing w:after="0"/>
              <w:rPr>
                <w:sz w:val="18"/>
                <w:szCs w:val="18"/>
                <w:color w:val="auto"/>
              </w:rPr>
            </w:pPr>
          </w:p>
        </w:tc>
        <w:tc>
          <w:tcPr>
            <w:tcW w:w="2320" w:type="dxa"/>
            <w:vAlign w:val="bottom"/>
            <w:tcBorders>
              <w:bottom w:val="single" w:sz="8" w:color="E5E5E5"/>
            </w:tcBorders>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3820" w:type="dxa"/>
            <w:vAlign w:val="bottom"/>
          </w:tcPr>
          <w:p>
            <w:pPr>
              <w:ind w:left="1000"/>
              <w:spacing w:after="0"/>
              <w:rPr>
                <w:sz w:val="20"/>
                <w:szCs w:val="20"/>
                <w:color w:val="auto"/>
              </w:rPr>
            </w:pPr>
            <w:r>
              <w:rPr>
                <w:rFonts w:ascii="Arial" w:cs="Arial" w:eastAsia="Arial" w:hAnsi="Arial"/>
                <w:sz w:val="14"/>
                <w:szCs w:val="14"/>
                <w:b w:val="1"/>
                <w:bCs w:val="1"/>
                <w:color w:val="FF7F32"/>
              </w:rPr>
              <w:t>Ellen Richey</w:t>
            </w:r>
          </w:p>
        </w:tc>
        <w:tc>
          <w:tcPr>
            <w:tcW w:w="6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20" w:type="dxa"/>
            <w:vAlign w:val="bottom"/>
          </w:tcPr>
          <w:p>
            <w:pPr>
              <w:ind w:left="1000"/>
              <w:spacing w:after="0"/>
              <w:rPr>
                <w:sz w:val="20"/>
                <w:szCs w:val="20"/>
                <w:color w:val="auto"/>
              </w:rPr>
            </w:pPr>
            <w:r>
              <w:rPr>
                <w:rFonts w:ascii="Arial" w:cs="Arial" w:eastAsia="Arial" w:hAnsi="Arial"/>
                <w:sz w:val="14"/>
                <w:szCs w:val="14"/>
                <w:color w:val="auto"/>
              </w:rPr>
              <w:t>Former Vice Chair of Risk and</w:t>
            </w:r>
          </w:p>
        </w:tc>
        <w:tc>
          <w:tcPr>
            <w:tcW w:w="680" w:type="dxa"/>
            <w:vAlign w:val="bottom"/>
          </w:tcPr>
          <w:p>
            <w:pPr>
              <w:jc w:val="right"/>
              <w:ind w:right="228"/>
              <w:spacing w:after="0"/>
              <w:rPr>
                <w:sz w:val="20"/>
                <w:szCs w:val="20"/>
                <w:color w:val="auto"/>
              </w:rPr>
            </w:pPr>
            <w:r>
              <w:rPr>
                <w:rFonts w:ascii="Arial" w:cs="Arial" w:eastAsia="Arial" w:hAnsi="Arial"/>
                <w:sz w:val="14"/>
                <w:szCs w:val="14"/>
                <w:color w:val="auto"/>
              </w:rPr>
              <w:t>76</w:t>
            </w:r>
          </w:p>
        </w:tc>
        <w:tc>
          <w:tcPr>
            <w:tcW w:w="2320" w:type="dxa"/>
            <w:vAlign w:val="bottom"/>
          </w:tcPr>
          <w:p>
            <w:pPr>
              <w:jc w:val="right"/>
              <w:ind w:right="1628"/>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03"/>
        </w:trPr>
        <w:tc>
          <w:tcPr>
            <w:tcW w:w="3820" w:type="dxa"/>
            <w:vAlign w:val="bottom"/>
          </w:tcPr>
          <w:p>
            <w:pPr>
              <w:ind w:left="1000"/>
              <w:spacing w:after="0"/>
              <w:rPr>
                <w:sz w:val="20"/>
                <w:szCs w:val="20"/>
                <w:color w:val="auto"/>
              </w:rPr>
            </w:pPr>
            <w:r>
              <w:rPr>
                <w:rFonts w:ascii="Arial" w:cs="Arial" w:eastAsia="Arial" w:hAnsi="Arial"/>
                <w:sz w:val="14"/>
                <w:szCs w:val="14"/>
                <w:color w:val="auto"/>
              </w:rPr>
              <w:t>Public Policy, Visa Inc.</w:t>
            </w:r>
          </w:p>
        </w:tc>
        <w:tc>
          <w:tcPr>
            <w:tcW w:w="6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3820" w:type="dxa"/>
            <w:vAlign w:val="bottom"/>
            <w:tcBorders>
              <w:bottom w:val="single" w:sz="8" w:color="E5E5E5"/>
            </w:tcBorders>
          </w:tcPr>
          <w:p>
            <w:pPr>
              <w:spacing w:after="0"/>
              <w:rPr>
                <w:sz w:val="8"/>
                <w:szCs w:val="8"/>
                <w:color w:val="auto"/>
              </w:rPr>
            </w:pPr>
          </w:p>
        </w:tc>
        <w:tc>
          <w:tcPr>
            <w:tcW w:w="680" w:type="dxa"/>
            <w:vAlign w:val="bottom"/>
            <w:tcBorders>
              <w:bottom w:val="single" w:sz="8" w:color="E5E5E5"/>
            </w:tcBorders>
          </w:tcPr>
          <w:p>
            <w:pPr>
              <w:spacing w:after="0"/>
              <w:rPr>
                <w:sz w:val="8"/>
                <w:szCs w:val="8"/>
                <w:color w:val="auto"/>
              </w:rPr>
            </w:pPr>
          </w:p>
        </w:tc>
        <w:tc>
          <w:tcPr>
            <w:tcW w:w="2320" w:type="dxa"/>
            <w:vAlign w:val="bottom"/>
            <w:tcBorders>
              <w:bottom w:val="single" w:sz="8" w:color="E5E5E5"/>
            </w:tcBorders>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3820" w:type="dxa"/>
            <w:vAlign w:val="bottom"/>
          </w:tcPr>
          <w:p>
            <w:pPr>
              <w:ind w:left="1000"/>
              <w:spacing w:after="0"/>
              <w:rPr>
                <w:sz w:val="20"/>
                <w:szCs w:val="20"/>
                <w:color w:val="auto"/>
              </w:rPr>
            </w:pPr>
            <w:r>
              <w:rPr>
                <w:rFonts w:ascii="Arial" w:cs="Arial" w:eastAsia="Arial" w:hAnsi="Arial"/>
                <w:sz w:val="14"/>
                <w:szCs w:val="14"/>
                <w:b w:val="1"/>
                <w:bCs w:val="1"/>
                <w:color w:val="FF7F32"/>
              </w:rPr>
              <w:t>Anne M. Smalling</w:t>
            </w:r>
          </w:p>
        </w:tc>
        <w:tc>
          <w:tcPr>
            <w:tcW w:w="6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20" w:type="dxa"/>
            <w:vAlign w:val="bottom"/>
          </w:tcPr>
          <w:p>
            <w:pPr>
              <w:ind w:left="1000"/>
              <w:spacing w:after="0"/>
              <w:rPr>
                <w:sz w:val="20"/>
                <w:szCs w:val="20"/>
                <w:color w:val="auto"/>
              </w:rPr>
            </w:pPr>
            <w:r>
              <w:rPr>
                <w:rFonts w:ascii="Arial" w:cs="Arial" w:eastAsia="Arial" w:hAnsi="Arial"/>
                <w:sz w:val="14"/>
                <w:szCs w:val="14"/>
                <w:color w:val="auto"/>
              </w:rPr>
              <w:t>President &amp; Managing Partner,</w:t>
            </w:r>
          </w:p>
        </w:tc>
        <w:tc>
          <w:tcPr>
            <w:tcW w:w="680" w:type="dxa"/>
            <w:vAlign w:val="bottom"/>
          </w:tcPr>
          <w:p>
            <w:pPr>
              <w:jc w:val="right"/>
              <w:ind w:right="228"/>
              <w:spacing w:after="0"/>
              <w:rPr>
                <w:sz w:val="20"/>
                <w:szCs w:val="20"/>
                <w:color w:val="auto"/>
              </w:rPr>
            </w:pPr>
            <w:r>
              <w:rPr>
                <w:rFonts w:ascii="Arial" w:cs="Arial" w:eastAsia="Arial" w:hAnsi="Arial"/>
                <w:sz w:val="14"/>
                <w:szCs w:val="14"/>
                <w:color w:val="auto"/>
              </w:rPr>
              <w:t>60</w:t>
            </w:r>
          </w:p>
        </w:tc>
        <w:tc>
          <w:tcPr>
            <w:tcW w:w="2320" w:type="dxa"/>
            <w:vAlign w:val="bottom"/>
          </w:tcPr>
          <w:p>
            <w:pPr>
              <w:jc w:val="right"/>
              <w:ind w:right="1628"/>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03"/>
        </w:trPr>
        <w:tc>
          <w:tcPr>
            <w:tcW w:w="3820" w:type="dxa"/>
            <w:vAlign w:val="bottom"/>
          </w:tcPr>
          <w:p>
            <w:pPr>
              <w:ind w:left="1000"/>
              <w:spacing w:after="0"/>
              <w:rPr>
                <w:sz w:val="20"/>
                <w:szCs w:val="20"/>
                <w:color w:val="auto"/>
              </w:rPr>
            </w:pPr>
            <w:r>
              <w:rPr>
                <w:rFonts w:ascii="Arial" w:cs="Arial" w:eastAsia="Arial" w:hAnsi="Arial"/>
                <w:sz w:val="14"/>
                <w:szCs w:val="14"/>
                <w:color w:val="auto"/>
              </w:rPr>
              <w:t>HM International, LLC</w:t>
            </w:r>
          </w:p>
        </w:tc>
        <w:tc>
          <w:tcPr>
            <w:tcW w:w="6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3820" w:type="dxa"/>
            <w:vAlign w:val="bottom"/>
            <w:tcBorders>
              <w:bottom w:val="single" w:sz="8" w:color="E5E5E5"/>
            </w:tcBorders>
          </w:tcPr>
          <w:p>
            <w:pPr>
              <w:spacing w:after="0"/>
              <w:rPr>
                <w:sz w:val="8"/>
                <w:szCs w:val="8"/>
                <w:color w:val="auto"/>
              </w:rPr>
            </w:pPr>
          </w:p>
        </w:tc>
        <w:tc>
          <w:tcPr>
            <w:tcW w:w="680" w:type="dxa"/>
            <w:vAlign w:val="bottom"/>
            <w:tcBorders>
              <w:bottom w:val="single" w:sz="8" w:color="E5E5E5"/>
            </w:tcBorders>
          </w:tcPr>
          <w:p>
            <w:pPr>
              <w:spacing w:after="0"/>
              <w:rPr>
                <w:sz w:val="8"/>
                <w:szCs w:val="8"/>
                <w:color w:val="auto"/>
              </w:rPr>
            </w:pPr>
          </w:p>
        </w:tc>
        <w:tc>
          <w:tcPr>
            <w:tcW w:w="2320" w:type="dxa"/>
            <w:vAlign w:val="bottom"/>
            <w:tcBorders>
              <w:bottom w:val="single" w:sz="8" w:color="E5E5E5"/>
            </w:tcBorders>
          </w:tcPr>
          <w:p>
            <w:pPr>
              <w:spacing w:after="0"/>
              <w:rPr>
                <w:sz w:val="8"/>
                <w:szCs w:val="8"/>
                <w:color w:val="auto"/>
              </w:rPr>
            </w:pPr>
          </w:p>
        </w:tc>
        <w:tc>
          <w:tcPr>
            <w:tcW w:w="0" w:type="dxa"/>
            <w:vAlign w:val="bottom"/>
          </w:tcPr>
          <w:p>
            <w:pPr>
              <w:spacing w:after="0"/>
              <w:rPr>
                <w:sz w:val="1"/>
                <w:szCs w:val="1"/>
                <w:color w:val="auto"/>
              </w:rPr>
            </w:pPr>
          </w:p>
        </w:tc>
      </w:tr>
      <w:tr>
        <w:trPr>
          <w:trHeight w:val="383"/>
        </w:trPr>
        <w:tc>
          <w:tcPr>
            <w:tcW w:w="3820" w:type="dxa"/>
            <w:vAlign w:val="bottom"/>
          </w:tcPr>
          <w:p>
            <w:pPr>
              <w:ind w:left="1000"/>
              <w:spacing w:after="0"/>
              <w:rPr>
                <w:sz w:val="20"/>
                <w:szCs w:val="20"/>
                <w:color w:val="auto"/>
              </w:rPr>
            </w:pPr>
            <w:r>
              <w:rPr>
                <w:rFonts w:ascii="Arial" w:cs="Arial" w:eastAsia="Arial" w:hAnsi="Arial"/>
                <w:sz w:val="14"/>
                <w:szCs w:val="14"/>
                <w:b w:val="1"/>
                <w:bCs w:val="1"/>
                <w:color w:val="FF7F32"/>
              </w:rPr>
              <w:t>Ravi Venkatesan</w:t>
            </w:r>
          </w:p>
        </w:tc>
        <w:tc>
          <w:tcPr>
            <w:tcW w:w="680" w:type="dxa"/>
            <w:vAlign w:val="bottom"/>
            <w:vMerge w:val="restart"/>
          </w:tcPr>
          <w:p>
            <w:pPr>
              <w:jc w:val="right"/>
              <w:ind w:right="228"/>
              <w:spacing w:after="0"/>
              <w:rPr>
                <w:sz w:val="20"/>
                <w:szCs w:val="20"/>
                <w:color w:val="auto"/>
              </w:rPr>
            </w:pPr>
            <w:r>
              <w:rPr>
                <w:rFonts w:ascii="Arial" w:cs="Arial" w:eastAsia="Arial" w:hAnsi="Arial"/>
                <w:sz w:val="14"/>
                <w:szCs w:val="14"/>
                <w:color w:val="auto"/>
              </w:rPr>
              <w:t>49</w:t>
            </w:r>
          </w:p>
        </w:tc>
        <w:tc>
          <w:tcPr>
            <w:tcW w:w="2320" w:type="dxa"/>
            <w:vAlign w:val="bottom"/>
            <w:vMerge w:val="restart"/>
          </w:tcPr>
          <w:p>
            <w:pPr>
              <w:jc w:val="right"/>
              <w:ind w:right="1628"/>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102"/>
        </w:trPr>
        <w:tc>
          <w:tcPr>
            <w:tcW w:w="3820" w:type="dxa"/>
            <w:vAlign w:val="bottom"/>
            <w:vMerge w:val="restart"/>
          </w:tcPr>
          <w:p>
            <w:pPr>
              <w:ind w:left="1000"/>
              <w:spacing w:after="0"/>
              <w:rPr>
                <w:sz w:val="20"/>
                <w:szCs w:val="20"/>
                <w:color w:val="auto"/>
              </w:rPr>
            </w:pPr>
            <w:r>
              <w:rPr>
                <w:rFonts w:ascii="Arial" w:cs="Arial" w:eastAsia="Arial" w:hAnsi="Arial"/>
                <w:sz w:val="14"/>
                <w:szCs w:val="14"/>
                <w:color w:val="auto"/>
              </w:rPr>
              <w:t>CEO, Cantaloupe, Inc.</w:t>
            </w:r>
          </w:p>
        </w:tc>
        <w:tc>
          <w:tcPr>
            <w:tcW w:w="680" w:type="dxa"/>
            <w:vAlign w:val="bottom"/>
            <w:vMerge w:val="continue"/>
          </w:tcPr>
          <w:p>
            <w:pPr>
              <w:spacing w:after="0"/>
              <w:rPr>
                <w:sz w:val="8"/>
                <w:szCs w:val="8"/>
                <w:color w:val="auto"/>
              </w:rPr>
            </w:pPr>
          </w:p>
        </w:tc>
        <w:tc>
          <w:tcPr>
            <w:tcW w:w="2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82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2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3820" w:type="dxa"/>
            <w:vAlign w:val="bottom"/>
            <w:tcBorders>
              <w:bottom w:val="single" w:sz="8" w:color="E5E5E5"/>
            </w:tcBorders>
          </w:tcPr>
          <w:p>
            <w:pPr>
              <w:spacing w:after="0"/>
              <w:rPr>
                <w:sz w:val="18"/>
                <w:szCs w:val="18"/>
                <w:color w:val="auto"/>
              </w:rPr>
            </w:pPr>
          </w:p>
        </w:tc>
        <w:tc>
          <w:tcPr>
            <w:tcW w:w="680" w:type="dxa"/>
            <w:vAlign w:val="bottom"/>
            <w:tcBorders>
              <w:bottom w:val="single" w:sz="8" w:color="E5E5E5"/>
            </w:tcBorders>
          </w:tcPr>
          <w:p>
            <w:pPr>
              <w:spacing w:after="0"/>
              <w:rPr>
                <w:sz w:val="18"/>
                <w:szCs w:val="18"/>
                <w:color w:val="auto"/>
              </w:rPr>
            </w:pPr>
          </w:p>
        </w:tc>
        <w:tc>
          <w:tcPr>
            <w:tcW w:w="2320" w:type="dxa"/>
            <w:vAlign w:val="bottom"/>
            <w:tcBorders>
              <w:bottom w:val="single" w:sz="8" w:color="E5E5E5"/>
            </w:tcBorders>
          </w:tcPr>
          <w:p>
            <w:pPr>
              <w:spacing w:after="0"/>
              <w:rPr>
                <w:sz w:val="18"/>
                <w:szCs w:val="18"/>
                <w:color w:val="auto"/>
              </w:rPr>
            </w:pPr>
          </w:p>
        </w:tc>
        <w:tc>
          <w:tcPr>
            <w:tcW w:w="0" w:type="dxa"/>
            <w:vAlign w:val="bottom"/>
          </w:tcPr>
          <w:p>
            <w:pPr>
              <w:spacing w:after="0"/>
              <w:rPr>
                <w:sz w:val="1"/>
                <w:szCs w:val="1"/>
                <w:color w:val="auto"/>
              </w:rPr>
            </w:pPr>
          </w:p>
        </w:tc>
      </w:tr>
      <w:tr>
        <w:trPr>
          <w:trHeight w:val="383"/>
        </w:trPr>
        <w:tc>
          <w:tcPr>
            <w:tcW w:w="3820" w:type="dxa"/>
            <w:vAlign w:val="bottom"/>
          </w:tcPr>
          <w:p>
            <w:pPr>
              <w:ind w:left="1000"/>
              <w:spacing w:after="0"/>
              <w:rPr>
                <w:sz w:val="20"/>
                <w:szCs w:val="20"/>
                <w:color w:val="auto"/>
              </w:rPr>
            </w:pPr>
            <w:r>
              <w:rPr>
                <w:rFonts w:ascii="Arial" w:cs="Arial" w:eastAsia="Arial" w:hAnsi="Arial"/>
                <w:sz w:val="14"/>
                <w:szCs w:val="14"/>
                <w:b w:val="1"/>
                <w:bCs w:val="1"/>
                <w:color w:val="FF7F32"/>
              </w:rPr>
              <w:t>Shannon S. Warren</w:t>
            </w:r>
          </w:p>
        </w:tc>
        <w:tc>
          <w:tcPr>
            <w:tcW w:w="680" w:type="dxa"/>
            <w:vAlign w:val="bottom"/>
            <w:vMerge w:val="restart"/>
          </w:tcPr>
          <w:p>
            <w:pPr>
              <w:jc w:val="right"/>
              <w:ind w:right="228"/>
              <w:spacing w:after="0"/>
              <w:rPr>
                <w:sz w:val="20"/>
                <w:szCs w:val="20"/>
                <w:color w:val="auto"/>
              </w:rPr>
            </w:pPr>
            <w:r>
              <w:rPr>
                <w:rFonts w:ascii="Arial" w:cs="Arial" w:eastAsia="Arial" w:hAnsi="Arial"/>
                <w:sz w:val="14"/>
                <w:szCs w:val="14"/>
                <w:color w:val="auto"/>
              </w:rPr>
              <w:t>56</w:t>
            </w:r>
          </w:p>
        </w:tc>
        <w:tc>
          <w:tcPr>
            <w:tcW w:w="2320" w:type="dxa"/>
            <w:vAlign w:val="bottom"/>
            <w:vMerge w:val="restart"/>
          </w:tcPr>
          <w:p>
            <w:pPr>
              <w:jc w:val="right"/>
              <w:ind w:right="1628"/>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02"/>
        </w:trPr>
        <w:tc>
          <w:tcPr>
            <w:tcW w:w="3820" w:type="dxa"/>
            <w:vAlign w:val="bottom"/>
            <w:vMerge w:val="restart"/>
          </w:tcPr>
          <w:p>
            <w:pPr>
              <w:ind w:left="1000"/>
              <w:spacing w:after="0"/>
              <w:rPr>
                <w:sz w:val="20"/>
                <w:szCs w:val="20"/>
                <w:color w:val="auto"/>
              </w:rPr>
            </w:pPr>
            <w:r>
              <w:rPr>
                <w:rFonts w:ascii="Arial" w:cs="Arial" w:eastAsia="Arial" w:hAnsi="Arial"/>
                <w:sz w:val="14"/>
                <w:szCs w:val="14"/>
                <w:color w:val="auto"/>
              </w:rPr>
              <w:t>Owner &amp; Principal, SSW Consulting LLC</w:t>
            </w:r>
          </w:p>
        </w:tc>
        <w:tc>
          <w:tcPr>
            <w:tcW w:w="680" w:type="dxa"/>
            <w:vAlign w:val="bottom"/>
            <w:vMerge w:val="continue"/>
          </w:tcPr>
          <w:p>
            <w:pPr>
              <w:spacing w:after="0"/>
              <w:rPr>
                <w:sz w:val="8"/>
                <w:szCs w:val="8"/>
                <w:color w:val="auto"/>
              </w:rPr>
            </w:pPr>
          </w:p>
        </w:tc>
        <w:tc>
          <w:tcPr>
            <w:tcW w:w="2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382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23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133350</wp:posOffset>
            </wp:positionV>
            <wp:extent cx="674624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4624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-3277870</wp:posOffset>
            </wp:positionV>
            <wp:extent cx="5306060" cy="33350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306060" cy="333502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-3277870</wp:posOffset>
            </wp:positionV>
            <wp:extent cx="5306060" cy="33350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306060" cy="33350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212090</wp:posOffset>
            </wp:positionV>
            <wp:extent cx="14401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440180" cy="8255"/>
                    </a:xfrm>
                    <a:prstGeom prst="rect">
                      <a:avLst/>
                    </a:prstGeom>
                    <a:noFill/>
                  </pic:spPr>
                </pic:pic>
              </a:graphicData>
            </a:graphic>
          </wp:anchor>
        </w:drawing>
        <w:drawing>
          <wp:anchor simplePos="0" relativeHeight="251657728" behindDoc="1" locked="0" layoutInCell="0" allowOverlap="1">
            <wp:simplePos x="0" y="0"/>
            <wp:positionH relativeFrom="column">
              <wp:posOffset>1800225</wp:posOffset>
            </wp:positionH>
            <wp:positionV relativeFrom="paragraph">
              <wp:posOffset>-113030</wp:posOffset>
            </wp:positionV>
            <wp:extent cx="77470" cy="774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clrChange>
                        <a:clrFrom>
                          <a:srgbClr val="000000"/>
                        </a:clrFrom>
                        <a:clrTo>
                          <a:srgbClr val="000000">
                            <a:alpha val="0"/>
                          </a:srgbClr>
                        </a:clrTo>
                      </a:clrChange>
                      <a:extLst>
                        <a:ext uri="{28A0092B-C50C-407E-A947-70E740481C1C}"/>
                      </a:extLst>
                    </a:blip>
                    <a:srcRect/>
                    <a:stretch>
                      <a:fillRect/>
                    </a:stretch>
                  </pic:blipFill>
                  <pic:spPr bwMode="auto">
                    <a:xfrm>
                      <a:off x="0" y="0"/>
                      <a:ext cx="77470" cy="77470"/>
                    </a:xfrm>
                    <a:prstGeom prst="rect">
                      <a:avLst/>
                    </a:prstGeom>
                    <a:noFill/>
                  </pic:spPr>
                </pic:pic>
              </a:graphicData>
            </a:graphic>
          </wp:anchor>
        </w:drawing>
        <w:drawing>
          <wp:anchor simplePos="0" relativeHeight="251657728" behindDoc="1" locked="0" layoutInCell="0" allowOverlap="1">
            <wp:simplePos x="0" y="0"/>
            <wp:positionH relativeFrom="column">
              <wp:posOffset>1800225</wp:posOffset>
            </wp:positionH>
            <wp:positionV relativeFrom="paragraph">
              <wp:posOffset>-113030</wp:posOffset>
            </wp:positionV>
            <wp:extent cx="77470" cy="774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77470" cy="77470"/>
                    </a:xfrm>
                    <a:prstGeom prst="rect">
                      <a:avLst/>
                    </a:prstGeom>
                    <a:noFill/>
                  </pic:spPr>
                </pic:pic>
              </a:graphicData>
            </a:graphic>
          </wp:anchor>
        </w:drawing>
        <w:drawing>
          <wp:anchor simplePos="0" relativeHeight="251657728" behindDoc="1" locked="0" layoutInCell="0" allowOverlap="1">
            <wp:simplePos x="0" y="0"/>
            <wp:positionH relativeFrom="column">
              <wp:posOffset>1440180</wp:posOffset>
            </wp:positionH>
            <wp:positionV relativeFrom="paragraph">
              <wp:posOffset>400685</wp:posOffset>
            </wp:positionV>
            <wp:extent cx="77470" cy="774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77470"/>
                    </a:xfrm>
                    <a:prstGeom prst="rect">
                      <a:avLst/>
                    </a:prstGeom>
                    <a:noFill/>
                  </pic:spPr>
                </pic:pic>
              </a:graphicData>
            </a:graphic>
          </wp:anchor>
        </w:drawing>
        <w:drawing>
          <wp:anchor simplePos="0" relativeHeight="251657728" behindDoc="1" locked="0" layoutInCell="0" allowOverlap="1">
            <wp:simplePos x="0" y="0"/>
            <wp:positionH relativeFrom="column">
              <wp:posOffset>1800225</wp:posOffset>
            </wp:positionH>
            <wp:positionV relativeFrom="paragraph">
              <wp:posOffset>400685</wp:posOffset>
            </wp:positionV>
            <wp:extent cx="77470" cy="774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77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212090</wp:posOffset>
            </wp:positionV>
            <wp:extent cx="241744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417445" cy="8255"/>
                    </a:xfrm>
                    <a:prstGeom prst="rect">
                      <a:avLst/>
                    </a:prstGeom>
                    <a:noFill/>
                  </pic:spPr>
                </pic:pic>
              </a:graphicData>
            </a:graphic>
          </wp:anchor>
        </w:drawing>
        <w:drawing>
          <wp:anchor simplePos="0" relativeHeight="251657728" behindDoc="1" locked="0" layoutInCell="0" allowOverlap="1">
            <wp:simplePos x="0" y="0"/>
            <wp:positionH relativeFrom="column">
              <wp:posOffset>1080135</wp:posOffset>
            </wp:positionH>
            <wp:positionV relativeFrom="paragraph">
              <wp:posOffset>400685</wp:posOffset>
            </wp:positionV>
            <wp:extent cx="76835" cy="774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77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212090</wp:posOffset>
            </wp:positionV>
            <wp:extent cx="241744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417445" cy="8255"/>
                    </a:xfrm>
                    <a:prstGeom prst="rect">
                      <a:avLst/>
                    </a:prstGeom>
                    <a:noFill/>
                  </pic:spPr>
                </pic:pic>
              </a:graphicData>
            </a:graphic>
          </wp:anchor>
        </w:drawing>
        <w:drawing>
          <wp:anchor simplePos="0" relativeHeight="251657728" behindDoc="1" locked="0" layoutInCell="0" allowOverlap="1">
            <wp:simplePos x="0" y="0"/>
            <wp:positionH relativeFrom="column">
              <wp:posOffset>720090</wp:posOffset>
            </wp:positionH>
            <wp:positionV relativeFrom="paragraph">
              <wp:posOffset>400685</wp:posOffset>
            </wp:positionV>
            <wp:extent cx="77470" cy="774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77470"/>
                    </a:xfrm>
                    <a:prstGeom prst="rect">
                      <a:avLst/>
                    </a:prstGeom>
                    <a:noFill/>
                  </pic:spPr>
                </pic:pic>
              </a:graphicData>
            </a:graphic>
          </wp:anchor>
        </w:drawing>
        <w:drawing>
          <wp:anchor simplePos="0" relativeHeight="251657728" behindDoc="1" locked="0" layoutInCell="0" allowOverlap="1">
            <wp:simplePos x="0" y="0"/>
            <wp:positionH relativeFrom="column">
              <wp:posOffset>1800225</wp:posOffset>
            </wp:positionH>
            <wp:positionV relativeFrom="paragraph">
              <wp:posOffset>400685</wp:posOffset>
            </wp:positionV>
            <wp:extent cx="77470" cy="774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77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212090</wp:posOffset>
            </wp:positionV>
            <wp:extent cx="241744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417445" cy="8890"/>
                    </a:xfrm>
                    <a:prstGeom prst="rect">
                      <a:avLst/>
                    </a:prstGeom>
                    <a:noFill/>
                  </pic:spPr>
                </pic:pic>
              </a:graphicData>
            </a:graphic>
          </wp:anchor>
        </w:drawing>
        <w:drawing>
          <wp:anchor simplePos="0" relativeHeight="251657728" behindDoc="1" locked="0" layoutInCell="0" allowOverlap="1">
            <wp:simplePos x="0" y="0"/>
            <wp:positionH relativeFrom="column">
              <wp:posOffset>720090</wp:posOffset>
            </wp:positionH>
            <wp:positionV relativeFrom="paragraph">
              <wp:posOffset>400685</wp:posOffset>
            </wp:positionV>
            <wp:extent cx="77470" cy="774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77470"/>
                    </a:xfrm>
                    <a:prstGeom prst="rect">
                      <a:avLst/>
                    </a:prstGeom>
                    <a:noFill/>
                  </pic:spPr>
                </pic:pic>
              </a:graphicData>
            </a:graphic>
          </wp:anchor>
        </w:drawing>
        <w:drawing>
          <wp:anchor simplePos="0" relativeHeight="251657728" behindDoc="1" locked="0" layoutInCell="0" allowOverlap="1">
            <wp:simplePos x="0" y="0"/>
            <wp:positionH relativeFrom="column">
              <wp:posOffset>1440180</wp:posOffset>
            </wp:positionH>
            <wp:positionV relativeFrom="paragraph">
              <wp:posOffset>400685</wp:posOffset>
            </wp:positionV>
            <wp:extent cx="77470" cy="774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77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212090</wp:posOffset>
            </wp:positionV>
            <wp:extent cx="241744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4174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212090</wp:posOffset>
            </wp:positionV>
            <wp:extent cx="241744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417445" cy="8255"/>
                    </a:xfrm>
                    <a:prstGeom prst="rect">
                      <a:avLst/>
                    </a:prstGeom>
                    <a:noFill/>
                  </pic:spPr>
                </pic:pic>
              </a:graphicData>
            </a:graphic>
          </wp:anchor>
        </w:drawing>
        <w:drawing>
          <wp:anchor simplePos="0" relativeHeight="251657728" behindDoc="1" locked="0" layoutInCell="0" allowOverlap="1">
            <wp:simplePos x="0" y="0"/>
            <wp:positionH relativeFrom="column">
              <wp:posOffset>720090</wp:posOffset>
            </wp:positionH>
            <wp:positionV relativeFrom="paragraph">
              <wp:posOffset>400685</wp:posOffset>
            </wp:positionV>
            <wp:extent cx="77470" cy="774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 cy="77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323" w:lineRule="exact"/>
        <w:rPr>
          <w:sz w:val="20"/>
          <w:szCs w:val="20"/>
          <w:color w:val="auto"/>
        </w:rPr>
      </w:pPr>
    </w:p>
    <w:p>
      <w:pPr>
        <w:sectPr>
          <w:pgSz w:w="11900" w:h="16838" w:orient="portrait"/>
          <w:cols w:equalWidth="0" w:num="2">
            <w:col w:w="6880" w:space="620"/>
            <w:col w:w="3720"/>
          </w:cols>
          <w:pgMar w:left="320" w:top="257" w:right="359" w:bottom="1440" w:gutter="0" w:footer="0" w:header="0"/>
          <w:type w:val="continuous"/>
        </w:sectPr>
      </w:pPr>
    </w:p>
    <w:p>
      <w:pPr>
        <w:spacing w:after="0" w:line="200" w:lineRule="exact"/>
        <w:rPr>
          <w:sz w:val="20"/>
          <w:szCs w:val="20"/>
          <w:color w:val="auto"/>
        </w:rPr>
      </w:pPr>
    </w:p>
    <w:p>
      <w:pPr>
        <w:spacing w:after="0" w:line="350" w:lineRule="exact"/>
        <w:rPr>
          <w:sz w:val="20"/>
          <w:szCs w:val="20"/>
          <w:color w:val="auto"/>
        </w:rPr>
      </w:pPr>
    </w:p>
    <w:p>
      <w:pPr>
        <w:ind w:left="20"/>
        <w:spacing w:after="0"/>
        <w:tabs>
          <w:tab w:leader="none" w:pos="460" w:val="left"/>
          <w:tab w:leader="none" w:pos="2660" w:val="left"/>
          <w:tab w:leader="none" w:pos="3120" w:val="left"/>
        </w:tabs>
        <w:rPr>
          <w:sz w:val="20"/>
          <w:szCs w:val="20"/>
          <w:color w:val="auto"/>
        </w:rPr>
      </w:pPr>
      <w:r>
        <w:rPr>
          <w:rFonts w:ascii="Arial" w:cs="Arial" w:eastAsia="Arial" w:hAnsi="Arial"/>
          <w:sz w:val="13"/>
          <w:szCs w:val="13"/>
          <w:b w:val="1"/>
          <w:bCs w:val="1"/>
          <w:color w:val="202945"/>
        </w:rPr>
        <w:t>A</w:t>
      </w:r>
      <w:r>
        <w:rPr>
          <w:sz w:val="20"/>
          <w:szCs w:val="20"/>
          <w:color w:val="auto"/>
        </w:rPr>
        <w:tab/>
      </w:r>
      <w:r>
        <w:rPr>
          <w:rFonts w:ascii="Arial" w:cs="Arial" w:eastAsia="Arial" w:hAnsi="Arial"/>
          <w:sz w:val="13"/>
          <w:szCs w:val="13"/>
          <w:color w:val="202945"/>
        </w:rPr>
        <w:t>Audit and Risk Committee</w:t>
      </w:r>
      <w:r>
        <w:rPr>
          <w:sz w:val="20"/>
          <w:szCs w:val="20"/>
          <w:color w:val="auto"/>
        </w:rPr>
        <w:tab/>
      </w:r>
      <w:r>
        <w:rPr>
          <w:rFonts w:ascii="Arial" w:cs="Arial" w:eastAsia="Arial" w:hAnsi="Arial"/>
          <w:sz w:val="13"/>
          <w:szCs w:val="13"/>
          <w:b w:val="1"/>
          <w:bCs w:val="1"/>
          <w:color w:val="202945"/>
        </w:rPr>
        <w:t>NCG</w:t>
      </w:r>
      <w:r>
        <w:rPr>
          <w:sz w:val="20"/>
          <w:szCs w:val="20"/>
          <w:color w:val="auto"/>
        </w:rPr>
        <w:tab/>
      </w:r>
      <w:r>
        <w:rPr>
          <w:rFonts w:ascii="Arial" w:cs="Arial" w:eastAsia="Arial" w:hAnsi="Arial"/>
          <w:sz w:val="13"/>
          <w:szCs w:val="13"/>
          <w:color w:val="202945"/>
        </w:rPr>
        <w:t xml:space="preserve">Nominating and Corporate Governance Committee                                                         </w:t>
      </w:r>
      <w:r>
        <w:rPr>
          <w:sz w:val="1"/>
          <w:szCs w:val="1"/>
          <w:color w:val="auto"/>
        </w:rPr>
        <w:drawing>
          <wp:inline distT="0" distB="0" distL="0" distR="0">
            <wp:extent cx="77470" cy="76835"/>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76835"/>
                    </a:xfrm>
                    <a:prstGeom prst="rect">
                      <a:avLst/>
                    </a:prstGeom>
                    <a:noFill/>
                    <a:ln>
                      <a:noFill/>
                    </a:ln>
                  </pic:spPr>
                </pic:pic>
              </a:graphicData>
            </a:graphic>
          </wp:inline>
        </w:drawing>
      </w:r>
      <w:r>
        <w:rPr>
          <w:rFonts w:ascii="Arial" w:cs="Arial" w:eastAsia="Arial" w:hAnsi="Arial"/>
          <w:sz w:val="13"/>
          <w:szCs w:val="13"/>
          <w:color w:val="202945"/>
        </w:rPr>
        <w:t xml:space="preserve">     Chair</w:t>
      </w:r>
    </w:p>
    <w:p>
      <w:pPr>
        <w:spacing w:after="0" w:line="202" w:lineRule="exact"/>
        <w:rPr>
          <w:sz w:val="20"/>
          <w:szCs w:val="20"/>
          <w:color w:val="auto"/>
        </w:rPr>
      </w:pPr>
    </w:p>
    <w:p>
      <w:pPr>
        <w:ind w:left="20"/>
        <w:spacing w:after="0"/>
        <w:tabs>
          <w:tab w:leader="none" w:pos="460" w:val="left"/>
          <w:tab w:leader="none" w:pos="2660" w:val="left"/>
          <w:tab w:leader="none" w:pos="3120" w:val="left"/>
        </w:tabs>
        <w:rPr>
          <w:sz w:val="20"/>
          <w:szCs w:val="20"/>
          <w:color w:val="auto"/>
        </w:rPr>
      </w:pPr>
      <w:r>
        <w:rPr>
          <w:rFonts w:ascii="Arial" w:cs="Arial" w:eastAsia="Arial" w:hAnsi="Arial"/>
          <w:sz w:val="13"/>
          <w:szCs w:val="13"/>
          <w:b w:val="1"/>
          <w:bCs w:val="1"/>
          <w:color w:val="202945"/>
        </w:rPr>
        <w:t>C</w:t>
      </w:r>
      <w:r>
        <w:rPr>
          <w:sz w:val="20"/>
          <w:szCs w:val="20"/>
          <w:color w:val="auto"/>
        </w:rPr>
        <w:tab/>
      </w:r>
      <w:r>
        <w:rPr>
          <w:rFonts w:ascii="Arial" w:cs="Arial" w:eastAsia="Arial" w:hAnsi="Arial"/>
          <w:sz w:val="13"/>
          <w:szCs w:val="13"/>
          <w:color w:val="202945"/>
        </w:rPr>
        <w:t>Compensation Committee</w:t>
      </w:r>
      <w:r>
        <w:rPr>
          <w:sz w:val="20"/>
          <w:szCs w:val="20"/>
          <w:color w:val="auto"/>
        </w:rPr>
        <w:tab/>
      </w:r>
      <w:r>
        <w:rPr>
          <w:rFonts w:ascii="Arial" w:cs="Arial" w:eastAsia="Arial" w:hAnsi="Arial"/>
          <w:sz w:val="13"/>
          <w:szCs w:val="13"/>
          <w:b w:val="1"/>
          <w:bCs w:val="1"/>
          <w:color w:val="202945"/>
        </w:rPr>
        <w:t>F</w:t>
      </w:r>
      <w:r>
        <w:rPr>
          <w:sz w:val="20"/>
          <w:szCs w:val="20"/>
          <w:color w:val="auto"/>
        </w:rPr>
        <w:tab/>
      </w:r>
      <w:r>
        <w:rPr>
          <w:rFonts w:ascii="Arial" w:cs="Arial" w:eastAsia="Arial" w:hAnsi="Arial"/>
          <w:sz w:val="13"/>
          <w:szCs w:val="13"/>
          <w:color w:val="202945"/>
        </w:rPr>
        <w:t xml:space="preserve">Finance Committee                                                                                   </w:t>
      </w:r>
      <w:r>
        <w:rPr>
          <w:sz w:val="1"/>
          <w:szCs w:val="1"/>
          <w:color w:val="auto"/>
        </w:rPr>
        <w:drawing>
          <wp:inline distT="0" distB="0" distL="0" distR="0">
            <wp:extent cx="77470" cy="76835"/>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76835"/>
                    </a:xfrm>
                    <a:prstGeom prst="rect">
                      <a:avLst/>
                    </a:prstGeom>
                    <a:noFill/>
                    <a:ln>
                      <a:noFill/>
                    </a:ln>
                  </pic:spPr>
                </pic:pic>
              </a:graphicData>
            </a:graphic>
          </wp:inline>
        </w:drawing>
      </w:r>
      <w:r>
        <w:rPr>
          <w:rFonts w:ascii="Arial" w:cs="Arial" w:eastAsia="Arial" w:hAnsi="Arial"/>
          <w:sz w:val="13"/>
          <w:szCs w:val="13"/>
          <w:color w:val="202945"/>
        </w:rPr>
        <w:t xml:space="preserv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616585</wp:posOffset>
            </wp:positionV>
            <wp:extent cx="925830" cy="2660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25830" cy="266065"/>
                    </a:xfrm>
                    <a:prstGeom prst="rect">
                      <a:avLst/>
                    </a:prstGeom>
                    <a:noFill/>
                  </pic:spPr>
                </pic:pic>
              </a:graphicData>
            </a:graphic>
          </wp:anchor>
        </w:drawing>
      </w:r>
    </w:p>
    <w:p>
      <w:pPr>
        <w:sectPr>
          <w:pgSz w:w="11900" w:h="16838" w:orient="portrait"/>
          <w:cols w:equalWidth="0" w:num="1">
            <w:col w:w="11220"/>
          </w:cols>
          <w:pgMar w:left="320" w:top="257"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auto"/>
        </w:rPr>
        <w:t>8</w:t>
      </w:r>
      <w:r>
        <w:rPr>
          <w:sz w:val="20"/>
          <w:szCs w:val="20"/>
          <w:color w:val="auto"/>
        </w:rPr>
        <w:tab/>
      </w:r>
      <w:r>
        <w:rPr>
          <w:rFonts w:ascii="Arial" w:cs="Arial" w:eastAsia="Arial" w:hAnsi="Arial"/>
          <w:sz w:val="12"/>
          <w:szCs w:val="12"/>
          <w:b w:val="1"/>
          <w:bCs w:val="1"/>
          <w:color w:val="FF7F32"/>
        </w:rPr>
        <w:t xml:space="preserve">2026 </w:t>
      </w:r>
      <w:r>
        <w:rPr>
          <w:rFonts w:ascii="Arial" w:cs="Arial" w:eastAsia="Arial" w:hAnsi="Arial"/>
          <w:sz w:val="12"/>
          <w:szCs w:val="12"/>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7" w:right="359" w:bottom="1440" w:gutter="0" w:footer="0" w:header="0"/>
          <w:type w:val="continuous"/>
        </w:sectPr>
      </w:pPr>
    </w:p>
    <w:bookmarkStart w:id="11" w:name="page12"/>
    <w:bookmarkEnd w:id="11"/>
    <w:p>
      <w:pPr>
        <w:jc w:val="right"/>
        <w:spacing w:after="0"/>
        <w:rPr>
          <w:sz w:val="20"/>
          <w:szCs w:val="20"/>
          <w:color w:val="auto"/>
        </w:rPr>
      </w:pPr>
      <w:r>
        <w:rPr>
          <w:rFonts w:ascii="Arial" w:cs="Arial" w:eastAsia="Arial" w:hAnsi="Arial"/>
          <w:sz w:val="13"/>
          <w:szCs w:val="13"/>
          <w:color w:val="202945"/>
        </w:rPr>
        <w:t>Proxy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32"/>
          <w:szCs w:val="32"/>
          <w:b w:val="1"/>
          <w:bCs w:val="1"/>
          <w:color w:val="202945"/>
        </w:rPr>
        <w:t>Director Nominee Demographics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6617970" cy="41148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617970"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220" w:type="dxa"/>
            <w:vAlign w:val="bottom"/>
          </w:tcPr>
          <w:p>
            <w:pPr>
              <w:ind w:left="20"/>
              <w:spacing w:after="0"/>
              <w:rPr>
                <w:sz w:val="20"/>
                <w:szCs w:val="20"/>
                <w:color w:val="auto"/>
              </w:rPr>
            </w:pPr>
            <w:r>
              <w:rPr>
                <w:rFonts w:ascii="Arial" w:cs="Arial" w:eastAsia="Arial" w:hAnsi="Arial"/>
                <w:sz w:val="13"/>
                <w:szCs w:val="13"/>
                <w:b w:val="1"/>
                <w:bCs w:val="1"/>
                <w:color w:val="FF7F32"/>
              </w:rPr>
              <w:t xml:space="preserve">2026 </w:t>
            </w:r>
            <w:r>
              <w:rPr>
                <w:rFonts w:ascii="Arial" w:cs="Arial" w:eastAsia="Arial" w:hAnsi="Arial"/>
                <w:sz w:val="13"/>
                <w:szCs w:val="13"/>
                <w:color w:val="000000"/>
              </w:rPr>
              <w:t>Proxy Statement</w:t>
            </w:r>
          </w:p>
        </w:tc>
        <w:tc>
          <w:tcPr>
            <w:tcW w:w="5020" w:type="dxa"/>
            <w:vAlign w:val="bottom"/>
          </w:tcPr>
          <w:p>
            <w:pPr>
              <w:jc w:val="right"/>
              <w:spacing w:after="0"/>
              <w:rPr>
                <w:sz w:val="20"/>
                <w:szCs w:val="20"/>
                <w:color w:val="auto"/>
              </w:rPr>
            </w:pPr>
            <w:r>
              <w:rPr>
                <w:rFonts w:ascii="Arial" w:cs="Arial" w:eastAsia="Arial" w:hAnsi="Arial"/>
                <w:sz w:val="13"/>
                <w:szCs w:val="13"/>
                <w:b w:val="1"/>
                <w:bCs w:val="1"/>
                <w:color w:val="auto"/>
              </w:rPr>
              <w:t>9</w:t>
            </w:r>
          </w:p>
        </w:tc>
      </w:tr>
      <w:tr>
        <w:trPr>
          <w:trHeight w:val="434"/>
        </w:trPr>
        <w:tc>
          <w:tcPr>
            <w:tcW w:w="6220" w:type="dxa"/>
            <w:vAlign w:val="bottom"/>
            <w:tcBorders>
              <w:bottom w:val="single" w:sz="8" w:color="9A9A9A"/>
            </w:tcBorders>
          </w:tcPr>
          <w:p>
            <w:pPr>
              <w:spacing w:after="0"/>
              <w:rPr>
                <w:sz w:val="24"/>
                <w:szCs w:val="24"/>
                <w:color w:val="auto"/>
              </w:rPr>
            </w:pPr>
          </w:p>
        </w:tc>
        <w:tc>
          <w:tcPr>
            <w:tcW w:w="5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2" w:name="page13"/>
    <w:bookmarkEnd w:id="12"/>
    <w:p>
      <w:pPr>
        <w:spacing w:after="0" w:line="114" w:lineRule="exact"/>
        <w:rPr>
          <w:sz w:val="20"/>
          <w:szCs w:val="20"/>
          <w:color w:val="auto"/>
        </w:rPr>
      </w:pPr>
    </w:p>
    <w:p>
      <w:pPr>
        <w:spacing w:after="0"/>
        <w:rPr>
          <w:sz w:val="20"/>
          <w:szCs w:val="20"/>
          <w:color w:val="auto"/>
        </w:rPr>
      </w:pPr>
      <w:r>
        <w:rPr>
          <w:rFonts w:ascii="Arial" w:cs="Arial" w:eastAsia="Arial" w:hAnsi="Arial"/>
          <w:sz w:val="32"/>
          <w:szCs w:val="32"/>
          <w:b w:val="1"/>
          <w:bCs w:val="1"/>
          <w:color w:val="202945"/>
        </w:rPr>
        <w:t>Director Qualifications</w:t>
      </w:r>
    </w:p>
    <w:p>
      <w:pPr>
        <w:spacing w:after="0" w:line="269" w:lineRule="exact"/>
        <w:rPr>
          <w:sz w:val="20"/>
          <w:szCs w:val="20"/>
          <w:color w:val="auto"/>
        </w:rPr>
      </w:pPr>
    </w:p>
    <w:p>
      <w:pPr>
        <w:ind w:right="100"/>
        <w:spacing w:after="0" w:line="356" w:lineRule="auto"/>
        <w:rPr>
          <w:sz w:val="20"/>
          <w:szCs w:val="20"/>
          <w:color w:val="auto"/>
        </w:rPr>
      </w:pPr>
      <w:r>
        <w:rPr>
          <w:rFonts w:ascii="Arial" w:cs="Arial" w:eastAsia="Arial" w:hAnsi="Arial"/>
          <w:sz w:val="16"/>
          <w:szCs w:val="16"/>
          <w:color w:val="auto"/>
        </w:rPr>
        <w:t>The Board annually reviews directors’ skills and expertise to ensure the Board represents a diverse skill set oriented to the historical and emerging needs of the business. The Board has identified the following key qualifications and experience that are important to be represented on the Board as a whole.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202565</wp:posOffset>
            </wp:positionV>
            <wp:extent cx="325755" cy="3429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25755" cy="34290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185420</wp:posOffset>
            </wp:positionV>
            <wp:extent cx="334645" cy="3511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4645" cy="351155"/>
                    </a:xfrm>
                    <a:prstGeom prst="rect">
                      <a:avLst/>
                    </a:prstGeom>
                    <a:noFill/>
                  </pic:spPr>
                </pic:pic>
              </a:graphicData>
            </a:graphic>
          </wp:anchor>
        </w:drawing>
      </w:r>
    </w:p>
    <w:p>
      <w:pPr>
        <w:spacing w:after="0" w:line="312" w:lineRule="exact"/>
        <w:rPr>
          <w:sz w:val="20"/>
          <w:szCs w:val="20"/>
          <w:color w:val="auto"/>
        </w:rPr>
      </w:pPr>
    </w:p>
    <w:p>
      <w:pPr>
        <w:ind w:left="1020"/>
        <w:spacing w:after="0"/>
        <w:tabs>
          <w:tab w:leader="none" w:pos="6720" w:val="left"/>
        </w:tabs>
        <w:rPr>
          <w:sz w:val="20"/>
          <w:szCs w:val="20"/>
          <w:color w:val="auto"/>
        </w:rPr>
      </w:pPr>
      <w:r>
        <w:rPr>
          <w:rFonts w:ascii="Arial" w:cs="Arial" w:eastAsia="Arial" w:hAnsi="Arial"/>
          <w:sz w:val="16"/>
          <w:szCs w:val="16"/>
          <w:color w:val="auto"/>
        </w:rPr>
        <w:t>Risk Management &amp; Compliance</w:t>
      </w:r>
      <w:r>
        <w:rPr>
          <w:sz w:val="20"/>
          <w:szCs w:val="20"/>
          <w:color w:val="auto"/>
        </w:rPr>
        <w:tab/>
      </w:r>
      <w:r>
        <w:rPr>
          <w:rFonts w:ascii="Arial" w:cs="Arial" w:eastAsia="Arial" w:hAnsi="Arial"/>
          <w:sz w:val="16"/>
          <w:szCs w:val="16"/>
          <w:color w:val="auto"/>
        </w:rPr>
        <w:t>Leadership &amp; Senior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106680</wp:posOffset>
            </wp:positionV>
            <wp:extent cx="1988820" cy="2311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988820" cy="23114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106680</wp:posOffset>
            </wp:positionV>
            <wp:extent cx="1988820" cy="2146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988820" cy="21463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663575</wp:posOffset>
            </wp:positionV>
            <wp:extent cx="325755" cy="3429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25755" cy="34290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663575</wp:posOffset>
            </wp:positionV>
            <wp:extent cx="325755" cy="3257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2575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020"/>
        <w:spacing w:after="0"/>
        <w:tabs>
          <w:tab w:leader="none" w:pos="6720" w:val="left"/>
        </w:tabs>
        <w:rPr>
          <w:sz w:val="20"/>
          <w:szCs w:val="20"/>
          <w:color w:val="auto"/>
        </w:rPr>
      </w:pPr>
      <w:r>
        <w:rPr>
          <w:rFonts w:ascii="Arial" w:cs="Arial" w:eastAsia="Arial" w:hAnsi="Arial"/>
          <w:sz w:val="16"/>
          <w:szCs w:val="16"/>
          <w:color w:val="auto"/>
        </w:rPr>
        <w:t>Mergers &amp; Acquisitions</w:t>
      </w:r>
      <w:r>
        <w:rPr>
          <w:sz w:val="20"/>
          <w:szCs w:val="20"/>
          <w:color w:val="auto"/>
        </w:rPr>
        <w:tab/>
      </w:r>
      <w:r>
        <w:rPr>
          <w:rFonts w:ascii="Arial" w:cs="Arial" w:eastAsia="Arial" w:hAnsi="Arial"/>
          <w:sz w:val="16"/>
          <w:szCs w:val="16"/>
          <w:color w:val="auto"/>
        </w:rPr>
        <w:t>Accounting &amp;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106680</wp:posOffset>
            </wp:positionV>
            <wp:extent cx="1988820" cy="2311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988820" cy="23114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106680</wp:posOffset>
            </wp:positionV>
            <wp:extent cx="1988820" cy="2311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988820" cy="23114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646430</wp:posOffset>
            </wp:positionV>
            <wp:extent cx="325755" cy="3429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25755" cy="34290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646430</wp:posOffset>
            </wp:positionV>
            <wp:extent cx="308610" cy="3257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0861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020"/>
        <w:spacing w:after="0"/>
        <w:tabs>
          <w:tab w:leader="none" w:pos="6720" w:val="left"/>
        </w:tabs>
        <w:rPr>
          <w:sz w:val="20"/>
          <w:szCs w:val="20"/>
          <w:color w:val="auto"/>
        </w:rPr>
      </w:pPr>
      <w:r>
        <w:rPr>
          <w:rFonts w:ascii="Arial" w:cs="Arial" w:eastAsia="Arial" w:hAnsi="Arial"/>
          <w:sz w:val="16"/>
          <w:szCs w:val="16"/>
          <w:color w:val="auto"/>
        </w:rPr>
        <w:t>Strategic Planning</w:t>
      </w:r>
      <w:r>
        <w:rPr>
          <w:sz w:val="20"/>
          <w:szCs w:val="20"/>
          <w:color w:val="auto"/>
        </w:rPr>
        <w:tab/>
      </w:r>
      <w:r>
        <w:rPr>
          <w:rFonts w:ascii="Arial" w:cs="Arial" w:eastAsia="Arial" w:hAnsi="Arial"/>
          <w:sz w:val="15"/>
          <w:szCs w:val="15"/>
          <w:color w:val="auto"/>
        </w:rPr>
        <w:t>Technology &amp; Cybersecurity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106680</wp:posOffset>
            </wp:positionV>
            <wp:extent cx="1971675" cy="2317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971675" cy="23177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106680</wp:posOffset>
            </wp:positionV>
            <wp:extent cx="1971675" cy="2317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971675" cy="2317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646430</wp:posOffset>
            </wp:positionV>
            <wp:extent cx="325755" cy="3429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2575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Payments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106680</wp:posOffset>
            </wp:positionV>
            <wp:extent cx="1971675" cy="2311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971675" cy="23114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543560</wp:posOffset>
            </wp:positionV>
            <wp:extent cx="925830" cy="2654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92583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b w:val="1"/>
                <w:bCs w:val="1"/>
                <w:color w:val="FF7F32"/>
              </w:rPr>
              <w:t xml:space="preserve">2026 </w:t>
            </w:r>
            <w:r>
              <w:rPr>
                <w:rFonts w:ascii="Arial" w:cs="Arial" w:eastAsia="Arial" w:hAnsi="Arial"/>
                <w:sz w:val="13"/>
                <w:szCs w:val="13"/>
                <w:color w:val="000000"/>
              </w:rPr>
              <w:t>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auto"/>
              </w:rPr>
              <w:t>10</w:t>
            </w:r>
          </w:p>
        </w:tc>
      </w:tr>
      <w:tr>
        <w:trPr>
          <w:trHeight w:val="677"/>
        </w:trPr>
        <w:tc>
          <w:tcPr>
            <w:tcW w:w="618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jc w:val="right"/>
        <w:spacing w:after="0"/>
        <w:rPr>
          <w:sz w:val="20"/>
          <w:szCs w:val="20"/>
          <w:color w:val="auto"/>
        </w:rPr>
      </w:pPr>
      <w:r>
        <w:rPr>
          <w:rFonts w:ascii="Arial" w:cs="Arial" w:eastAsia="Arial" w:hAnsi="Arial"/>
          <w:sz w:val="13"/>
          <w:szCs w:val="13"/>
          <w:color w:val="202945"/>
        </w:rPr>
        <w:t>Proxy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32"/>
          <w:szCs w:val="32"/>
          <w:b w:val="1"/>
          <w:bCs w:val="1"/>
          <w:color w:val="202945"/>
        </w:rPr>
        <w:t>Corporate Governance Highlights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484"/>
        </w:trPr>
        <w:tc>
          <w:tcPr>
            <w:tcW w:w="3000" w:type="dxa"/>
            <w:vAlign w:val="bottom"/>
            <w:shd w:val="clear" w:color="auto" w:fill="E5EAF8"/>
          </w:tcPr>
          <w:p>
            <w:pPr>
              <w:ind w:left="280"/>
              <w:spacing w:after="0"/>
              <w:rPr>
                <w:sz w:val="20"/>
                <w:szCs w:val="20"/>
                <w:color w:val="auto"/>
              </w:rPr>
            </w:pPr>
            <w:r>
              <w:rPr>
                <w:rFonts w:ascii="Arial" w:cs="Arial" w:eastAsia="Arial" w:hAnsi="Arial"/>
                <w:sz w:val="18"/>
                <w:szCs w:val="18"/>
                <w:b w:val="1"/>
                <w:bCs w:val="1"/>
                <w:color w:val="202945"/>
              </w:rPr>
              <w:t>Board Structure &amp;</w:t>
            </w:r>
          </w:p>
        </w:tc>
        <w:tc>
          <w:tcPr>
            <w:tcW w:w="4240" w:type="dxa"/>
            <w:vAlign w:val="bottom"/>
          </w:tcPr>
          <w:p>
            <w:pPr>
              <w:ind w:left="500"/>
              <w:spacing w:after="0"/>
              <w:rPr>
                <w:sz w:val="20"/>
                <w:szCs w:val="20"/>
                <w:color w:val="auto"/>
              </w:rPr>
            </w:pPr>
            <w:r>
              <w:rPr>
                <w:rFonts w:ascii="Arial" w:cs="Arial" w:eastAsia="Arial" w:hAnsi="Arial"/>
                <w:sz w:val="16"/>
                <w:szCs w:val="16"/>
                <w:color w:val="auto"/>
              </w:rPr>
              <w:t>Independent, non-Executive Chair of the Board</w:t>
            </w:r>
          </w:p>
        </w:tc>
        <w:tc>
          <w:tcPr>
            <w:tcW w:w="4000" w:type="dxa"/>
            <w:vAlign w:val="bottom"/>
          </w:tcPr>
          <w:p>
            <w:pPr>
              <w:ind w:left="380"/>
              <w:spacing w:after="0"/>
              <w:rPr>
                <w:sz w:val="20"/>
                <w:szCs w:val="20"/>
                <w:color w:val="auto"/>
              </w:rPr>
            </w:pPr>
            <w:r>
              <w:rPr>
                <w:rFonts w:ascii="Arial" w:cs="Arial" w:eastAsia="Arial" w:hAnsi="Arial"/>
                <w:sz w:val="16"/>
                <w:szCs w:val="16"/>
                <w:color w:val="auto"/>
              </w:rPr>
              <w:t>Independent Committee Chairs</w:t>
            </w:r>
          </w:p>
        </w:tc>
      </w:tr>
      <w:tr>
        <w:trPr>
          <w:trHeight w:val="283"/>
        </w:trPr>
        <w:tc>
          <w:tcPr>
            <w:tcW w:w="3000" w:type="dxa"/>
            <w:vAlign w:val="bottom"/>
            <w:shd w:val="clear" w:color="auto" w:fill="E5EAF8"/>
          </w:tcPr>
          <w:p>
            <w:pPr>
              <w:ind w:left="280"/>
              <w:spacing w:after="0"/>
              <w:rPr>
                <w:sz w:val="20"/>
                <w:szCs w:val="20"/>
                <w:color w:val="auto"/>
              </w:rPr>
            </w:pPr>
            <w:r>
              <w:rPr>
                <w:rFonts w:ascii="Arial" w:cs="Arial" w:eastAsia="Arial" w:hAnsi="Arial"/>
                <w:sz w:val="18"/>
                <w:szCs w:val="18"/>
                <w:b w:val="1"/>
                <w:bCs w:val="1"/>
                <w:color w:val="202945"/>
              </w:rPr>
              <w:t>Independence</w:t>
            </w:r>
          </w:p>
        </w:tc>
        <w:tc>
          <w:tcPr>
            <w:tcW w:w="4240" w:type="dxa"/>
            <w:vAlign w:val="bottom"/>
          </w:tcPr>
          <w:p>
            <w:pPr>
              <w:ind w:left="500"/>
              <w:spacing w:after="0"/>
              <w:rPr>
                <w:sz w:val="20"/>
                <w:szCs w:val="20"/>
                <w:color w:val="auto"/>
              </w:rPr>
            </w:pPr>
            <w:r>
              <w:rPr>
                <w:rFonts w:ascii="Arial" w:cs="Arial" w:eastAsia="Arial" w:hAnsi="Arial"/>
                <w:sz w:val="16"/>
                <w:szCs w:val="16"/>
                <w:color w:val="auto"/>
              </w:rPr>
              <w:t>Eight out of nine directors are independent</w:t>
            </w:r>
          </w:p>
        </w:tc>
        <w:tc>
          <w:tcPr>
            <w:tcW w:w="4000" w:type="dxa"/>
            <w:vAlign w:val="bottom"/>
          </w:tcPr>
          <w:p>
            <w:pPr>
              <w:ind w:left="380"/>
              <w:spacing w:after="0"/>
              <w:rPr>
                <w:sz w:val="20"/>
                <w:szCs w:val="20"/>
                <w:color w:val="auto"/>
              </w:rPr>
            </w:pPr>
            <w:r>
              <w:rPr>
                <w:rFonts w:ascii="Arial" w:cs="Arial" w:eastAsia="Arial" w:hAnsi="Arial"/>
                <w:sz w:val="16"/>
                <w:szCs w:val="16"/>
                <w:color w:val="auto"/>
              </w:rPr>
              <w:t>Separation of CEO and Chair roles</w:t>
            </w:r>
          </w:p>
        </w:tc>
      </w:tr>
      <w:tr>
        <w:trPr>
          <w:trHeight w:val="311"/>
        </w:trPr>
        <w:tc>
          <w:tcPr>
            <w:tcW w:w="3000" w:type="dxa"/>
            <w:vAlign w:val="bottom"/>
            <w:shd w:val="clear" w:color="auto" w:fill="E5EAF8"/>
          </w:tcPr>
          <w:p>
            <w:pPr>
              <w:spacing w:after="0"/>
              <w:rPr>
                <w:sz w:val="24"/>
                <w:szCs w:val="24"/>
                <w:color w:val="auto"/>
              </w:rPr>
            </w:pPr>
          </w:p>
        </w:tc>
        <w:tc>
          <w:tcPr>
            <w:tcW w:w="4240" w:type="dxa"/>
            <w:vAlign w:val="bottom"/>
          </w:tcPr>
          <w:p>
            <w:pPr>
              <w:ind w:left="500"/>
              <w:spacing w:after="0"/>
              <w:rPr>
                <w:sz w:val="20"/>
                <w:szCs w:val="20"/>
                <w:color w:val="auto"/>
              </w:rPr>
            </w:pPr>
            <w:r>
              <w:rPr>
                <w:rFonts w:ascii="Arial" w:cs="Arial" w:eastAsia="Arial" w:hAnsi="Arial"/>
                <w:sz w:val="16"/>
                <w:szCs w:val="16"/>
                <w:color w:val="auto"/>
              </w:rPr>
              <w:t>Diverse perspectives and experiences</w:t>
            </w:r>
          </w:p>
        </w:tc>
        <w:tc>
          <w:tcPr>
            <w:tcW w:w="4000" w:type="dxa"/>
            <w:vAlign w:val="bottom"/>
          </w:tcPr>
          <w:p>
            <w:pPr>
              <w:ind w:left="360"/>
              <w:spacing w:after="0"/>
              <w:rPr>
                <w:sz w:val="20"/>
                <w:szCs w:val="20"/>
                <w:color w:val="auto"/>
              </w:rPr>
            </w:pPr>
            <w:r>
              <w:rPr>
                <w:rFonts w:ascii="Arial" w:cs="Arial" w:eastAsia="Arial" w:hAnsi="Arial"/>
                <w:sz w:val="16"/>
                <w:szCs w:val="16"/>
                <w:color w:val="auto"/>
              </w:rPr>
              <w:t>Annual election of directors</w:t>
            </w:r>
          </w:p>
        </w:tc>
      </w:tr>
      <w:tr>
        <w:trPr>
          <w:trHeight w:val="232"/>
        </w:trPr>
        <w:tc>
          <w:tcPr>
            <w:tcW w:w="3000" w:type="dxa"/>
            <w:vAlign w:val="bottom"/>
            <w:tcBorders>
              <w:bottom w:val="single" w:sz="8" w:color="FF7F32"/>
            </w:tcBorders>
            <w:shd w:val="clear" w:color="auto" w:fill="E5EAF8"/>
          </w:tcPr>
          <w:p>
            <w:pPr>
              <w:spacing w:after="0"/>
              <w:rPr>
                <w:sz w:val="20"/>
                <w:szCs w:val="20"/>
                <w:color w:val="auto"/>
              </w:rPr>
            </w:pPr>
          </w:p>
        </w:tc>
        <w:tc>
          <w:tcPr>
            <w:tcW w:w="4240" w:type="dxa"/>
            <w:vAlign w:val="bottom"/>
            <w:tcBorders>
              <w:bottom w:val="single" w:sz="8" w:color="FF7F32"/>
            </w:tcBorders>
          </w:tcPr>
          <w:p>
            <w:pPr>
              <w:spacing w:after="0"/>
              <w:rPr>
                <w:sz w:val="20"/>
                <w:szCs w:val="20"/>
                <w:color w:val="auto"/>
              </w:rPr>
            </w:pPr>
          </w:p>
        </w:tc>
        <w:tc>
          <w:tcPr>
            <w:tcW w:w="4000" w:type="dxa"/>
            <w:vAlign w:val="bottom"/>
            <w:tcBorders>
              <w:bottom w:val="single" w:sz="8" w:color="FF7F32"/>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-676910</wp:posOffset>
            </wp:positionV>
            <wp:extent cx="76835" cy="603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6032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-479425</wp:posOffset>
            </wp:positionV>
            <wp:extent cx="76835" cy="596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59690"/>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-273685</wp:posOffset>
            </wp:positionV>
            <wp:extent cx="76835" cy="596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596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-676910</wp:posOffset>
            </wp:positionV>
            <wp:extent cx="77470" cy="6032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470" cy="6032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-479425</wp:posOffset>
            </wp:positionV>
            <wp:extent cx="77470" cy="596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596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-273685</wp:posOffset>
            </wp:positionV>
            <wp:extent cx="77470" cy="596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596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484"/>
        </w:trPr>
        <w:tc>
          <w:tcPr>
            <w:tcW w:w="3000" w:type="dxa"/>
            <w:vAlign w:val="bottom"/>
            <w:shd w:val="clear" w:color="auto" w:fill="E5EAF8"/>
          </w:tcPr>
          <w:p>
            <w:pPr>
              <w:ind w:left="280"/>
              <w:spacing w:after="0"/>
              <w:rPr>
                <w:sz w:val="20"/>
                <w:szCs w:val="20"/>
                <w:color w:val="auto"/>
              </w:rPr>
            </w:pPr>
            <w:r>
              <w:rPr>
                <w:rFonts w:ascii="Arial" w:cs="Arial" w:eastAsia="Arial" w:hAnsi="Arial"/>
                <w:sz w:val="18"/>
                <w:szCs w:val="18"/>
                <w:b w:val="1"/>
                <w:bCs w:val="1"/>
                <w:color w:val="202945"/>
              </w:rPr>
              <w:t>Corporate Governance</w:t>
            </w:r>
          </w:p>
        </w:tc>
        <w:tc>
          <w:tcPr>
            <w:tcW w:w="4160" w:type="dxa"/>
            <w:vAlign w:val="bottom"/>
          </w:tcPr>
          <w:p>
            <w:pPr>
              <w:ind w:left="480"/>
              <w:spacing w:after="0"/>
              <w:rPr>
                <w:sz w:val="20"/>
                <w:szCs w:val="20"/>
                <w:color w:val="auto"/>
              </w:rPr>
            </w:pPr>
            <w:r>
              <w:rPr>
                <w:rFonts w:ascii="Arial" w:cs="Arial" w:eastAsia="Arial" w:hAnsi="Arial"/>
                <w:sz w:val="16"/>
                <w:szCs w:val="16"/>
                <w:color w:val="auto"/>
              </w:rPr>
              <w:t>Annual board and committee self-evaluations</w:t>
            </w:r>
          </w:p>
        </w:tc>
        <w:tc>
          <w:tcPr>
            <w:tcW w:w="4080" w:type="dxa"/>
            <w:vAlign w:val="bottom"/>
          </w:tcPr>
          <w:p>
            <w:pPr>
              <w:ind w:left="460"/>
              <w:spacing w:after="0"/>
              <w:rPr>
                <w:sz w:val="20"/>
                <w:szCs w:val="20"/>
                <w:color w:val="auto"/>
              </w:rPr>
            </w:pPr>
            <w:r>
              <w:rPr>
                <w:rFonts w:ascii="Arial" w:cs="Arial" w:eastAsia="Arial" w:hAnsi="Arial"/>
                <w:sz w:val="16"/>
                <w:szCs w:val="16"/>
                <w:color w:val="auto"/>
              </w:rPr>
              <w:t>Orientation and education for new directors</w:t>
            </w:r>
          </w:p>
        </w:tc>
      </w:tr>
      <w:tr>
        <w:trPr>
          <w:trHeight w:val="297"/>
        </w:trPr>
        <w:tc>
          <w:tcPr>
            <w:tcW w:w="3000" w:type="dxa"/>
            <w:vAlign w:val="bottom"/>
            <w:shd w:val="clear" w:color="auto" w:fill="E5EAF8"/>
          </w:tcPr>
          <w:p>
            <w:pPr>
              <w:spacing w:after="0"/>
              <w:rPr>
                <w:sz w:val="24"/>
                <w:szCs w:val="24"/>
                <w:color w:val="auto"/>
              </w:rPr>
            </w:pPr>
          </w:p>
        </w:tc>
        <w:tc>
          <w:tcPr>
            <w:tcW w:w="4160" w:type="dxa"/>
            <w:vAlign w:val="bottom"/>
          </w:tcPr>
          <w:p>
            <w:pPr>
              <w:ind w:left="500"/>
              <w:spacing w:after="0"/>
              <w:rPr>
                <w:sz w:val="20"/>
                <w:szCs w:val="20"/>
                <w:color w:val="auto"/>
              </w:rPr>
            </w:pPr>
            <w:r>
              <w:rPr>
                <w:rFonts w:ascii="Arial" w:cs="Arial" w:eastAsia="Arial" w:hAnsi="Arial"/>
                <w:sz w:val="16"/>
                <w:szCs w:val="16"/>
                <w:color w:val="auto"/>
              </w:rPr>
              <w:t>Independent members of the Board meet</w:t>
            </w:r>
          </w:p>
        </w:tc>
        <w:tc>
          <w:tcPr>
            <w:tcW w:w="4080" w:type="dxa"/>
            <w:vAlign w:val="bottom"/>
          </w:tcPr>
          <w:p>
            <w:pPr>
              <w:ind w:left="460"/>
              <w:spacing w:after="0"/>
              <w:rPr>
                <w:sz w:val="20"/>
                <w:szCs w:val="20"/>
                <w:color w:val="auto"/>
              </w:rPr>
            </w:pPr>
            <w:r>
              <w:rPr>
                <w:rFonts w:ascii="Arial" w:cs="Arial" w:eastAsia="Arial" w:hAnsi="Arial"/>
                <w:sz w:val="16"/>
                <w:szCs w:val="16"/>
                <w:color w:val="auto"/>
              </w:rPr>
              <w:t>Over-boarding restrictions</w:t>
            </w:r>
          </w:p>
        </w:tc>
      </w:tr>
      <w:tr>
        <w:trPr>
          <w:trHeight w:val="243"/>
        </w:trPr>
        <w:tc>
          <w:tcPr>
            <w:tcW w:w="3000" w:type="dxa"/>
            <w:vAlign w:val="bottom"/>
            <w:shd w:val="clear" w:color="auto" w:fill="E5EAF8"/>
          </w:tcPr>
          <w:p>
            <w:pPr>
              <w:spacing w:after="0"/>
              <w:rPr>
                <w:sz w:val="21"/>
                <w:szCs w:val="21"/>
                <w:color w:val="auto"/>
              </w:rPr>
            </w:pPr>
          </w:p>
        </w:tc>
        <w:tc>
          <w:tcPr>
            <w:tcW w:w="4160" w:type="dxa"/>
            <w:vAlign w:val="bottom"/>
          </w:tcPr>
          <w:p>
            <w:pPr>
              <w:ind w:left="480"/>
              <w:spacing w:after="0"/>
              <w:rPr>
                <w:sz w:val="20"/>
                <w:szCs w:val="20"/>
                <w:color w:val="auto"/>
              </w:rPr>
            </w:pPr>
            <w:r>
              <w:rPr>
                <w:rFonts w:ascii="Arial" w:cs="Arial" w:eastAsia="Arial" w:hAnsi="Arial"/>
                <w:sz w:val="16"/>
                <w:szCs w:val="16"/>
                <w:color w:val="auto"/>
              </w:rPr>
              <w:t>regularly in executive sessions</w:t>
            </w:r>
          </w:p>
        </w:tc>
        <w:tc>
          <w:tcPr>
            <w:tcW w:w="4080" w:type="dxa"/>
            <w:vAlign w:val="bottom"/>
          </w:tcPr>
          <w:p>
            <w:pPr>
              <w:spacing w:after="0"/>
              <w:rPr>
                <w:sz w:val="21"/>
                <w:szCs w:val="21"/>
                <w:color w:val="auto"/>
              </w:rPr>
            </w:pPr>
          </w:p>
        </w:tc>
      </w:tr>
      <w:tr>
        <w:trPr>
          <w:trHeight w:val="218"/>
        </w:trPr>
        <w:tc>
          <w:tcPr>
            <w:tcW w:w="3000" w:type="dxa"/>
            <w:vAlign w:val="bottom"/>
            <w:tcBorders>
              <w:bottom w:val="single" w:sz="8" w:color="FF7F32"/>
            </w:tcBorders>
            <w:shd w:val="clear" w:color="auto" w:fill="E5EAF8"/>
          </w:tcPr>
          <w:p>
            <w:pPr>
              <w:spacing w:after="0"/>
              <w:rPr>
                <w:sz w:val="18"/>
                <w:szCs w:val="18"/>
                <w:color w:val="auto"/>
              </w:rPr>
            </w:pPr>
          </w:p>
        </w:tc>
        <w:tc>
          <w:tcPr>
            <w:tcW w:w="4160" w:type="dxa"/>
            <w:vAlign w:val="bottom"/>
            <w:tcBorders>
              <w:bottom w:val="single" w:sz="8" w:color="FF7F32"/>
            </w:tcBorders>
          </w:tcPr>
          <w:p>
            <w:pPr>
              <w:spacing w:after="0"/>
              <w:rPr>
                <w:sz w:val="18"/>
                <w:szCs w:val="18"/>
                <w:color w:val="auto"/>
              </w:rPr>
            </w:pPr>
          </w:p>
        </w:tc>
        <w:tc>
          <w:tcPr>
            <w:tcW w:w="4080" w:type="dxa"/>
            <w:vAlign w:val="bottom"/>
            <w:tcBorders>
              <w:bottom w:val="single" w:sz="8" w:color="FF7F32"/>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-625475</wp:posOffset>
            </wp:positionV>
            <wp:extent cx="76835" cy="596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59690"/>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-427990</wp:posOffset>
            </wp:positionV>
            <wp:extent cx="76835" cy="603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835" cy="6032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-625475</wp:posOffset>
            </wp:positionV>
            <wp:extent cx="77470" cy="596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596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-427990</wp:posOffset>
            </wp:positionV>
            <wp:extent cx="77470" cy="603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603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1903095" cy="11144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903095" cy="111442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280" w:type="dxa"/>
        <w:tblCellMar>
          <w:top w:w="0" w:type="dxa"/>
          <w:left w:w="0" w:type="dxa"/>
          <w:bottom w:w="0" w:type="dxa"/>
          <w:right w:w="0" w:type="dxa"/>
        </w:tblCellMar>
      </w:tblPr>
      <w:tr>
        <w:trPr>
          <w:trHeight w:val="247"/>
        </w:trPr>
        <w:tc>
          <w:tcPr>
            <w:tcW w:w="2240" w:type="dxa"/>
            <w:vAlign w:val="bottom"/>
          </w:tcPr>
          <w:p>
            <w:pPr>
              <w:spacing w:after="0"/>
              <w:rPr>
                <w:sz w:val="20"/>
                <w:szCs w:val="20"/>
                <w:color w:val="auto"/>
              </w:rPr>
            </w:pPr>
            <w:r>
              <w:rPr>
                <w:rFonts w:ascii="Arial" w:cs="Arial" w:eastAsia="Arial" w:hAnsi="Arial"/>
                <w:sz w:val="18"/>
                <w:szCs w:val="18"/>
                <w:b w:val="1"/>
                <w:bCs w:val="1"/>
                <w:color w:val="202945"/>
              </w:rPr>
              <w:t>Compensation</w:t>
            </w:r>
          </w:p>
        </w:tc>
        <w:tc>
          <w:tcPr>
            <w:tcW w:w="4100" w:type="dxa"/>
            <w:vAlign w:val="bottom"/>
          </w:tcPr>
          <w:p>
            <w:pPr>
              <w:ind w:left="960"/>
              <w:spacing w:after="0"/>
              <w:rPr>
                <w:sz w:val="20"/>
                <w:szCs w:val="20"/>
                <w:color w:val="auto"/>
              </w:rPr>
            </w:pPr>
            <w:r>
              <w:rPr>
                <w:rFonts w:ascii="Arial" w:cs="Arial" w:eastAsia="Arial" w:hAnsi="Arial"/>
                <w:sz w:val="16"/>
                <w:szCs w:val="16"/>
                <w:color w:val="auto"/>
              </w:rPr>
              <w:t>Annual approval of executive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-135890</wp:posOffset>
            </wp:positionV>
            <wp:extent cx="76835" cy="6032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835" cy="60325"/>
                    </a:xfrm>
                    <a:prstGeom prst="rect">
                      <a:avLst/>
                    </a:prstGeom>
                    <a:noFill/>
                  </pic:spPr>
                </pic:pic>
              </a:graphicData>
            </a:graphic>
          </wp:anchor>
        </w:drawing>
      </w:r>
    </w:p>
    <w:p>
      <w:pPr>
        <w:spacing w:after="0" w:line="75" w:lineRule="exact"/>
        <w:rPr>
          <w:sz w:val="20"/>
          <w:szCs w:val="20"/>
          <w:color w:val="auto"/>
        </w:rPr>
      </w:pPr>
    </w:p>
    <w:p>
      <w:pPr>
        <w:ind w:left="3280"/>
        <w:spacing w:after="0"/>
        <w:rPr>
          <w:sz w:val="20"/>
          <w:szCs w:val="20"/>
          <w:color w:val="auto"/>
        </w:rPr>
      </w:pPr>
      <w:r>
        <w:rPr>
          <w:sz w:val="1"/>
          <w:szCs w:val="1"/>
          <w:color w:val="auto"/>
        </w:rPr>
        <w:drawing>
          <wp:inline distT="0" distB="0" distL="0" distR="0">
            <wp:extent cx="76835" cy="60325"/>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835" cy="60325"/>
                    </a:xfrm>
                    <a:prstGeom prst="rect">
                      <a:avLst/>
                    </a:prstGeom>
                    <a:noFill/>
                    <a:ln>
                      <a:noFill/>
                    </a:ln>
                  </pic:spPr>
                </pic:pic>
              </a:graphicData>
            </a:graphic>
          </wp:inline>
        </w:drawing>
      </w:r>
      <w:r>
        <w:rPr>
          <w:rFonts w:ascii="Arial" w:cs="Arial" w:eastAsia="Arial" w:hAnsi="Arial"/>
          <w:sz w:val="16"/>
          <w:szCs w:val="16"/>
          <w:color w:val="auto"/>
        </w:rPr>
        <w:t xml:space="preserve"> Prohibits our employees, officers, and directors</w:t>
      </w:r>
    </w:p>
    <w:p>
      <w:pPr>
        <w:spacing w:after="0" w:line="59" w:lineRule="exact"/>
        <w:rPr>
          <w:sz w:val="20"/>
          <w:szCs w:val="20"/>
          <w:color w:val="auto"/>
        </w:rPr>
      </w:pPr>
    </w:p>
    <w:p>
      <w:pPr>
        <w:ind w:left="3480"/>
        <w:spacing w:after="0"/>
        <w:rPr>
          <w:sz w:val="20"/>
          <w:szCs w:val="20"/>
          <w:color w:val="auto"/>
        </w:rPr>
      </w:pPr>
      <w:r>
        <w:rPr>
          <w:rFonts w:ascii="Arial" w:cs="Arial" w:eastAsia="Arial" w:hAnsi="Arial"/>
          <w:sz w:val="16"/>
          <w:szCs w:val="16"/>
          <w:color w:val="auto"/>
        </w:rPr>
        <w:t>from engaging in any hedging or similar</w:t>
      </w:r>
    </w:p>
    <w:p>
      <w:pPr>
        <w:spacing w:after="0" w:line="73" w:lineRule="exact"/>
        <w:rPr>
          <w:sz w:val="20"/>
          <w:szCs w:val="20"/>
          <w:color w:val="auto"/>
        </w:rPr>
      </w:pPr>
    </w:p>
    <w:p>
      <w:pPr>
        <w:ind w:left="3480"/>
        <w:spacing w:after="0"/>
        <w:rPr>
          <w:sz w:val="20"/>
          <w:szCs w:val="20"/>
          <w:color w:val="auto"/>
        </w:rPr>
      </w:pPr>
      <w:r>
        <w:rPr>
          <w:rFonts w:ascii="Arial" w:cs="Arial" w:eastAsia="Arial" w:hAnsi="Arial"/>
          <w:sz w:val="16"/>
          <w:szCs w:val="16"/>
          <w:color w:val="auto"/>
        </w:rPr>
        <w:t>transactions with respect to the Company’s</w:t>
      </w:r>
    </w:p>
    <w:p>
      <w:pPr>
        <w:spacing w:after="0" w:line="59" w:lineRule="exact"/>
        <w:rPr>
          <w:sz w:val="20"/>
          <w:szCs w:val="20"/>
          <w:color w:val="auto"/>
        </w:rPr>
      </w:pPr>
    </w:p>
    <w:p>
      <w:pPr>
        <w:ind w:left="3480"/>
        <w:spacing w:after="0"/>
        <w:rPr>
          <w:sz w:val="20"/>
          <w:szCs w:val="20"/>
          <w:color w:val="auto"/>
        </w:rPr>
      </w:pPr>
      <w:r>
        <w:rPr>
          <w:rFonts w:ascii="Arial" w:cs="Arial" w:eastAsia="Arial" w:hAnsi="Arial"/>
          <w:sz w:val="16"/>
          <w:szCs w:val="16"/>
          <w:color w:val="auto"/>
        </w:rPr>
        <w:t>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900"/>
        <w:spacing w:after="0" w:line="413" w:lineRule="auto"/>
        <w:rPr>
          <w:sz w:val="20"/>
          <w:szCs w:val="20"/>
          <w:color w:val="auto"/>
        </w:rPr>
      </w:pPr>
      <w:r>
        <w:rPr>
          <w:sz w:val="1"/>
          <w:szCs w:val="1"/>
          <w:color w:val="auto"/>
        </w:rPr>
        <w:drawing>
          <wp:inline distT="0" distB="0" distL="0" distR="0">
            <wp:extent cx="77470" cy="60325"/>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60325"/>
                    </a:xfrm>
                    <a:prstGeom prst="rect">
                      <a:avLst/>
                    </a:prstGeom>
                    <a:noFill/>
                    <a:ln>
                      <a:noFill/>
                    </a:ln>
                  </pic:spPr>
                </pic:pic>
              </a:graphicData>
            </a:graphic>
          </wp:inline>
        </w:drawing>
      </w:r>
      <w:r>
        <w:rPr>
          <w:rFonts w:ascii="Arial" w:cs="Arial" w:eastAsia="Arial" w:hAnsi="Arial"/>
          <w:sz w:val="16"/>
          <w:szCs w:val="16"/>
          <w:color w:val="auto"/>
        </w:rPr>
        <w:t xml:space="preserve"> Significant stock ownership guidelines </w:t>
      </w:r>
      <w:r>
        <w:rPr>
          <w:sz w:val="1"/>
          <w:szCs w:val="1"/>
          <w:color w:val="auto"/>
        </w:rPr>
        <w:drawing>
          <wp:inline distT="0" distB="0" distL="0" distR="0">
            <wp:extent cx="77470" cy="59690"/>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470" cy="59690"/>
                    </a:xfrm>
                    <a:prstGeom prst="rect">
                      <a:avLst/>
                    </a:prstGeom>
                    <a:noFill/>
                    <a:ln>
                      <a:noFill/>
                    </a:ln>
                  </pic:spPr>
                </pic:pic>
              </a:graphicData>
            </a:graphic>
          </wp:inline>
        </w:drawing>
      </w:r>
      <w:r>
        <w:rPr>
          <w:rFonts w:ascii="Arial" w:cs="Arial" w:eastAsia="Arial" w:hAnsi="Arial"/>
          <w:sz w:val="16"/>
          <w:szCs w:val="16"/>
          <w:color w:val="auto"/>
        </w:rPr>
        <w:t xml:space="preserve"> No Excise Tax Gross-Up Provisions</w:t>
      </w:r>
    </w:p>
    <w:p>
      <w:pPr>
        <w:spacing w:after="0" w:line="1" w:lineRule="exact"/>
        <w:rPr>
          <w:sz w:val="20"/>
          <w:szCs w:val="20"/>
          <w:color w:val="auto"/>
        </w:rPr>
      </w:pPr>
    </w:p>
    <w:p>
      <w:pPr>
        <w:ind w:left="200" w:right="440" w:hanging="200"/>
        <w:spacing w:after="0"/>
        <w:rPr>
          <w:sz w:val="20"/>
          <w:szCs w:val="20"/>
          <w:color w:val="auto"/>
        </w:rPr>
      </w:pPr>
      <w:r>
        <w:rPr>
          <w:sz w:val="1"/>
          <w:szCs w:val="1"/>
          <w:color w:val="auto"/>
        </w:rPr>
        <w:drawing>
          <wp:inline distT="0" distB="0" distL="0" distR="0">
            <wp:extent cx="77470" cy="59690"/>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59690"/>
                    </a:xfrm>
                    <a:prstGeom prst="rect">
                      <a:avLst/>
                    </a:prstGeom>
                    <a:noFill/>
                    <a:ln>
                      <a:noFill/>
                    </a:ln>
                  </pic:spPr>
                </pic:pic>
              </a:graphicData>
            </a:graphic>
          </wp:inline>
        </w:drawing>
      </w:r>
      <w:r>
        <w:rPr>
          <w:rFonts w:ascii="Arial" w:cs="Arial" w:eastAsia="Arial" w:hAnsi="Arial"/>
          <w:sz w:val="16"/>
          <w:szCs w:val="16"/>
          <w:color w:val="auto"/>
        </w:rPr>
        <w:t xml:space="preserve"> Comprehensive Nasdaq-compliant clawback policy</w:t>
      </w:r>
    </w:p>
    <w:p>
      <w:pPr>
        <w:spacing w:after="0" w:line="371" w:lineRule="exact"/>
        <w:rPr>
          <w:sz w:val="20"/>
          <w:szCs w:val="20"/>
          <w:color w:val="auto"/>
        </w:rPr>
      </w:pPr>
    </w:p>
    <w:p>
      <w:pPr>
        <w:sectPr>
          <w:pgSz w:w="11900" w:h="16838" w:orient="portrait"/>
          <w:cols w:equalWidth="0" w:num="2">
            <w:col w:w="6860" w:space="540"/>
            <w:col w:w="3840"/>
          </w:cols>
          <w:pgMar w:left="320" w:top="257" w:right="339" w:bottom="1440" w:gutter="0" w:footer="0" w:header="0"/>
          <w:type w:val="continuous"/>
        </w:sect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484"/>
        </w:trPr>
        <w:tc>
          <w:tcPr>
            <w:tcW w:w="3000" w:type="dxa"/>
            <w:vAlign w:val="bottom"/>
            <w:shd w:val="clear" w:color="auto" w:fill="E5EAF8"/>
          </w:tcPr>
          <w:p>
            <w:pPr>
              <w:ind w:left="280"/>
              <w:spacing w:after="0"/>
              <w:rPr>
                <w:sz w:val="20"/>
                <w:szCs w:val="20"/>
                <w:color w:val="auto"/>
              </w:rPr>
            </w:pPr>
            <w:r>
              <w:rPr>
                <w:rFonts w:ascii="Arial" w:cs="Arial" w:eastAsia="Arial" w:hAnsi="Arial"/>
                <w:sz w:val="18"/>
                <w:szCs w:val="18"/>
                <w:b w:val="1"/>
                <w:bCs w:val="1"/>
                <w:color w:val="202945"/>
              </w:rPr>
              <w:t>Shareholder Rights</w:t>
            </w:r>
          </w:p>
        </w:tc>
        <w:tc>
          <w:tcPr>
            <w:tcW w:w="3540" w:type="dxa"/>
            <w:vAlign w:val="bottom"/>
          </w:tcPr>
          <w:p>
            <w:pPr>
              <w:ind w:left="500"/>
              <w:spacing w:after="0"/>
              <w:rPr>
                <w:sz w:val="20"/>
                <w:szCs w:val="20"/>
                <w:color w:val="auto"/>
              </w:rPr>
            </w:pPr>
            <w:r>
              <w:rPr>
                <w:rFonts w:ascii="Arial" w:cs="Arial" w:eastAsia="Arial" w:hAnsi="Arial"/>
                <w:sz w:val="16"/>
                <w:szCs w:val="16"/>
                <w:color w:val="auto"/>
              </w:rPr>
              <w:t>Majority voting for directors in uncontested</w:t>
            </w:r>
          </w:p>
        </w:tc>
      </w:tr>
      <w:tr>
        <w:trPr>
          <w:trHeight w:val="216"/>
        </w:trPr>
        <w:tc>
          <w:tcPr>
            <w:tcW w:w="3000" w:type="dxa"/>
            <w:vAlign w:val="bottom"/>
            <w:shd w:val="clear" w:color="auto" w:fill="E5EAF8"/>
          </w:tcPr>
          <w:p>
            <w:pPr>
              <w:spacing w:after="0"/>
              <w:rPr>
                <w:sz w:val="18"/>
                <w:szCs w:val="18"/>
                <w:color w:val="auto"/>
              </w:rPr>
            </w:pPr>
          </w:p>
        </w:tc>
        <w:tc>
          <w:tcPr>
            <w:tcW w:w="3540" w:type="dxa"/>
            <w:vAlign w:val="bottom"/>
          </w:tcPr>
          <w:p>
            <w:pPr>
              <w:ind w:left="480"/>
              <w:spacing w:after="0"/>
              <w:rPr>
                <w:sz w:val="20"/>
                <w:szCs w:val="20"/>
                <w:color w:val="auto"/>
              </w:rPr>
            </w:pPr>
            <w:r>
              <w:rPr>
                <w:rFonts w:ascii="Arial" w:cs="Arial" w:eastAsia="Arial" w:hAnsi="Arial"/>
                <w:sz w:val="16"/>
                <w:szCs w:val="16"/>
                <w:color w:val="auto"/>
              </w:rPr>
              <w:t>elections with mandatory director</w:t>
            </w:r>
          </w:p>
        </w:tc>
      </w:tr>
      <w:tr>
        <w:trPr>
          <w:trHeight w:val="243"/>
        </w:trPr>
        <w:tc>
          <w:tcPr>
            <w:tcW w:w="3000" w:type="dxa"/>
            <w:vAlign w:val="bottom"/>
            <w:shd w:val="clear" w:color="auto" w:fill="E5EAF8"/>
          </w:tcPr>
          <w:p>
            <w:pPr>
              <w:spacing w:after="0"/>
              <w:rPr>
                <w:sz w:val="21"/>
                <w:szCs w:val="21"/>
                <w:color w:val="auto"/>
              </w:rPr>
            </w:pPr>
          </w:p>
        </w:tc>
        <w:tc>
          <w:tcPr>
            <w:tcW w:w="3540" w:type="dxa"/>
            <w:vAlign w:val="bottom"/>
          </w:tcPr>
          <w:p>
            <w:pPr>
              <w:ind w:left="480"/>
              <w:spacing w:after="0"/>
              <w:rPr>
                <w:sz w:val="20"/>
                <w:szCs w:val="20"/>
                <w:color w:val="auto"/>
              </w:rPr>
            </w:pPr>
            <w:r>
              <w:rPr>
                <w:rFonts w:ascii="Arial" w:cs="Arial" w:eastAsia="Arial" w:hAnsi="Arial"/>
                <w:sz w:val="16"/>
                <w:szCs w:val="16"/>
                <w:color w:val="auto"/>
              </w:rPr>
              <w:t>resignation policy</w:t>
            </w:r>
          </w:p>
        </w:tc>
      </w:tr>
      <w:tr>
        <w:trPr>
          <w:trHeight w:val="310"/>
        </w:trPr>
        <w:tc>
          <w:tcPr>
            <w:tcW w:w="3000" w:type="dxa"/>
            <w:vAlign w:val="bottom"/>
            <w:shd w:val="clear" w:color="auto" w:fill="E5EAF8"/>
          </w:tcPr>
          <w:p>
            <w:pPr>
              <w:spacing w:after="0"/>
              <w:rPr>
                <w:sz w:val="24"/>
                <w:szCs w:val="24"/>
                <w:color w:val="auto"/>
              </w:rPr>
            </w:pPr>
          </w:p>
        </w:tc>
        <w:tc>
          <w:tcPr>
            <w:tcW w:w="3540" w:type="dxa"/>
            <w:vAlign w:val="bottom"/>
          </w:tcPr>
          <w:p>
            <w:pPr>
              <w:ind w:left="500"/>
              <w:spacing w:after="0"/>
              <w:rPr>
                <w:sz w:val="20"/>
                <w:szCs w:val="20"/>
                <w:color w:val="auto"/>
              </w:rPr>
            </w:pPr>
            <w:r>
              <w:rPr>
                <w:rFonts w:ascii="Arial" w:cs="Arial" w:eastAsia="Arial" w:hAnsi="Arial"/>
                <w:sz w:val="16"/>
                <w:szCs w:val="16"/>
                <w:color w:val="auto"/>
              </w:rPr>
              <w:t>Proxy Access</w:t>
            </w:r>
          </w:p>
        </w:tc>
      </w:tr>
      <w:tr>
        <w:trPr>
          <w:trHeight w:val="231"/>
        </w:trPr>
        <w:tc>
          <w:tcPr>
            <w:tcW w:w="3000" w:type="dxa"/>
            <w:vAlign w:val="bottom"/>
            <w:shd w:val="clear" w:color="auto" w:fill="E5EAF8"/>
          </w:tcPr>
          <w:p>
            <w:pPr>
              <w:spacing w:after="0"/>
              <w:rPr>
                <w:sz w:val="20"/>
                <w:szCs w:val="20"/>
                <w:color w:val="auto"/>
              </w:rPr>
            </w:pPr>
          </w:p>
        </w:tc>
        <w:tc>
          <w:tcPr>
            <w:tcW w:w="35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-779780</wp:posOffset>
            </wp:positionV>
            <wp:extent cx="76835" cy="603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6032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-265430</wp:posOffset>
            </wp:positionV>
            <wp:extent cx="76835" cy="6032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603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sz w:val="1"/>
          <w:szCs w:val="1"/>
          <w:color w:val="auto"/>
        </w:rPr>
        <w:drawing>
          <wp:inline distT="0" distB="0" distL="0" distR="0">
            <wp:extent cx="77470" cy="60325"/>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60325"/>
                    </a:xfrm>
                    <a:prstGeom prst="rect">
                      <a:avLst/>
                    </a:prstGeom>
                    <a:noFill/>
                    <a:ln>
                      <a:noFill/>
                    </a:ln>
                  </pic:spPr>
                </pic:pic>
              </a:graphicData>
            </a:graphic>
          </wp:inline>
        </w:drawing>
      </w:r>
      <w:r>
        <w:rPr>
          <w:rFonts w:ascii="Arial" w:cs="Arial" w:eastAsia="Arial" w:hAnsi="Arial"/>
          <w:sz w:val="16"/>
          <w:szCs w:val="16"/>
          <w:color w:val="auto"/>
        </w:rPr>
        <w:t xml:space="preserve"> Shareholders can recommend director candidates</w:t>
      </w:r>
    </w:p>
    <w:p>
      <w:pPr>
        <w:spacing w:after="0" w:line="127" w:lineRule="exact"/>
        <w:rPr>
          <w:sz w:val="20"/>
          <w:szCs w:val="20"/>
          <w:color w:val="auto"/>
        </w:rPr>
      </w:pPr>
    </w:p>
    <w:p>
      <w:pPr>
        <w:ind w:left="200" w:right="420" w:hanging="200"/>
        <w:spacing w:after="0"/>
        <w:rPr>
          <w:sz w:val="20"/>
          <w:szCs w:val="20"/>
          <w:color w:val="auto"/>
        </w:rPr>
      </w:pPr>
      <w:r>
        <w:rPr>
          <w:sz w:val="1"/>
          <w:szCs w:val="1"/>
          <w:color w:val="auto"/>
        </w:rPr>
        <w:drawing>
          <wp:inline distT="0" distB="0" distL="0" distR="0">
            <wp:extent cx="77470" cy="60325"/>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470" cy="60325"/>
                    </a:xfrm>
                    <a:prstGeom prst="rect">
                      <a:avLst/>
                    </a:prstGeom>
                    <a:noFill/>
                    <a:ln>
                      <a:noFill/>
                    </a:ln>
                  </pic:spPr>
                </pic:pic>
              </a:graphicData>
            </a:graphic>
          </wp:inline>
        </w:drawing>
      </w:r>
      <w:r>
        <w:rPr>
          <w:rFonts w:ascii="Arial" w:cs="Arial" w:eastAsia="Arial" w:hAnsi="Arial"/>
          <w:sz w:val="16"/>
          <w:szCs w:val="16"/>
          <w:color w:val="auto"/>
        </w:rPr>
        <w:t xml:space="preserve"> 20% threshold for shareholders able to call a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738505</wp:posOffset>
            </wp:positionV>
            <wp:extent cx="925830" cy="2654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925830" cy="265430"/>
                    </a:xfrm>
                    <a:prstGeom prst="rect">
                      <a:avLst/>
                    </a:prstGeom>
                    <a:noFill/>
                  </pic:spPr>
                </pic:pic>
              </a:graphicData>
            </a:graphic>
          </wp:anchor>
        </w:drawing>
      </w:r>
    </w:p>
    <w:p>
      <w:pPr>
        <w:spacing w:after="0" w:line="674" w:lineRule="exact"/>
        <w:rPr>
          <w:sz w:val="20"/>
          <w:szCs w:val="20"/>
          <w:color w:val="auto"/>
        </w:rPr>
      </w:pPr>
    </w:p>
    <w:p>
      <w:pPr>
        <w:sectPr>
          <w:pgSz w:w="11900" w:h="16838" w:orient="portrait"/>
          <w:cols w:equalWidth="0" w:num="2">
            <w:col w:w="6680" w:space="720"/>
            <w:col w:w="3840"/>
          </w:cols>
          <w:pgMar w:left="320" w:top="25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b w:val="1"/>
                <w:bCs w:val="1"/>
                <w:color w:val="FF7F32"/>
              </w:rPr>
              <w:t xml:space="preserve">2026 </w:t>
            </w:r>
            <w:r>
              <w:rPr>
                <w:rFonts w:ascii="Arial" w:cs="Arial" w:eastAsia="Arial" w:hAnsi="Arial"/>
                <w:sz w:val="13"/>
                <w:szCs w:val="13"/>
                <w:color w:val="000000"/>
              </w:rPr>
              <w:t>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auto"/>
              </w:rPr>
              <w:t>11</w:t>
            </w:r>
          </w:p>
        </w:tc>
      </w:tr>
      <w:tr>
        <w:trPr>
          <w:trHeight w:val="420"/>
        </w:trPr>
        <w:tc>
          <w:tcPr>
            <w:tcW w:w="618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3"/>
          <w:szCs w:val="13"/>
          <w:color w:val="202945"/>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601980</wp:posOffset>
            </wp:positionV>
            <wp:extent cx="7132320" cy="1036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03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202945"/>
        </w:rPr>
        <w:t>Proposal 2</w:t>
      </w:r>
    </w:p>
    <w:p>
      <w:pPr>
        <w:spacing w:after="0" w:line="75" w:lineRule="exact"/>
        <w:rPr>
          <w:sz w:val="20"/>
          <w:szCs w:val="20"/>
          <w:color w:val="auto"/>
        </w:rPr>
      </w:pPr>
    </w:p>
    <w:p>
      <w:pPr>
        <w:ind w:left="220" w:right="1240"/>
        <w:spacing w:after="0" w:line="287" w:lineRule="auto"/>
        <w:rPr>
          <w:sz w:val="20"/>
          <w:szCs w:val="20"/>
          <w:color w:val="auto"/>
        </w:rPr>
      </w:pPr>
      <w:r>
        <w:rPr>
          <w:rFonts w:ascii="Arial" w:cs="Arial" w:eastAsia="Arial" w:hAnsi="Arial"/>
          <w:sz w:val="36"/>
          <w:szCs w:val="36"/>
          <w:color w:val="202945"/>
        </w:rPr>
        <w:t>Advisory Vote to Approve Compensation of Named Executive Officers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9300" w:type="dxa"/>
            <w:vAlign w:val="bottom"/>
            <w:shd w:val="clear" w:color="auto" w:fill="202945"/>
          </w:tcPr>
          <w:p>
            <w:pPr>
              <w:ind w:left="220"/>
              <w:spacing w:after="0"/>
              <w:rPr>
                <w:sz w:val="20"/>
                <w:szCs w:val="20"/>
                <w:color w:val="auto"/>
              </w:rPr>
            </w:pPr>
            <w:r>
              <w:rPr>
                <w:rFonts w:ascii="Arial" w:cs="Arial" w:eastAsia="Arial" w:hAnsi="Arial"/>
                <w:sz w:val="18"/>
                <w:szCs w:val="18"/>
                <w:color w:val="FFFFFF"/>
              </w:rPr>
              <w:t xml:space="preserve">The Board recommends a vote </w:t>
            </w:r>
            <w:r>
              <w:rPr>
                <w:rFonts w:ascii="Arial" w:cs="Arial" w:eastAsia="Arial" w:hAnsi="Arial"/>
                <w:sz w:val="18"/>
                <w:szCs w:val="18"/>
                <w:b w:val="1"/>
                <w:bCs w:val="1"/>
                <w:color w:val="FF7F32"/>
              </w:rPr>
              <w:t>“FOR”</w:t>
            </w:r>
            <w:r>
              <w:rPr>
                <w:rFonts w:ascii="Arial" w:cs="Arial" w:eastAsia="Arial" w:hAnsi="Arial"/>
                <w:sz w:val="18"/>
                <w:szCs w:val="18"/>
                <w:color w:val="FFFFFF"/>
              </w:rPr>
              <w:t xml:space="preserve"> this proposal.</w:t>
            </w:r>
          </w:p>
        </w:tc>
        <w:tc>
          <w:tcPr>
            <w:tcW w:w="1940" w:type="dxa"/>
            <w:vAlign w:val="bottom"/>
            <w:shd w:val="clear" w:color="auto" w:fill="202945"/>
          </w:tcPr>
          <w:p>
            <w:pPr>
              <w:ind w:left="60"/>
              <w:spacing w:after="0"/>
              <w:rPr>
                <w:sz w:val="20"/>
                <w:szCs w:val="20"/>
                <w:color w:val="auto"/>
              </w:rPr>
            </w:pPr>
            <w:r>
              <w:rPr>
                <w:rFonts w:ascii="Arial" w:cs="Arial" w:eastAsia="Arial" w:hAnsi="Arial"/>
                <w:sz w:val="17"/>
                <w:szCs w:val="17"/>
                <w:color w:val="FFFFFF"/>
              </w:rPr>
              <w:t>See page 47</w:t>
            </w:r>
          </w:p>
        </w:tc>
      </w:tr>
      <w:tr>
        <w:trPr>
          <w:trHeight w:val="69"/>
        </w:trPr>
        <w:tc>
          <w:tcPr>
            <w:tcW w:w="9300" w:type="dxa"/>
            <w:vAlign w:val="bottom"/>
            <w:shd w:val="clear" w:color="auto" w:fill="202945"/>
          </w:tcPr>
          <w:p>
            <w:pPr>
              <w:spacing w:after="0"/>
              <w:rPr>
                <w:sz w:val="6"/>
                <w:szCs w:val="6"/>
                <w:color w:val="auto"/>
              </w:rPr>
            </w:pPr>
          </w:p>
        </w:tc>
        <w:tc>
          <w:tcPr>
            <w:tcW w:w="1940" w:type="dxa"/>
            <w:vAlign w:val="bottom"/>
            <w:shd w:val="clear" w:color="auto" w:fill="202945"/>
          </w:tcPr>
          <w:p>
            <w:pPr>
              <w:spacing w:after="0"/>
              <w:rPr>
                <w:sz w:val="6"/>
                <w:szCs w:val="6"/>
                <w:color w:val="auto"/>
              </w:rPr>
            </w:pPr>
          </w:p>
        </w:tc>
      </w:tr>
    </w:tbl>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32"/>
          <w:szCs w:val="32"/>
          <w:b w:val="1"/>
          <w:bCs w:val="1"/>
          <w:color w:val="202945"/>
        </w:rPr>
        <w:t>Elements of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2057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28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FFFFFF"/>
        </w:rPr>
        <w:t>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15773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577340"/>
                    </a:xfrm>
                    <a:prstGeom prst="rect">
                      <a:avLst/>
                    </a:prstGeom>
                    <a:noFill/>
                  </pic:spPr>
                </pic:pic>
              </a:graphicData>
            </a:graphic>
          </wp:anchor>
        </w:drawing>
      </w:r>
    </w:p>
    <w:p>
      <w:pPr>
        <w:spacing w:after="0" w:line="237"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Key Characteristics</w:t>
      </w:r>
    </w:p>
    <w:p>
      <w:pPr>
        <w:spacing w:after="0" w:line="167" w:lineRule="exact"/>
        <w:rPr>
          <w:sz w:val="20"/>
          <w:szCs w:val="20"/>
          <w:color w:val="auto"/>
        </w:rPr>
      </w:pPr>
    </w:p>
    <w:p>
      <w:pPr>
        <w:ind w:left="460" w:hanging="174"/>
        <w:spacing w:after="0"/>
        <w:tabs>
          <w:tab w:leader="none" w:pos="460" w:val="left"/>
        </w:tabs>
        <w:numPr>
          <w:ilvl w:val="0"/>
          <w:numId w:val="19"/>
        </w:numPr>
        <w:rPr>
          <w:rFonts w:ascii="Arial" w:cs="Arial" w:eastAsia="Arial" w:hAnsi="Arial"/>
          <w:sz w:val="16"/>
          <w:szCs w:val="16"/>
          <w:b w:val="1"/>
          <w:bCs w:val="1"/>
          <w:color w:val="FF7F32"/>
        </w:rPr>
      </w:pPr>
      <w:r>
        <w:rPr>
          <w:rFonts w:ascii="Arial" w:cs="Arial" w:eastAsia="Arial" w:hAnsi="Arial"/>
          <w:sz w:val="16"/>
          <w:szCs w:val="16"/>
          <w:color w:val="auto"/>
        </w:rPr>
        <w:t>Fixed compensation component payable in cash. Reviewed annually and adjusted when appropriate.</w:t>
      </w:r>
    </w:p>
    <w:p>
      <w:pPr>
        <w:spacing w:after="0" w:line="140"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Why We Pay this Element</w:t>
      </w:r>
    </w:p>
    <w:p>
      <w:pPr>
        <w:spacing w:after="0" w:line="127" w:lineRule="exact"/>
        <w:rPr>
          <w:sz w:val="20"/>
          <w:szCs w:val="20"/>
          <w:color w:val="auto"/>
        </w:rPr>
      </w:pPr>
    </w:p>
    <w:p>
      <w:pPr>
        <w:ind w:left="460" w:hanging="174"/>
        <w:spacing w:after="0"/>
        <w:tabs>
          <w:tab w:leader="none" w:pos="460" w:val="left"/>
        </w:tabs>
        <w:numPr>
          <w:ilvl w:val="0"/>
          <w:numId w:val="20"/>
        </w:numPr>
        <w:rPr>
          <w:rFonts w:ascii="Arial" w:cs="Arial" w:eastAsia="Arial" w:hAnsi="Arial"/>
          <w:sz w:val="16"/>
          <w:szCs w:val="16"/>
          <w:b w:val="1"/>
          <w:bCs w:val="1"/>
          <w:color w:val="FF7F32"/>
        </w:rPr>
      </w:pPr>
      <w:r>
        <w:rPr>
          <w:rFonts w:ascii="Arial" w:cs="Arial" w:eastAsia="Arial" w:hAnsi="Arial"/>
          <w:sz w:val="16"/>
          <w:szCs w:val="16"/>
          <w:color w:val="auto"/>
        </w:rPr>
        <w:t>Provide a base level of competitive cash compensation for executive talent.</w:t>
      </w:r>
    </w:p>
    <w:p>
      <w:pPr>
        <w:spacing w:after="0" w:line="140"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How We Determine</w:t>
      </w:r>
    </w:p>
    <w:p>
      <w:pPr>
        <w:spacing w:after="0" w:line="127" w:lineRule="exact"/>
        <w:rPr>
          <w:sz w:val="20"/>
          <w:szCs w:val="20"/>
          <w:color w:val="auto"/>
        </w:rPr>
      </w:pPr>
    </w:p>
    <w:p>
      <w:pPr>
        <w:ind w:left="460" w:hanging="174"/>
        <w:spacing w:after="0"/>
        <w:tabs>
          <w:tab w:leader="none" w:pos="460" w:val="left"/>
        </w:tabs>
        <w:numPr>
          <w:ilvl w:val="0"/>
          <w:numId w:val="21"/>
        </w:numPr>
        <w:rPr>
          <w:rFonts w:ascii="Arial" w:cs="Arial" w:eastAsia="Arial" w:hAnsi="Arial"/>
          <w:sz w:val="16"/>
          <w:szCs w:val="16"/>
          <w:b w:val="1"/>
          <w:bCs w:val="1"/>
          <w:color w:val="FF7F32"/>
        </w:rPr>
      </w:pPr>
      <w:r>
        <w:rPr>
          <w:rFonts w:ascii="Arial" w:cs="Arial" w:eastAsia="Arial" w:hAnsi="Arial"/>
          <w:sz w:val="16"/>
          <w:szCs w:val="16"/>
          <w:color w:val="auto"/>
        </w:rPr>
        <w:t>Experience, job scope, and individual performance.</w:t>
      </w:r>
    </w:p>
    <w:p>
      <w:pPr>
        <w:spacing w:after="0" w:line="140" w:lineRule="exact"/>
        <w:rPr>
          <w:rFonts w:ascii="Arial" w:cs="Arial" w:eastAsia="Arial" w:hAnsi="Arial"/>
          <w:sz w:val="16"/>
          <w:szCs w:val="16"/>
          <w:b w:val="1"/>
          <w:bCs w:val="1"/>
          <w:color w:val="FF7F32"/>
        </w:rPr>
      </w:pPr>
    </w:p>
    <w:p>
      <w:pPr>
        <w:ind w:left="460" w:hanging="174"/>
        <w:spacing w:after="0"/>
        <w:tabs>
          <w:tab w:leader="none" w:pos="460" w:val="left"/>
        </w:tabs>
        <w:numPr>
          <w:ilvl w:val="0"/>
          <w:numId w:val="21"/>
        </w:numPr>
        <w:rPr>
          <w:rFonts w:ascii="Arial" w:cs="Arial" w:eastAsia="Arial" w:hAnsi="Arial"/>
          <w:sz w:val="16"/>
          <w:szCs w:val="16"/>
          <w:b w:val="1"/>
          <w:bCs w:val="1"/>
          <w:color w:val="FF7F32"/>
        </w:rPr>
      </w:pPr>
      <w:r>
        <w:rPr>
          <w:rFonts w:ascii="Arial" w:cs="Arial" w:eastAsia="Arial" w:hAnsi="Arial"/>
          <w:sz w:val="16"/>
          <w:szCs w:val="16"/>
          <w:color w:val="auto"/>
        </w:rPr>
        <w:t>Market and peer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2057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358"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FFFFFF"/>
        </w:rPr>
        <w:t>Annual Bonus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17487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48790"/>
                    </a:xfrm>
                    <a:prstGeom prst="rect">
                      <a:avLst/>
                    </a:prstGeom>
                    <a:noFill/>
                  </pic:spPr>
                </pic:pic>
              </a:graphicData>
            </a:graphic>
          </wp:anchor>
        </w:drawing>
      </w:r>
    </w:p>
    <w:p>
      <w:pPr>
        <w:spacing w:after="0" w:line="223"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Key Characteristics</w:t>
      </w:r>
    </w:p>
    <w:p>
      <w:pPr>
        <w:spacing w:after="0" w:line="154" w:lineRule="exact"/>
        <w:rPr>
          <w:sz w:val="20"/>
          <w:szCs w:val="20"/>
          <w:color w:val="auto"/>
        </w:rPr>
      </w:pPr>
    </w:p>
    <w:p>
      <w:pPr>
        <w:ind w:left="460" w:hanging="174"/>
        <w:spacing w:after="0"/>
        <w:tabs>
          <w:tab w:leader="none" w:pos="460" w:val="left"/>
        </w:tabs>
        <w:numPr>
          <w:ilvl w:val="0"/>
          <w:numId w:val="22"/>
        </w:numPr>
        <w:rPr>
          <w:rFonts w:ascii="Arial" w:cs="Arial" w:eastAsia="Arial" w:hAnsi="Arial"/>
          <w:sz w:val="16"/>
          <w:szCs w:val="16"/>
          <w:b w:val="1"/>
          <w:bCs w:val="1"/>
          <w:color w:val="FF7F32"/>
        </w:rPr>
      </w:pPr>
      <w:r>
        <w:rPr>
          <w:rFonts w:ascii="Arial" w:cs="Arial" w:eastAsia="Arial" w:hAnsi="Arial"/>
          <w:sz w:val="16"/>
          <w:szCs w:val="16"/>
          <w:color w:val="auto"/>
        </w:rPr>
        <w:t>Variable compensation component payable in cash based on performance as compared to Company and/or individual performance goals.</w:t>
      </w:r>
    </w:p>
    <w:p>
      <w:pPr>
        <w:spacing w:after="0" w:line="200" w:lineRule="exact"/>
        <w:rPr>
          <w:sz w:val="20"/>
          <w:szCs w:val="20"/>
          <w:color w:val="auto"/>
        </w:rPr>
      </w:pPr>
    </w:p>
    <w:p>
      <w:pPr>
        <w:spacing w:after="0" w:line="278" w:lineRule="exact"/>
        <w:rPr>
          <w:sz w:val="20"/>
          <w:szCs w:val="20"/>
          <w:color w:val="auto"/>
        </w:rPr>
      </w:pPr>
    </w:p>
    <w:p>
      <w:pPr>
        <w:ind w:left="460" w:hanging="174"/>
        <w:spacing w:after="0"/>
        <w:tabs>
          <w:tab w:leader="none" w:pos="460" w:val="left"/>
        </w:tabs>
        <w:numPr>
          <w:ilvl w:val="0"/>
          <w:numId w:val="23"/>
        </w:numPr>
        <w:rPr>
          <w:rFonts w:ascii="Arial" w:cs="Arial" w:eastAsia="Arial" w:hAnsi="Arial"/>
          <w:sz w:val="16"/>
          <w:szCs w:val="16"/>
          <w:b w:val="1"/>
          <w:bCs w:val="1"/>
          <w:color w:val="FF7F32"/>
        </w:rPr>
      </w:pPr>
      <w:r>
        <w:rPr>
          <w:rFonts w:ascii="Arial" w:cs="Arial" w:eastAsia="Arial" w:hAnsi="Arial"/>
          <w:sz w:val="16"/>
          <w:szCs w:val="16"/>
          <w:color w:val="auto"/>
        </w:rPr>
        <w:t>Motivate and reward executives for performance on key operational, financial, and personal measures during the year.</w:t>
      </w:r>
    </w:p>
    <w:p>
      <w:pPr>
        <w:spacing w:after="0" w:line="200" w:lineRule="exact"/>
        <w:rPr>
          <w:sz w:val="20"/>
          <w:szCs w:val="20"/>
          <w:color w:val="auto"/>
        </w:rPr>
      </w:pPr>
    </w:p>
    <w:p>
      <w:pPr>
        <w:spacing w:after="0" w:line="291" w:lineRule="exact"/>
        <w:rPr>
          <w:sz w:val="20"/>
          <w:szCs w:val="20"/>
          <w:color w:val="auto"/>
        </w:rPr>
      </w:pPr>
    </w:p>
    <w:p>
      <w:pPr>
        <w:ind w:left="480" w:right="560" w:hanging="194"/>
        <w:spacing w:after="0" w:line="321" w:lineRule="auto"/>
        <w:tabs>
          <w:tab w:leader="none" w:pos="464" w:val="left"/>
        </w:tabs>
        <w:numPr>
          <w:ilvl w:val="0"/>
          <w:numId w:val="24"/>
        </w:numPr>
        <w:rPr>
          <w:rFonts w:ascii="Arial" w:cs="Arial" w:eastAsia="Arial" w:hAnsi="Arial"/>
          <w:sz w:val="16"/>
          <w:szCs w:val="16"/>
          <w:b w:val="1"/>
          <w:bCs w:val="1"/>
          <w:color w:val="FF7F32"/>
        </w:rPr>
      </w:pPr>
      <w:r>
        <w:rPr>
          <w:rFonts w:ascii="Arial" w:cs="Arial" w:eastAsia="Arial" w:hAnsi="Arial"/>
          <w:sz w:val="16"/>
          <w:szCs w:val="16"/>
          <w:color w:val="auto"/>
        </w:rPr>
        <w:t>Organizational and/or individual performance. Discretionary bonuses are based on various factors, including past performance. We also review market and peer data in making bonus determinations.</w:t>
      </w:r>
    </w:p>
    <w:p>
      <w:pPr>
        <w:spacing w:after="0" w:line="61" w:lineRule="exact"/>
        <w:rPr>
          <w:rFonts w:ascii="Arial" w:cs="Arial" w:eastAsia="Arial" w:hAnsi="Arial"/>
          <w:sz w:val="16"/>
          <w:szCs w:val="16"/>
          <w:b w:val="1"/>
          <w:bCs w:val="1"/>
          <w:color w:val="FF7F32"/>
        </w:rPr>
      </w:pPr>
    </w:p>
    <w:p>
      <w:pPr>
        <w:ind w:left="460" w:hanging="174"/>
        <w:spacing w:after="0"/>
        <w:tabs>
          <w:tab w:leader="none" w:pos="460" w:val="left"/>
        </w:tabs>
        <w:numPr>
          <w:ilvl w:val="0"/>
          <w:numId w:val="24"/>
        </w:numPr>
        <w:rPr>
          <w:rFonts w:ascii="Arial" w:cs="Arial" w:eastAsia="Arial" w:hAnsi="Arial"/>
          <w:sz w:val="16"/>
          <w:szCs w:val="16"/>
          <w:b w:val="1"/>
          <w:bCs w:val="1"/>
          <w:color w:val="FF7F32"/>
        </w:rPr>
      </w:pPr>
      <w:r>
        <w:rPr>
          <w:rFonts w:ascii="Arial" w:cs="Arial" w:eastAsia="Arial" w:hAnsi="Arial"/>
          <w:sz w:val="16"/>
          <w:szCs w:val="16"/>
          <w:b w:val="1"/>
          <w:bCs w:val="1"/>
          <w:color w:val="auto"/>
        </w:rPr>
        <w:t xml:space="preserve">2025 Financial Goals: </w:t>
      </w:r>
      <w:r>
        <w:rPr>
          <w:rFonts w:ascii="Arial" w:cs="Arial" w:eastAsia="Arial" w:hAnsi="Arial"/>
          <w:sz w:val="16"/>
          <w:szCs w:val="16"/>
          <w:color w:val="auto"/>
        </w:rPr>
        <w:t>Revenue, Adjusted EBITDA, Monthly Recurring Revenue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2057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358"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FFFFFF"/>
        </w:rPr>
        <w:t>Long-Term Incentive (LTI)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10115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011555"/>
                    </a:xfrm>
                    <a:prstGeom prst="rect">
                      <a:avLst/>
                    </a:prstGeom>
                    <a:noFill/>
                  </pic:spPr>
                </pic:pic>
              </a:graphicData>
            </a:graphic>
          </wp:anchor>
        </w:drawing>
      </w:r>
    </w:p>
    <w:p>
      <w:pPr>
        <w:spacing w:after="0" w:line="223" w:lineRule="exact"/>
        <w:rPr>
          <w:sz w:val="20"/>
          <w:szCs w:val="20"/>
          <w:color w:val="auto"/>
        </w:rPr>
      </w:pPr>
    </w:p>
    <w:p>
      <w:pPr>
        <w:ind w:left="460" w:hanging="174"/>
        <w:spacing w:after="0"/>
        <w:tabs>
          <w:tab w:leader="none" w:pos="460" w:val="left"/>
        </w:tabs>
        <w:numPr>
          <w:ilvl w:val="0"/>
          <w:numId w:val="25"/>
        </w:numPr>
        <w:rPr>
          <w:rFonts w:ascii="Arial" w:cs="Arial" w:eastAsia="Arial" w:hAnsi="Arial"/>
          <w:sz w:val="16"/>
          <w:szCs w:val="16"/>
          <w:b w:val="1"/>
          <w:bCs w:val="1"/>
          <w:color w:val="FF7F32"/>
        </w:rPr>
      </w:pPr>
      <w:r>
        <w:rPr>
          <w:rFonts w:ascii="Arial" w:cs="Arial" w:eastAsia="Arial" w:hAnsi="Arial"/>
          <w:sz w:val="16"/>
          <w:szCs w:val="16"/>
          <w:color w:val="auto"/>
        </w:rPr>
        <w:t>Compensation Committee is focused on emphasizing equity as part of NEO compensation mix.</w:t>
      </w:r>
    </w:p>
    <w:p>
      <w:pPr>
        <w:spacing w:after="0" w:line="126" w:lineRule="exact"/>
        <w:rPr>
          <w:rFonts w:ascii="Arial" w:cs="Arial" w:eastAsia="Arial" w:hAnsi="Arial"/>
          <w:sz w:val="16"/>
          <w:szCs w:val="16"/>
          <w:b w:val="1"/>
          <w:bCs w:val="1"/>
          <w:color w:val="FF7F32"/>
        </w:rPr>
      </w:pPr>
    </w:p>
    <w:p>
      <w:pPr>
        <w:ind w:left="480" w:right="640" w:hanging="194"/>
        <w:spacing w:after="0" w:line="339" w:lineRule="auto"/>
        <w:tabs>
          <w:tab w:leader="none" w:pos="464" w:val="left"/>
        </w:tabs>
        <w:numPr>
          <w:ilvl w:val="0"/>
          <w:numId w:val="25"/>
        </w:numPr>
        <w:rPr>
          <w:rFonts w:ascii="Arial" w:cs="Arial" w:eastAsia="Arial" w:hAnsi="Arial"/>
          <w:sz w:val="16"/>
          <w:szCs w:val="16"/>
          <w:b w:val="1"/>
          <w:bCs w:val="1"/>
          <w:color w:val="FF7F32"/>
        </w:rPr>
      </w:pPr>
      <w:r>
        <w:rPr>
          <w:rFonts w:ascii="Arial" w:cs="Arial" w:eastAsia="Arial" w:hAnsi="Arial"/>
          <w:sz w:val="16"/>
          <w:szCs w:val="16"/>
          <w:color w:val="auto"/>
        </w:rPr>
        <w:t>Equity awards to NEOs primarily reflect initial awards in connection with hires and promotions, as opposed to awards granted under a general annual program.</w:t>
      </w:r>
    </w:p>
    <w:p>
      <w:pPr>
        <w:spacing w:after="0" w:line="20" w:lineRule="exact"/>
        <w:rPr>
          <w:rFonts w:ascii="Arial" w:cs="Arial" w:eastAsia="Arial" w:hAnsi="Arial"/>
          <w:sz w:val="16"/>
          <w:szCs w:val="16"/>
          <w:b w:val="1"/>
          <w:bCs w:val="1"/>
          <w:color w:val="FF7F32"/>
        </w:rPr>
      </w:pPr>
    </w:p>
    <w:p>
      <w:pPr>
        <w:ind w:left="460" w:hanging="174"/>
        <w:spacing w:after="0"/>
        <w:tabs>
          <w:tab w:leader="none" w:pos="460" w:val="left"/>
        </w:tabs>
        <w:numPr>
          <w:ilvl w:val="0"/>
          <w:numId w:val="25"/>
        </w:numPr>
        <w:rPr>
          <w:rFonts w:ascii="Arial" w:cs="Arial" w:eastAsia="Arial" w:hAnsi="Arial"/>
          <w:sz w:val="16"/>
          <w:szCs w:val="16"/>
          <w:b w:val="1"/>
          <w:bCs w:val="1"/>
          <w:color w:val="FF7F32"/>
        </w:rPr>
      </w:pPr>
      <w:r>
        <w:rPr>
          <w:rFonts w:ascii="Arial" w:cs="Arial" w:eastAsia="Arial" w:hAnsi="Arial"/>
          <w:sz w:val="16"/>
          <w:szCs w:val="16"/>
          <w:color w:val="auto"/>
        </w:rPr>
        <w:t>Substantially all of CEO’s equity grants are performance-based.</w:t>
      </w:r>
    </w:p>
    <w:p>
      <w:pPr>
        <w:spacing w:after="0" w:line="126" w:lineRule="exact"/>
        <w:rPr>
          <w:rFonts w:ascii="Arial" w:cs="Arial" w:eastAsia="Arial" w:hAnsi="Arial"/>
          <w:sz w:val="16"/>
          <w:szCs w:val="16"/>
          <w:b w:val="1"/>
          <w:bCs w:val="1"/>
          <w:color w:val="FF7F32"/>
        </w:rPr>
      </w:pPr>
    </w:p>
    <w:p>
      <w:pPr>
        <w:ind w:left="460" w:hanging="174"/>
        <w:spacing w:after="0"/>
        <w:tabs>
          <w:tab w:leader="none" w:pos="460" w:val="left"/>
        </w:tabs>
        <w:numPr>
          <w:ilvl w:val="0"/>
          <w:numId w:val="25"/>
        </w:numPr>
        <w:rPr>
          <w:rFonts w:ascii="Arial" w:cs="Arial" w:eastAsia="Arial" w:hAnsi="Arial"/>
          <w:sz w:val="16"/>
          <w:szCs w:val="16"/>
          <w:b w:val="1"/>
          <w:bCs w:val="1"/>
          <w:color w:val="FF7F32"/>
        </w:rPr>
      </w:pPr>
      <w:r>
        <w:rPr>
          <w:rFonts w:ascii="Arial" w:cs="Arial" w:eastAsia="Arial" w:hAnsi="Arial"/>
          <w:sz w:val="16"/>
          <w:szCs w:val="16"/>
          <w:color w:val="auto"/>
        </w:rPr>
        <w:t>Outstanding Performance-Based Options Goals: Share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337820</wp:posOffset>
            </wp:positionV>
            <wp:extent cx="925830" cy="2660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925830"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auto"/>
        </w:rPr>
        <w:t>12</w:t>
      </w:r>
      <w:r>
        <w:rPr>
          <w:sz w:val="20"/>
          <w:szCs w:val="20"/>
          <w:color w:val="auto"/>
        </w:rPr>
        <w:tab/>
      </w:r>
      <w:r>
        <w:rPr>
          <w:rFonts w:ascii="Arial" w:cs="Arial" w:eastAsia="Arial" w:hAnsi="Arial"/>
          <w:sz w:val="12"/>
          <w:szCs w:val="12"/>
          <w:b w:val="1"/>
          <w:bCs w:val="1"/>
          <w:color w:val="FF7F32"/>
        </w:rPr>
        <w:t xml:space="preserve">2026 </w:t>
      </w:r>
      <w:r>
        <w:rPr>
          <w:rFonts w:ascii="Arial" w:cs="Arial" w:eastAsia="Arial" w:hAnsi="Arial"/>
          <w:sz w:val="12"/>
          <w:szCs w:val="12"/>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5" w:name="page16"/>
    <w:bookmarkEnd w:id="15"/>
    <w:p>
      <w:pPr>
        <w:spacing w:after="0"/>
        <w:rPr>
          <w:sz w:val="20"/>
          <w:szCs w:val="20"/>
          <w:color w:val="auto"/>
        </w:rPr>
      </w:pPr>
      <w:r>
        <w:rPr>
          <w:rFonts w:ascii="Arial" w:cs="Arial" w:eastAsia="Arial" w:hAnsi="Arial"/>
          <w:sz w:val="32"/>
          <w:szCs w:val="32"/>
          <w:b w:val="1"/>
          <w:bCs w:val="1"/>
          <w:color w:val="202945"/>
        </w:rPr>
        <w:t>Compensation Highlights</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Our compensation program for our executive officers features many commonly used “best practices”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3308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3308985"/>
                    </a:xfrm>
                    <a:prstGeom prst="rect">
                      <a:avLst/>
                    </a:prstGeom>
                    <a:noFill/>
                  </pic:spPr>
                </pic:pic>
              </a:graphicData>
            </a:graphic>
          </wp:anchor>
        </w:drawing>
      </w:r>
    </w:p>
    <w:p>
      <w:pPr>
        <w:sectPr>
          <w:pgSz w:w="11900" w:h="16838" w:orient="portrait"/>
          <w:cols w:equalWidth="0" w:num="1">
            <w:col w:w="11240"/>
          </w:cols>
          <w:pgMar w:left="320" w:top="1338" w:right="3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202945"/>
        </w:rPr>
        <w:t>What We Do</w:t>
      </w:r>
    </w:p>
    <w:p>
      <w:pPr>
        <w:spacing w:after="0" w:line="288" w:lineRule="exact"/>
        <w:rPr>
          <w:sz w:val="20"/>
          <w:szCs w:val="20"/>
          <w:color w:val="auto"/>
        </w:rPr>
      </w:pPr>
    </w:p>
    <w:p>
      <w:pPr>
        <w:ind w:left="480" w:right="140" w:hanging="187"/>
        <w:spacing w:after="0"/>
        <w:rPr>
          <w:sz w:val="20"/>
          <w:szCs w:val="20"/>
          <w:color w:val="auto"/>
        </w:rPr>
      </w:pPr>
      <w:r>
        <w:rPr>
          <w:sz w:val="1"/>
          <w:szCs w:val="1"/>
          <w:color w:val="auto"/>
        </w:rPr>
        <w:drawing>
          <wp:inline distT="0" distB="0" distL="0" distR="0">
            <wp:extent cx="77470" cy="59690"/>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470" cy="59690"/>
                    </a:xfrm>
                    <a:prstGeom prst="rect">
                      <a:avLst/>
                    </a:prstGeom>
                    <a:noFill/>
                    <a:ln>
                      <a:noFill/>
                    </a:ln>
                  </pic:spPr>
                </pic:pic>
              </a:graphicData>
            </a:graphic>
          </wp:inline>
        </w:drawing>
      </w:r>
      <w:r>
        <w:rPr>
          <w:rFonts w:ascii="Arial" w:cs="Arial" w:eastAsia="Arial" w:hAnsi="Arial"/>
          <w:sz w:val="16"/>
          <w:szCs w:val="16"/>
          <w:i w:val="1"/>
          <w:iCs w:val="1"/>
          <w:color w:val="auto"/>
        </w:rPr>
        <w:t xml:space="preserve"> Pay-for-performance </w:t>
      </w:r>
      <w:r>
        <w:rPr>
          <w:rFonts w:ascii="Arial" w:cs="Arial" w:eastAsia="Arial" w:hAnsi="Arial"/>
          <w:sz w:val="16"/>
          <w:szCs w:val="16"/>
          <w:color w:val="auto"/>
        </w:rPr>
        <w:t>- We seek to tie a significant amount of</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compensation to the achievement of performance goals and as equity-based awards to link our executives’ long-term incentives with our shareholders’ interests.</w:t>
      </w:r>
    </w:p>
    <w:p>
      <w:pPr>
        <w:spacing w:after="0" w:line="96" w:lineRule="exact"/>
        <w:rPr>
          <w:sz w:val="20"/>
          <w:szCs w:val="20"/>
          <w:color w:val="auto"/>
        </w:rPr>
      </w:pPr>
    </w:p>
    <w:p>
      <w:pPr>
        <w:jc w:val="center"/>
        <w:ind w:right="260"/>
        <w:spacing w:after="0"/>
        <w:rPr>
          <w:sz w:val="20"/>
          <w:szCs w:val="20"/>
          <w:color w:val="auto"/>
        </w:rPr>
      </w:pPr>
      <w:r>
        <w:rPr>
          <w:sz w:val="1"/>
          <w:szCs w:val="1"/>
          <w:color w:val="auto"/>
        </w:rPr>
        <w:drawing>
          <wp:inline distT="0" distB="0" distL="0" distR="0">
            <wp:extent cx="77470" cy="60325"/>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470" cy="60325"/>
                    </a:xfrm>
                    <a:prstGeom prst="rect">
                      <a:avLst/>
                    </a:prstGeom>
                    <a:noFill/>
                    <a:ln>
                      <a:noFill/>
                    </a:ln>
                  </pic:spPr>
                </pic:pic>
              </a:graphicData>
            </a:graphic>
          </wp:inline>
        </w:drawing>
      </w:r>
      <w:r>
        <w:rPr>
          <w:rFonts w:ascii="Arial" w:cs="Arial" w:eastAsia="Arial" w:hAnsi="Arial"/>
          <w:sz w:val="16"/>
          <w:szCs w:val="16"/>
          <w:i w:val="1"/>
          <w:iCs w:val="1"/>
          <w:color w:val="auto"/>
        </w:rPr>
        <w:t xml:space="preserve"> Stock ownership guidelines </w:t>
      </w:r>
      <w:r>
        <w:rPr>
          <w:rFonts w:ascii="Arial" w:cs="Arial" w:eastAsia="Arial" w:hAnsi="Arial"/>
          <w:sz w:val="16"/>
          <w:szCs w:val="16"/>
          <w:color w:val="auto"/>
        </w:rPr>
        <w:t>- We have significant ownership</w:t>
      </w:r>
    </w:p>
    <w:p>
      <w:pPr>
        <w:spacing w:after="0" w:line="73" w:lineRule="exact"/>
        <w:rPr>
          <w:sz w:val="20"/>
          <w:szCs w:val="20"/>
          <w:color w:val="auto"/>
        </w:rPr>
      </w:pPr>
    </w:p>
    <w:p>
      <w:pPr>
        <w:ind w:left="480" w:right="220"/>
        <w:spacing w:after="0" w:line="324" w:lineRule="auto"/>
        <w:rPr>
          <w:sz w:val="20"/>
          <w:szCs w:val="20"/>
          <w:color w:val="auto"/>
        </w:rPr>
      </w:pPr>
      <w:r>
        <w:rPr>
          <w:rFonts w:ascii="Arial" w:cs="Arial" w:eastAsia="Arial" w:hAnsi="Arial"/>
          <w:sz w:val="16"/>
          <w:szCs w:val="16"/>
          <w:color w:val="auto"/>
        </w:rPr>
        <w:t>guidelines. Our Chief Executive Officer is required to hold Common Stock with a value equal to a multiple of three times base salary and our Chief Financial Officer and other executive officers are required to hold Common Stock with a value equal to base salary (in each case subject to applicable grace periods for new executive officers).</w:t>
      </w:r>
    </w:p>
    <w:p>
      <w:pPr>
        <w:spacing w:after="0" w:line="49" w:lineRule="exact"/>
        <w:rPr>
          <w:sz w:val="20"/>
          <w:szCs w:val="20"/>
          <w:color w:val="auto"/>
        </w:rPr>
      </w:pPr>
    </w:p>
    <w:p>
      <w:pPr>
        <w:ind w:left="480" w:right="320" w:hanging="187"/>
        <w:spacing w:after="0"/>
        <w:rPr>
          <w:sz w:val="20"/>
          <w:szCs w:val="20"/>
          <w:color w:val="auto"/>
        </w:rPr>
      </w:pPr>
      <w:r>
        <w:rPr>
          <w:sz w:val="1"/>
          <w:szCs w:val="1"/>
          <w:color w:val="auto"/>
        </w:rPr>
        <w:drawing>
          <wp:inline distT="0" distB="0" distL="0" distR="0">
            <wp:extent cx="77470" cy="59690"/>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470" cy="59690"/>
                    </a:xfrm>
                    <a:prstGeom prst="rect">
                      <a:avLst/>
                    </a:prstGeom>
                    <a:noFill/>
                    <a:ln>
                      <a:noFill/>
                    </a:ln>
                  </pic:spPr>
                </pic:pic>
              </a:graphicData>
            </a:graphic>
          </wp:inline>
        </w:drawing>
      </w:r>
      <w:r>
        <w:rPr>
          <w:rFonts w:ascii="Arial" w:cs="Arial" w:eastAsia="Arial" w:hAnsi="Arial"/>
          <w:sz w:val="16"/>
          <w:szCs w:val="16"/>
          <w:i w:val="1"/>
          <w:iCs w:val="1"/>
          <w:color w:val="auto"/>
        </w:rPr>
        <w:t xml:space="preserve"> Clawback Policy </w:t>
      </w:r>
      <w:r>
        <w:rPr>
          <w:rFonts w:ascii="Arial" w:cs="Arial" w:eastAsia="Arial" w:hAnsi="Arial"/>
          <w:sz w:val="16"/>
          <w:szCs w:val="16"/>
          <w:color w:val="auto"/>
        </w:rPr>
        <w:t>- A clawback policy that complies with Section</w:t>
      </w:r>
      <w:r>
        <w:rPr>
          <w:rFonts w:ascii="Arial" w:cs="Arial" w:eastAsia="Arial" w:hAnsi="Arial"/>
          <w:sz w:val="16"/>
          <w:szCs w:val="16"/>
          <w:i w:val="1"/>
          <w:iCs w:val="1"/>
          <w:color w:val="auto"/>
        </w:rPr>
        <w:t xml:space="preserve"> </w:t>
      </w:r>
      <w:r>
        <w:rPr>
          <w:rFonts w:ascii="Arial" w:cs="Arial" w:eastAsia="Arial" w:hAnsi="Arial"/>
          <w:sz w:val="16"/>
          <w:szCs w:val="16"/>
          <w:color w:val="auto"/>
        </w:rPr>
        <w:t>10D of the Exchange Act and Nasdaq listing standards, which provides for the recovery of incentive compensation from the Company’s current and former Section 16 officers in certain situations.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523875</wp:posOffset>
            </wp:positionV>
            <wp:extent cx="7132320" cy="9004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202945"/>
        </w:rPr>
        <w:t>Proposal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b w:val="1"/>
          <w:bCs w:val="1"/>
          <w:color w:val="202945"/>
        </w:rPr>
        <w:t>What We Don’t Do</w:t>
      </w:r>
    </w:p>
    <w:p>
      <w:pPr>
        <w:spacing w:after="0" w:line="288" w:lineRule="exact"/>
        <w:rPr>
          <w:sz w:val="20"/>
          <w:szCs w:val="20"/>
          <w:color w:val="auto"/>
        </w:rPr>
      </w:pPr>
    </w:p>
    <w:p>
      <w:pPr>
        <w:jc w:val="both"/>
        <w:ind w:left="200" w:right="300" w:firstLine="22"/>
        <w:spacing w:after="0" w:line="336" w:lineRule="auto"/>
        <w:rPr>
          <w:sz w:val="20"/>
          <w:szCs w:val="20"/>
          <w:color w:val="auto"/>
        </w:rPr>
      </w:pPr>
      <w:r>
        <w:rPr>
          <w:rFonts w:ascii="Arial" w:cs="Arial" w:eastAsia="Arial" w:hAnsi="Arial"/>
          <w:sz w:val="16"/>
          <w:szCs w:val="16"/>
          <w:i w:val="1"/>
          <w:iCs w:val="1"/>
          <w:color w:val="auto"/>
        </w:rPr>
        <w:t xml:space="preserve">No Excise Tax Gross-Up Provisions </w:t>
      </w:r>
      <w:r>
        <w:rPr>
          <w:rFonts w:ascii="Arial" w:cs="Arial" w:eastAsia="Arial" w:hAnsi="Arial"/>
          <w:sz w:val="16"/>
          <w:szCs w:val="16"/>
          <w:color w:val="auto"/>
        </w:rPr>
        <w:t>- Our NEOs are not provided</w:t>
      </w:r>
      <w:r>
        <w:rPr>
          <w:rFonts w:ascii="Arial" w:cs="Arial" w:eastAsia="Arial" w:hAnsi="Arial"/>
          <w:sz w:val="16"/>
          <w:szCs w:val="16"/>
          <w:i w:val="1"/>
          <w:iCs w:val="1"/>
          <w:color w:val="auto"/>
        </w:rPr>
        <w:t xml:space="preserve"> </w:t>
      </w:r>
      <w:r>
        <w:rPr>
          <w:rFonts w:ascii="Arial" w:cs="Arial" w:eastAsia="Arial" w:hAnsi="Arial"/>
          <w:sz w:val="16"/>
          <w:szCs w:val="16"/>
          <w:color w:val="auto"/>
        </w:rPr>
        <w:t>with any excise tax gross-up provisions with respect to payments contingent upon a change of control.</w:t>
      </w:r>
    </w:p>
    <w:p>
      <w:pPr>
        <w:spacing w:after="0" w:line="24" w:lineRule="exact"/>
        <w:rPr>
          <w:sz w:val="20"/>
          <w:szCs w:val="20"/>
          <w:color w:val="auto"/>
        </w:rPr>
      </w:pPr>
    </w:p>
    <w:p>
      <w:pPr>
        <w:ind w:left="200" w:right="520" w:firstLine="22"/>
        <w:spacing w:after="0" w:line="336" w:lineRule="auto"/>
        <w:rPr>
          <w:sz w:val="20"/>
          <w:szCs w:val="20"/>
          <w:color w:val="auto"/>
        </w:rPr>
      </w:pPr>
      <w:r>
        <w:rPr>
          <w:rFonts w:ascii="Arial" w:cs="Arial" w:eastAsia="Arial" w:hAnsi="Arial"/>
          <w:sz w:val="16"/>
          <w:szCs w:val="16"/>
          <w:i w:val="1"/>
          <w:iCs w:val="1"/>
          <w:color w:val="auto"/>
        </w:rPr>
        <w:t xml:space="preserve">Limited perquisites for our executives </w:t>
      </w:r>
      <w:r>
        <w:rPr>
          <w:rFonts w:ascii="Arial" w:cs="Arial" w:eastAsia="Arial" w:hAnsi="Arial"/>
          <w:sz w:val="16"/>
          <w:szCs w:val="16"/>
          <w:color w:val="auto"/>
        </w:rPr>
        <w:t>- Perquisites are not a</w:t>
      </w:r>
      <w:r>
        <w:rPr>
          <w:rFonts w:ascii="Arial" w:cs="Arial" w:eastAsia="Arial" w:hAnsi="Arial"/>
          <w:sz w:val="16"/>
          <w:szCs w:val="16"/>
          <w:i w:val="1"/>
          <w:iCs w:val="1"/>
          <w:color w:val="auto"/>
        </w:rPr>
        <w:t xml:space="preserve"> </w:t>
      </w:r>
      <w:r>
        <w:rPr>
          <w:rFonts w:ascii="Arial" w:cs="Arial" w:eastAsia="Arial" w:hAnsi="Arial"/>
          <w:sz w:val="16"/>
          <w:szCs w:val="16"/>
          <w:color w:val="auto"/>
        </w:rPr>
        <w:t>significant portion of our executive officers’ compensation, and generally consist of health, welfare, and retirement benefits broadly available to our employees.</w:t>
      </w:r>
    </w:p>
    <w:p>
      <w:pPr>
        <w:spacing w:after="0" w:line="23" w:lineRule="exact"/>
        <w:rPr>
          <w:sz w:val="20"/>
          <w:szCs w:val="20"/>
          <w:color w:val="auto"/>
        </w:rPr>
      </w:pPr>
    </w:p>
    <w:p>
      <w:pPr>
        <w:ind w:left="200" w:right="260" w:firstLine="22"/>
        <w:spacing w:after="0" w:line="336" w:lineRule="auto"/>
        <w:rPr>
          <w:sz w:val="20"/>
          <w:szCs w:val="20"/>
          <w:color w:val="auto"/>
        </w:rPr>
      </w:pPr>
      <w:r>
        <w:rPr>
          <w:rFonts w:ascii="Arial" w:cs="Arial" w:eastAsia="Arial" w:hAnsi="Arial"/>
          <w:sz w:val="16"/>
          <w:szCs w:val="16"/>
          <w:i w:val="1"/>
          <w:iCs w:val="1"/>
          <w:color w:val="auto"/>
        </w:rPr>
        <w:t xml:space="preserve">No repricing of underwater options </w:t>
      </w:r>
      <w:r>
        <w:rPr>
          <w:rFonts w:ascii="Arial" w:cs="Arial" w:eastAsia="Arial" w:hAnsi="Arial"/>
          <w:sz w:val="16"/>
          <w:szCs w:val="16"/>
          <w:color w:val="auto"/>
        </w:rPr>
        <w:t>- Our equity incentive plans do</w:t>
      </w:r>
      <w:r>
        <w:rPr>
          <w:rFonts w:ascii="Arial" w:cs="Arial" w:eastAsia="Arial" w:hAnsi="Arial"/>
          <w:sz w:val="16"/>
          <w:szCs w:val="16"/>
          <w:i w:val="1"/>
          <w:iCs w:val="1"/>
          <w:color w:val="auto"/>
        </w:rPr>
        <w:t xml:space="preserve"> </w:t>
      </w:r>
      <w:r>
        <w:rPr>
          <w:rFonts w:ascii="Arial" w:cs="Arial" w:eastAsia="Arial" w:hAnsi="Arial"/>
          <w:sz w:val="16"/>
          <w:szCs w:val="16"/>
          <w:color w:val="auto"/>
        </w:rPr>
        <w:t>not permit repricing or the exchange of underwater stock options without shareholder approval.</w:t>
      </w:r>
    </w:p>
    <w:p>
      <w:pPr>
        <w:spacing w:after="0" w:line="2696" w:lineRule="exact"/>
        <w:rPr>
          <w:sz w:val="20"/>
          <w:szCs w:val="20"/>
          <w:color w:val="auto"/>
        </w:rPr>
      </w:pPr>
    </w:p>
    <w:p>
      <w:pPr>
        <w:sectPr>
          <w:pgSz w:w="11900" w:h="16838" w:orient="portrait"/>
          <w:cols w:equalWidth="0" w:num="2">
            <w:col w:w="5340" w:space="720"/>
            <w:col w:w="5180"/>
          </w:cols>
          <w:pgMar w:left="320" w:top="1338" w:right="339" w:bottom="1440" w:gutter="0" w:footer="0" w:header="0"/>
          <w:type w:val="continuous"/>
        </w:sectPr>
      </w:pPr>
    </w:p>
    <w:p>
      <w:pPr>
        <w:ind w:left="280" w:right="1240"/>
        <w:spacing w:after="0" w:line="233" w:lineRule="auto"/>
        <w:rPr>
          <w:sz w:val="20"/>
          <w:szCs w:val="20"/>
          <w:color w:val="auto"/>
        </w:rPr>
      </w:pPr>
      <w:r>
        <w:rPr>
          <w:rFonts w:ascii="Arial" w:cs="Arial" w:eastAsia="Arial" w:hAnsi="Arial"/>
          <w:sz w:val="36"/>
          <w:szCs w:val="36"/>
          <w:color w:val="202945"/>
        </w:rPr>
        <w:t>Ratification of Appointment of Independent Registered Public Accountants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9360" w:type="dxa"/>
            <w:vAlign w:val="bottom"/>
            <w:shd w:val="clear" w:color="auto" w:fill="202945"/>
          </w:tcPr>
          <w:p>
            <w:pPr>
              <w:ind w:left="280"/>
              <w:spacing w:after="0"/>
              <w:rPr>
                <w:sz w:val="20"/>
                <w:szCs w:val="20"/>
                <w:color w:val="auto"/>
              </w:rPr>
            </w:pPr>
            <w:r>
              <w:rPr>
                <w:rFonts w:ascii="Arial" w:cs="Arial" w:eastAsia="Arial" w:hAnsi="Arial"/>
                <w:sz w:val="18"/>
                <w:szCs w:val="18"/>
                <w:color w:val="FFFFFF"/>
              </w:rPr>
              <w:t xml:space="preserve">The Board recommends a vote </w:t>
            </w:r>
            <w:r>
              <w:rPr>
                <w:rFonts w:ascii="Arial" w:cs="Arial" w:eastAsia="Arial" w:hAnsi="Arial"/>
                <w:sz w:val="18"/>
                <w:szCs w:val="18"/>
                <w:b w:val="1"/>
                <w:bCs w:val="1"/>
                <w:color w:val="FF7F32"/>
              </w:rPr>
              <w:t>“FOR”</w:t>
            </w:r>
            <w:r>
              <w:rPr>
                <w:rFonts w:ascii="Arial" w:cs="Arial" w:eastAsia="Arial" w:hAnsi="Arial"/>
                <w:sz w:val="18"/>
                <w:szCs w:val="18"/>
                <w:color w:val="FFFFFF"/>
              </w:rPr>
              <w:t xml:space="preserve"> this proposal.</w:t>
            </w:r>
          </w:p>
        </w:tc>
        <w:tc>
          <w:tcPr>
            <w:tcW w:w="1880" w:type="dxa"/>
            <w:vAlign w:val="bottom"/>
            <w:shd w:val="clear" w:color="auto" w:fill="202945"/>
          </w:tcPr>
          <w:p>
            <w:pPr>
              <w:ind w:left="80"/>
              <w:spacing w:after="0"/>
              <w:rPr>
                <w:sz w:val="20"/>
                <w:szCs w:val="20"/>
                <w:color w:val="auto"/>
              </w:rPr>
            </w:pPr>
            <w:r>
              <w:rPr>
                <w:rFonts w:ascii="Arial" w:cs="Arial" w:eastAsia="Arial" w:hAnsi="Arial"/>
                <w:sz w:val="17"/>
                <w:szCs w:val="17"/>
                <w:color w:val="FFFFFF"/>
              </w:rPr>
              <w:t>See page 73</w:t>
            </w:r>
          </w:p>
        </w:tc>
      </w:tr>
      <w:tr>
        <w:trPr>
          <w:trHeight w:val="83"/>
        </w:trPr>
        <w:tc>
          <w:tcPr>
            <w:tcW w:w="9360" w:type="dxa"/>
            <w:vAlign w:val="bottom"/>
            <w:shd w:val="clear" w:color="auto" w:fill="202945"/>
          </w:tcPr>
          <w:p>
            <w:pPr>
              <w:spacing w:after="0"/>
              <w:rPr>
                <w:sz w:val="7"/>
                <w:szCs w:val="7"/>
                <w:color w:val="auto"/>
              </w:rPr>
            </w:pPr>
          </w:p>
        </w:tc>
        <w:tc>
          <w:tcPr>
            <w:tcW w:w="1880" w:type="dxa"/>
            <w:vAlign w:val="bottom"/>
            <w:shd w:val="clear" w:color="auto" w:fill="202945"/>
          </w:tcPr>
          <w:p>
            <w:pPr>
              <w:spacing w:after="0"/>
              <w:rPr>
                <w:sz w:val="7"/>
                <w:szCs w:val="7"/>
                <w:color w:val="auto"/>
              </w:rPr>
            </w:pPr>
          </w:p>
        </w:tc>
      </w:tr>
    </w:tbl>
    <w:p>
      <w:pPr>
        <w:spacing w:after="0" w:line="67" w:lineRule="exact"/>
        <w:rPr>
          <w:sz w:val="20"/>
          <w:szCs w:val="20"/>
          <w:color w:val="auto"/>
        </w:rPr>
      </w:pPr>
    </w:p>
    <w:p>
      <w:pPr>
        <w:ind w:right="60"/>
        <w:spacing w:after="0" w:line="234" w:lineRule="auto"/>
        <w:rPr>
          <w:sz w:val="20"/>
          <w:szCs w:val="20"/>
          <w:color w:val="auto"/>
        </w:rPr>
      </w:pPr>
      <w:r>
        <w:rPr>
          <w:rFonts w:ascii="Arial" w:cs="Arial" w:eastAsia="Arial" w:hAnsi="Arial"/>
          <w:sz w:val="16"/>
          <w:szCs w:val="16"/>
          <w:color w:val="auto"/>
        </w:rPr>
        <w:t>The Audit Committee appointed Deloitte to serve as the Company’s independent registered public accounting firm for fiscal year 2026. The shareholders will be asked to ratify this appointment at the Annual Meeting. A representative of Deloitte is expected to be present at the Annual Meeting and will have the opportunity to make a statement, if desired, and is expected to be available to respond to appropriate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344170</wp:posOffset>
            </wp:positionV>
            <wp:extent cx="925830" cy="2654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92583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auto"/>
        </w:rPr>
        <w:t>13</w:t>
      </w:r>
      <w:r>
        <w:rPr>
          <w:sz w:val="20"/>
          <w:szCs w:val="20"/>
          <w:color w:val="auto"/>
        </w:rPr>
        <w:tab/>
      </w:r>
      <w:r>
        <w:rPr>
          <w:rFonts w:ascii="Arial" w:cs="Arial" w:eastAsia="Arial" w:hAnsi="Arial"/>
          <w:sz w:val="12"/>
          <w:szCs w:val="12"/>
          <w:b w:val="1"/>
          <w:bCs w:val="1"/>
          <w:color w:val="FF7F32"/>
        </w:rPr>
        <w:t xml:space="preserve">2026 </w:t>
      </w:r>
      <w:r>
        <w:rPr>
          <w:rFonts w:ascii="Arial" w:cs="Arial" w:eastAsia="Arial" w:hAnsi="Arial"/>
          <w:sz w:val="12"/>
          <w:szCs w:val="12"/>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433705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8" w:right="339" w:bottom="1440" w:gutter="0" w:footer="0" w:header="0"/>
          <w:type w:val="continuous"/>
        </w:sectPr>
      </w:pPr>
    </w:p>
    <w:bookmarkStart w:id="16" w:name="page17"/>
    <w:bookmarkEnd w:id="16"/>
    <w:p>
      <w:pPr>
        <w:spacing w:after="0" w:line="1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78867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788670"/>
                    </a:xfrm>
                    <a:prstGeom prst="rect">
                      <a:avLst/>
                    </a:prstGeom>
                    <a:noFill/>
                  </pic:spPr>
                </pic:pic>
              </a:graphicData>
            </a:graphic>
          </wp:anchor>
        </w:drawing>
      </w:r>
    </w:p>
    <w:p>
      <w:pPr>
        <w:ind w:left="280"/>
        <w:spacing w:after="0"/>
        <w:rPr>
          <w:sz w:val="20"/>
          <w:szCs w:val="20"/>
          <w:color w:val="auto"/>
        </w:rPr>
      </w:pPr>
      <w:r>
        <w:rPr>
          <w:rFonts w:ascii="Arial" w:cs="Arial" w:eastAsia="Arial" w:hAnsi="Arial"/>
          <w:sz w:val="22"/>
          <w:szCs w:val="22"/>
          <w:b w:val="1"/>
          <w:bCs w:val="1"/>
          <w:color w:val="auto"/>
        </w:rPr>
        <w:t>Proposal 1</w:t>
      </w:r>
    </w:p>
    <w:p>
      <w:pPr>
        <w:spacing w:after="0" w:line="48" w:lineRule="exact"/>
        <w:rPr>
          <w:sz w:val="20"/>
          <w:szCs w:val="20"/>
          <w:color w:val="auto"/>
        </w:rPr>
      </w:pPr>
    </w:p>
    <w:p>
      <w:pPr>
        <w:ind w:left="280"/>
        <w:spacing w:after="0"/>
        <w:rPr>
          <w:sz w:val="20"/>
          <w:szCs w:val="20"/>
          <w:color w:val="auto"/>
        </w:rPr>
      </w:pPr>
      <w:r>
        <w:rPr>
          <w:rFonts w:ascii="Arial" w:cs="Arial" w:eastAsia="Arial" w:hAnsi="Arial"/>
          <w:sz w:val="36"/>
          <w:szCs w:val="36"/>
          <w:color w:val="auto"/>
        </w:rPr>
        <w:t>Election of Directors</w:t>
      </w:r>
    </w:p>
    <w:p>
      <w:pPr>
        <w:spacing w:after="0" w:line="200" w:lineRule="exact"/>
        <w:rPr>
          <w:sz w:val="20"/>
          <w:szCs w:val="20"/>
          <w:color w:val="auto"/>
        </w:rPr>
      </w:pPr>
    </w:p>
    <w:p>
      <w:pPr>
        <w:spacing w:after="0" w:line="341" w:lineRule="exact"/>
        <w:rPr>
          <w:sz w:val="20"/>
          <w:szCs w:val="20"/>
          <w:color w:val="auto"/>
        </w:rPr>
      </w:pPr>
    </w:p>
    <w:p>
      <w:pPr>
        <w:ind w:right="180"/>
        <w:spacing w:after="0" w:line="336" w:lineRule="auto"/>
        <w:rPr>
          <w:sz w:val="20"/>
          <w:szCs w:val="20"/>
          <w:color w:val="auto"/>
        </w:rPr>
      </w:pPr>
      <w:r>
        <w:rPr>
          <w:rFonts w:ascii="Arial" w:cs="Arial" w:eastAsia="Arial" w:hAnsi="Arial"/>
          <w:sz w:val="16"/>
          <w:szCs w:val="16"/>
          <w:color w:val="auto"/>
        </w:rPr>
        <w:t>In accordance with our Bylaws, the Board has fixed the number of directors at nine members. The following nominees are standing for re-election to the Board at the meeting: Douglas G. Bergeron, Lisa P. Baird, Ian Harris, Jacob Lamm, Michael K. Passilla, Ellen Richey, Anne M. Smalling, Ravi Venkatesan, and Shannon S. Warren. Directors will be elected to hold office until the 2027 Annual Meeting of Shareholders or until their successors have been duly elected and qualified.</w:t>
      </w:r>
    </w:p>
    <w:p>
      <w:pPr>
        <w:spacing w:after="0" w:line="63" w:lineRule="exact"/>
        <w:rPr>
          <w:sz w:val="20"/>
          <w:szCs w:val="20"/>
          <w:color w:val="auto"/>
        </w:rPr>
      </w:pPr>
    </w:p>
    <w:p>
      <w:pPr>
        <w:ind w:right="20"/>
        <w:spacing w:after="0" w:line="326" w:lineRule="auto"/>
        <w:rPr>
          <w:sz w:val="20"/>
          <w:szCs w:val="20"/>
          <w:color w:val="auto"/>
        </w:rPr>
      </w:pPr>
      <w:r>
        <w:rPr>
          <w:rFonts w:ascii="Arial" w:cs="Arial" w:eastAsia="Arial" w:hAnsi="Arial"/>
          <w:sz w:val="16"/>
          <w:szCs w:val="16"/>
          <w:color w:val="auto"/>
        </w:rPr>
        <w:t>There are no arrangements or understandings between any nominee and any other person pursuant to which he or she was or is to be selected as a director. None of the nominees has a family relationship with any other nominee or director or any executive officer of the Company or any of its subsidiaries. The Board has determined that all the nominees are independent within the meaning of the Nasdaq listing standards other than Mr. Venkatesan, who serves as the Company’s President and Chief Executive Officer (“CEO”). In addition, the Board has determined that Ms. Warren qualifies as an “audit committee financial expert” under SEC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6858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68580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9"/>
          <w:szCs w:val="29"/>
          <w:color w:val="auto"/>
        </w:rPr>
        <w:t xml:space="preserve">The Board unanimously recommends a vote </w:t>
      </w:r>
      <w:r>
        <w:rPr>
          <w:rFonts w:ascii="Arial" w:cs="Arial" w:eastAsia="Arial" w:hAnsi="Arial"/>
          <w:sz w:val="29"/>
          <w:szCs w:val="29"/>
          <w:b w:val="1"/>
          <w:bCs w:val="1"/>
          <w:color w:val="FF7F32"/>
        </w:rPr>
        <w:t>“FOR”</w:t>
      </w:r>
      <w:r>
        <w:rPr>
          <w:rFonts w:ascii="Arial" w:cs="Arial" w:eastAsia="Arial" w:hAnsi="Arial"/>
          <w:sz w:val="29"/>
          <w:szCs w:val="29"/>
          <w:color w:val="auto"/>
        </w:rPr>
        <w:t xml:space="preserve"> the nine nominees for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530225</wp:posOffset>
            </wp:positionV>
            <wp:extent cx="925830" cy="2654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92583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b w:val="1"/>
                <w:bCs w:val="1"/>
                <w:color w:val="FF7F32"/>
              </w:rPr>
              <w:t xml:space="preserve">2026 </w:t>
            </w:r>
            <w:r>
              <w:rPr>
                <w:rFonts w:ascii="Arial" w:cs="Arial" w:eastAsia="Arial" w:hAnsi="Arial"/>
                <w:sz w:val="13"/>
                <w:szCs w:val="13"/>
                <w:color w:val="000000"/>
              </w:rPr>
              <w:t>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auto"/>
              </w:rPr>
              <w:t>14</w:t>
            </w:r>
          </w:p>
        </w:tc>
      </w:tr>
      <w:tr>
        <w:trPr>
          <w:trHeight w:val="663"/>
        </w:trPr>
        <w:tc>
          <w:tcPr>
            <w:tcW w:w="618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jc w:val="right"/>
        <w:spacing w:after="0"/>
        <w:rPr>
          <w:sz w:val="20"/>
          <w:szCs w:val="20"/>
          <w:color w:val="auto"/>
        </w:rPr>
      </w:pPr>
      <w:r>
        <w:rPr>
          <w:rFonts w:ascii="Arial" w:cs="Arial" w:eastAsia="Arial" w:hAnsi="Arial"/>
          <w:sz w:val="13"/>
          <w:szCs w:val="13"/>
          <w:color w:val="202945"/>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32"/>
          <w:szCs w:val="32"/>
          <w:b w:val="1"/>
          <w:bCs w:val="1"/>
          <w:color w:val="202945"/>
        </w:rPr>
        <w:t>Nominees for Election as Director</w:t>
      </w:r>
    </w:p>
    <w:p>
      <w:pPr>
        <w:spacing w:after="0" w:line="269" w:lineRule="exact"/>
        <w:rPr>
          <w:sz w:val="20"/>
          <w:szCs w:val="20"/>
          <w:color w:val="auto"/>
        </w:rPr>
      </w:pPr>
    </w:p>
    <w:p>
      <w:pPr>
        <w:ind w:right="20"/>
        <w:spacing w:after="0" w:line="330" w:lineRule="auto"/>
        <w:rPr>
          <w:sz w:val="20"/>
          <w:szCs w:val="20"/>
          <w:color w:val="auto"/>
        </w:rPr>
      </w:pPr>
      <w:r>
        <w:rPr>
          <w:rFonts w:ascii="Arial" w:cs="Arial" w:eastAsia="Arial" w:hAnsi="Arial"/>
          <w:sz w:val="16"/>
          <w:szCs w:val="16"/>
          <w:color w:val="auto"/>
        </w:rPr>
        <w:t>Information on each of the nominees for the Board, including each nominee’s principal occupation and business experience for at least the last five years, the names of other publicly held companies for which he or she serves as a director or has served as a director in the last five years, and the experience, qualifications, attributes and skills considered among the most important by our Nominating and Corporate Governance Committee and Board in determining that the nominee should serve as a director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3437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343725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20"/>
        <w:spacing w:after="0"/>
        <w:rPr>
          <w:sz w:val="20"/>
          <w:szCs w:val="20"/>
          <w:color w:val="auto"/>
        </w:rPr>
      </w:pPr>
      <w:r>
        <w:rPr>
          <w:rFonts w:ascii="Arial" w:cs="Arial" w:eastAsia="Arial" w:hAnsi="Arial"/>
          <w:sz w:val="27"/>
          <w:szCs w:val="27"/>
          <w:b w:val="1"/>
          <w:bCs w:val="1"/>
          <w:color w:val="202945"/>
        </w:rPr>
        <w:t>Douglas G. Bergeron</w:t>
      </w:r>
    </w:p>
    <w:p>
      <w:pPr>
        <w:spacing w:after="0" w:line="18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Chairman of the Board</w:t>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64</w:t>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 xml:space="preserve">Director since </w:t>
      </w:r>
      <w:r>
        <w:rPr>
          <w:rFonts w:ascii="Arial" w:cs="Arial" w:eastAsia="Arial" w:hAnsi="Arial"/>
          <w:sz w:val="17"/>
          <w:szCs w:val="17"/>
          <w:color w:val="auto"/>
        </w:rPr>
        <w:t>April 2020</w:t>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Former CEO, VeriFone (2001-2013)</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Committees:</w:t>
      </w:r>
    </w:p>
    <w:p>
      <w:pPr>
        <w:spacing w:after="0" w:line="150" w:lineRule="exact"/>
        <w:rPr>
          <w:sz w:val="20"/>
          <w:szCs w:val="20"/>
          <w:color w:val="auto"/>
        </w:rPr>
      </w:pPr>
    </w:p>
    <w:p>
      <w:pPr>
        <w:ind w:left="400" w:hanging="179"/>
        <w:spacing w:after="0"/>
        <w:tabs>
          <w:tab w:leader="none" w:pos="400" w:val="left"/>
        </w:tabs>
        <w:numPr>
          <w:ilvl w:val="0"/>
          <w:numId w:val="26"/>
        </w:numPr>
        <w:rPr>
          <w:rFonts w:ascii="Arial" w:cs="Arial" w:eastAsia="Arial" w:hAnsi="Arial"/>
          <w:sz w:val="16"/>
          <w:szCs w:val="16"/>
          <w:b w:val="1"/>
          <w:bCs w:val="1"/>
          <w:color w:val="FF7F32"/>
        </w:rPr>
      </w:pPr>
      <w:r>
        <w:rPr>
          <w:rFonts w:ascii="Arial" w:cs="Arial" w:eastAsia="Arial" w:hAnsi="Arial"/>
          <w:sz w:val="16"/>
          <w:szCs w:val="16"/>
          <w:color w:val="auto"/>
        </w:rPr>
        <w:t>Compensation</w:t>
      </w:r>
    </w:p>
    <w:p>
      <w:pPr>
        <w:spacing w:after="0" w:line="126" w:lineRule="exact"/>
        <w:rPr>
          <w:rFonts w:ascii="Arial" w:cs="Arial" w:eastAsia="Arial" w:hAnsi="Arial"/>
          <w:sz w:val="16"/>
          <w:szCs w:val="16"/>
          <w:b w:val="1"/>
          <w:bCs w:val="1"/>
          <w:color w:val="FF7F32"/>
        </w:rPr>
      </w:pPr>
    </w:p>
    <w:p>
      <w:pPr>
        <w:ind w:left="400" w:hanging="179"/>
        <w:spacing w:after="0"/>
        <w:tabs>
          <w:tab w:leader="none" w:pos="400" w:val="left"/>
        </w:tabs>
        <w:numPr>
          <w:ilvl w:val="0"/>
          <w:numId w:val="26"/>
        </w:numPr>
        <w:rPr>
          <w:rFonts w:ascii="Arial" w:cs="Arial" w:eastAsia="Arial" w:hAnsi="Arial"/>
          <w:sz w:val="16"/>
          <w:szCs w:val="16"/>
          <w:b w:val="1"/>
          <w:bCs w:val="1"/>
          <w:color w:val="FF7F32"/>
        </w:rPr>
      </w:pPr>
      <w:r>
        <w:rPr>
          <w:rFonts w:ascii="Arial" w:cs="Arial" w:eastAsia="Arial" w:hAnsi="Arial"/>
          <w:sz w:val="16"/>
          <w:szCs w:val="16"/>
          <w:color w:val="auto"/>
        </w:rPr>
        <w:t>Finance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1" w:lineRule="exact"/>
        <w:rPr>
          <w:sz w:val="20"/>
          <w:szCs w:val="20"/>
          <w:color w:val="auto"/>
        </w:rPr>
      </w:pPr>
    </w:p>
    <w:p>
      <w:pPr>
        <w:ind w:right="140"/>
        <w:spacing w:after="0" w:line="328" w:lineRule="auto"/>
        <w:rPr>
          <w:sz w:val="20"/>
          <w:szCs w:val="20"/>
          <w:color w:val="auto"/>
        </w:rPr>
      </w:pPr>
      <w:r>
        <w:rPr>
          <w:rFonts w:ascii="Arial" w:cs="Arial" w:eastAsia="Arial" w:hAnsi="Arial"/>
          <w:sz w:val="16"/>
          <w:szCs w:val="16"/>
          <w:color w:val="auto"/>
        </w:rPr>
        <w:t>Mr. Bergeron is the founder and sole shareholder of DGB Investments, Inc., a diversified holding company of technology investments. In 2001, he led the acquisition of VeriFone Systems, Inc. (“Verifone”), a company that provides technology for electronic payment transactions at the point-of-sale, from Hewlett-Packard. In 2002, Mr. Bergeron, as Chief Executive Officer of Verifone, partnered with GTCR and grew VeriFone into a multi-national company with an enterprise value exceeding $4 billion by 2013, when he left the company.</w:t>
      </w:r>
    </w:p>
    <w:p>
      <w:pPr>
        <w:spacing w:after="0" w:line="71" w:lineRule="exact"/>
        <w:rPr>
          <w:sz w:val="20"/>
          <w:szCs w:val="20"/>
          <w:color w:val="auto"/>
        </w:rPr>
      </w:pPr>
    </w:p>
    <w:p>
      <w:pPr>
        <w:ind w:right="740"/>
        <w:spacing w:after="0" w:line="356" w:lineRule="auto"/>
        <w:rPr>
          <w:sz w:val="20"/>
          <w:szCs w:val="20"/>
          <w:color w:val="auto"/>
        </w:rPr>
      </w:pPr>
      <w:r>
        <w:rPr>
          <w:rFonts w:ascii="Arial" w:cs="Arial" w:eastAsia="Arial" w:hAnsi="Arial"/>
          <w:sz w:val="16"/>
          <w:szCs w:val="16"/>
          <w:color w:val="auto"/>
        </w:rPr>
        <w:t>Mr. Bergeron is on the Board of Overseers of the Hoover Institution at Stanford University and is a permanent member of the Council on Foreign Relations.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202945"/>
        </w:rPr>
        <w:t>Education</w:t>
      </w:r>
    </w:p>
    <w:p>
      <w:pPr>
        <w:spacing w:after="0" w:line="68" w:lineRule="exact"/>
        <w:rPr>
          <w:sz w:val="20"/>
          <w:szCs w:val="20"/>
          <w:color w:val="auto"/>
        </w:rPr>
      </w:pPr>
    </w:p>
    <w:p>
      <w:pPr>
        <w:ind w:right="100"/>
        <w:spacing w:after="0" w:line="336" w:lineRule="auto"/>
        <w:rPr>
          <w:sz w:val="20"/>
          <w:szCs w:val="20"/>
          <w:color w:val="auto"/>
        </w:rPr>
      </w:pPr>
      <w:r>
        <w:rPr>
          <w:rFonts w:ascii="Arial" w:cs="Arial" w:eastAsia="Arial" w:hAnsi="Arial"/>
          <w:sz w:val="16"/>
          <w:szCs w:val="16"/>
          <w:color w:val="auto"/>
        </w:rPr>
        <w:t>Mr. Bergeron holds an Honours B.A. in Computer Science from York University in Toronto and a Masters of Science in Systems Management from the University of Southern California in Los Angeles. In 2013, he was awarded an Honorary Doctorate of Laws (LLD) from York University.</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202945"/>
        </w:rPr>
        <w:t>Qualifications</w:t>
      </w:r>
    </w:p>
    <w:p>
      <w:pPr>
        <w:spacing w:after="0" w:line="68" w:lineRule="exact"/>
        <w:rPr>
          <w:sz w:val="20"/>
          <w:szCs w:val="20"/>
          <w:color w:val="auto"/>
        </w:rPr>
      </w:pPr>
    </w:p>
    <w:p>
      <w:pPr>
        <w:ind w:right="300"/>
        <w:spacing w:after="0" w:line="374" w:lineRule="auto"/>
        <w:rPr>
          <w:sz w:val="20"/>
          <w:szCs w:val="20"/>
          <w:color w:val="auto"/>
        </w:rPr>
      </w:pPr>
      <w:r>
        <w:rPr>
          <w:rFonts w:ascii="Arial" w:cs="Arial" w:eastAsia="Arial" w:hAnsi="Arial"/>
          <w:sz w:val="16"/>
          <w:szCs w:val="16"/>
          <w:color w:val="auto"/>
        </w:rPr>
        <w:t>We believe Mr. Bergeron’s extensive experience in the payments industry and his background in finance provide the requisite qualifications, skills, perspectives, and experiences to serve on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3487420</wp:posOffset>
            </wp:positionH>
            <wp:positionV relativeFrom="paragraph">
              <wp:posOffset>759460</wp:posOffset>
            </wp:positionV>
            <wp:extent cx="925830" cy="2654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925830" cy="265430"/>
                    </a:xfrm>
                    <a:prstGeom prst="rect">
                      <a:avLst/>
                    </a:prstGeom>
                    <a:noFill/>
                  </pic:spPr>
                </pic:pic>
              </a:graphicData>
            </a:graphic>
          </wp:anchor>
        </w:drawing>
      </w:r>
    </w:p>
    <w:p>
      <w:pPr>
        <w:spacing w:after="0" w:line="566" w:lineRule="exact"/>
        <w:rPr>
          <w:sz w:val="20"/>
          <w:szCs w:val="20"/>
          <w:color w:val="auto"/>
        </w:rPr>
      </w:pPr>
    </w:p>
    <w:p>
      <w:pPr>
        <w:sectPr>
          <w:pgSz w:w="11900" w:h="16838" w:orient="portrait"/>
          <w:cols w:equalWidth="0" w:num="2">
            <w:col w:w="2940" w:space="540"/>
            <w:col w:w="7760"/>
          </w:cols>
          <w:pgMar w:left="320" w:top="25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b w:val="1"/>
                <w:bCs w:val="1"/>
                <w:color w:val="FF7F32"/>
              </w:rPr>
              <w:t xml:space="preserve">2026 </w:t>
            </w:r>
            <w:r>
              <w:rPr>
                <w:rFonts w:ascii="Arial" w:cs="Arial" w:eastAsia="Arial" w:hAnsi="Arial"/>
                <w:sz w:val="13"/>
                <w:szCs w:val="13"/>
                <w:color w:val="000000"/>
              </w:rPr>
              <w:t>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auto"/>
              </w:rPr>
              <w:t>15</w:t>
            </w:r>
          </w:p>
        </w:tc>
      </w:tr>
      <w:tr>
        <w:trPr>
          <w:trHeight w:val="420"/>
        </w:trPr>
        <w:tc>
          <w:tcPr>
            <w:tcW w:w="618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3"/>
          <w:szCs w:val="13"/>
          <w:color w:val="202945"/>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27"/>
          <w:szCs w:val="27"/>
          <w:b w:val="1"/>
          <w:bCs w:val="1"/>
          <w:color w:val="202945"/>
        </w:rPr>
        <w:t>Lisa P. Baird</w:t>
      </w:r>
    </w:p>
    <w:p>
      <w:pPr>
        <w:spacing w:after="0" w:line="18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64</w:t>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 xml:space="preserve">Director since </w:t>
      </w:r>
      <w:r>
        <w:rPr>
          <w:rFonts w:ascii="Arial" w:cs="Arial" w:eastAsia="Arial" w:hAnsi="Arial"/>
          <w:sz w:val="17"/>
          <w:szCs w:val="17"/>
          <w:color w:val="auto"/>
        </w:rPr>
        <w:t>April 2020</w:t>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President and CEO, NextUp</w:t>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Committees:</w:t>
      </w:r>
    </w:p>
    <w:p>
      <w:pPr>
        <w:spacing w:after="0" w:line="150" w:lineRule="exact"/>
        <w:rPr>
          <w:sz w:val="20"/>
          <w:szCs w:val="20"/>
          <w:color w:val="auto"/>
        </w:rPr>
      </w:pPr>
    </w:p>
    <w:p>
      <w:pPr>
        <w:ind w:left="400" w:hanging="179"/>
        <w:spacing w:after="0"/>
        <w:tabs>
          <w:tab w:leader="none" w:pos="400" w:val="left"/>
        </w:tabs>
        <w:numPr>
          <w:ilvl w:val="0"/>
          <w:numId w:val="27"/>
        </w:numPr>
        <w:rPr>
          <w:rFonts w:ascii="Arial" w:cs="Arial" w:eastAsia="Arial" w:hAnsi="Arial"/>
          <w:sz w:val="16"/>
          <w:szCs w:val="16"/>
          <w:b w:val="1"/>
          <w:bCs w:val="1"/>
          <w:color w:val="FF7F32"/>
        </w:rPr>
      </w:pPr>
      <w:r>
        <w:rPr>
          <w:rFonts w:ascii="Arial" w:cs="Arial" w:eastAsia="Arial" w:hAnsi="Arial"/>
          <w:sz w:val="16"/>
          <w:szCs w:val="16"/>
          <w:color w:val="auto"/>
        </w:rPr>
        <w:t>Compensation</w:t>
      </w:r>
    </w:p>
    <w:p>
      <w:pPr>
        <w:spacing w:after="0" w:line="126" w:lineRule="exact"/>
        <w:rPr>
          <w:rFonts w:ascii="Arial" w:cs="Arial" w:eastAsia="Arial" w:hAnsi="Arial"/>
          <w:sz w:val="16"/>
          <w:szCs w:val="16"/>
          <w:b w:val="1"/>
          <w:bCs w:val="1"/>
          <w:color w:val="FF7F32"/>
        </w:rPr>
      </w:pPr>
    </w:p>
    <w:p>
      <w:pPr>
        <w:ind w:left="400" w:hanging="179"/>
        <w:spacing w:after="0"/>
        <w:tabs>
          <w:tab w:leader="none" w:pos="400" w:val="left"/>
        </w:tabs>
        <w:numPr>
          <w:ilvl w:val="0"/>
          <w:numId w:val="27"/>
        </w:numPr>
        <w:rPr>
          <w:rFonts w:ascii="Arial" w:cs="Arial" w:eastAsia="Arial" w:hAnsi="Arial"/>
          <w:sz w:val="16"/>
          <w:szCs w:val="16"/>
          <w:b w:val="1"/>
          <w:bCs w:val="1"/>
          <w:color w:val="FF7F32"/>
        </w:rPr>
      </w:pPr>
      <w:r>
        <w:rPr>
          <w:rFonts w:ascii="Arial" w:cs="Arial" w:eastAsia="Arial" w:hAnsi="Arial"/>
          <w:sz w:val="16"/>
          <w:szCs w:val="16"/>
          <w:color w:val="auto"/>
        </w:rPr>
        <w:t>NCG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972185</wp:posOffset>
            </wp:positionV>
            <wp:extent cx="925830" cy="2654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925830" cy="265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20"/>
        <w:spacing w:after="0" w:line="326" w:lineRule="auto"/>
        <w:rPr>
          <w:sz w:val="20"/>
          <w:szCs w:val="20"/>
          <w:color w:val="auto"/>
        </w:rPr>
      </w:pPr>
      <w:r>
        <w:rPr>
          <w:rFonts w:ascii="Arial" w:cs="Arial" w:eastAsia="Arial" w:hAnsi="Arial"/>
          <w:sz w:val="16"/>
          <w:szCs w:val="16"/>
          <w:color w:val="auto"/>
        </w:rPr>
        <w:t>Ms. Baird is the President and CEO of NextUp, the leading non-profit member organization providing learning programs and events for Fortune 500 companies. Ms. Baird has extensive experience as a senior executive responsible for sales, communications, marketing, and governance for top sports properties including the NFL, USOPC and NWSL and Fortune 50 companies including IBM, General Motors, Bristol Myers, Johnson &amp; Johnson and the Procter &amp; Gamble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-2204085</wp:posOffset>
            </wp:positionH>
            <wp:positionV relativeFrom="paragraph">
              <wp:posOffset>-1015365</wp:posOffset>
            </wp:positionV>
            <wp:extent cx="7132320" cy="34029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3402965"/>
                    </a:xfrm>
                    <a:prstGeom prst="rect">
                      <a:avLst/>
                    </a:prstGeom>
                    <a:noFill/>
                  </pic:spPr>
                </pic:pic>
              </a:graphicData>
            </a:graphic>
          </wp:anchor>
        </w:drawing>
      </w:r>
    </w:p>
    <w:p>
      <w:pPr>
        <w:spacing w:after="0" w:line="53" w:lineRule="exact"/>
        <w:rPr>
          <w:sz w:val="20"/>
          <w:szCs w:val="20"/>
          <w:color w:val="auto"/>
        </w:rPr>
      </w:pPr>
    </w:p>
    <w:p>
      <w:pPr>
        <w:ind w:right="120"/>
        <w:spacing w:after="0" w:line="336" w:lineRule="auto"/>
        <w:rPr>
          <w:sz w:val="20"/>
          <w:szCs w:val="20"/>
          <w:color w:val="auto"/>
        </w:rPr>
      </w:pPr>
      <w:r>
        <w:rPr>
          <w:rFonts w:ascii="Arial" w:cs="Arial" w:eastAsia="Arial" w:hAnsi="Arial"/>
          <w:sz w:val="16"/>
          <w:szCs w:val="16"/>
          <w:color w:val="auto"/>
        </w:rPr>
        <w:t>Ms. Baird currently serves as an independent director of Alset AI Ventures Inc. (TSXV: GPUS), and has served as an Independent Director on the Board of Fox Racing, which was acquired by Vista Outdoor Inc., Elite Sportswear, L.P., a global leader in sportswear, and Soundview Paper Company, LLC, a consumer paper products company.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Public Company Directorships</w:t>
      </w:r>
    </w:p>
    <w:p>
      <w:pPr>
        <w:spacing w:after="0" w:line="41" w:lineRule="exact"/>
        <w:rPr>
          <w:sz w:val="20"/>
          <w:szCs w:val="20"/>
          <w:color w:val="auto"/>
        </w:rPr>
      </w:pPr>
    </w:p>
    <w:p>
      <w:pPr>
        <w:ind w:left="180" w:hanging="172"/>
        <w:spacing w:after="0"/>
        <w:tabs>
          <w:tab w:leader="none" w:pos="180" w:val="left"/>
        </w:tabs>
        <w:numPr>
          <w:ilvl w:val="0"/>
          <w:numId w:val="28"/>
        </w:numPr>
        <w:rPr>
          <w:rFonts w:ascii="Arial" w:cs="Arial" w:eastAsia="Arial" w:hAnsi="Arial"/>
          <w:sz w:val="16"/>
          <w:szCs w:val="16"/>
          <w:b w:val="1"/>
          <w:bCs w:val="1"/>
          <w:color w:val="FF7F32"/>
        </w:rPr>
      </w:pPr>
      <w:r>
        <w:rPr>
          <w:rFonts w:ascii="Arial" w:cs="Arial" w:eastAsia="Arial" w:hAnsi="Arial"/>
          <w:sz w:val="16"/>
          <w:szCs w:val="16"/>
          <w:color w:val="auto"/>
        </w:rPr>
        <w:t>Alset AI Ventures Inc.</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202945"/>
        </w:rPr>
        <w:t>Education</w:t>
      </w:r>
    </w:p>
    <w:p>
      <w:pPr>
        <w:spacing w:after="0" w:line="68" w:lineRule="exact"/>
        <w:rPr>
          <w:sz w:val="20"/>
          <w:szCs w:val="20"/>
          <w:color w:val="auto"/>
        </w:rPr>
      </w:pPr>
    </w:p>
    <w:p>
      <w:pPr>
        <w:ind w:right="380"/>
        <w:spacing w:after="0" w:line="356" w:lineRule="auto"/>
        <w:rPr>
          <w:sz w:val="20"/>
          <w:szCs w:val="20"/>
          <w:color w:val="auto"/>
        </w:rPr>
      </w:pPr>
      <w:r>
        <w:rPr>
          <w:rFonts w:ascii="Arial" w:cs="Arial" w:eastAsia="Arial" w:hAnsi="Arial"/>
          <w:sz w:val="16"/>
          <w:szCs w:val="16"/>
          <w:color w:val="auto"/>
        </w:rPr>
        <w:t>Ms. Baird earned an A.B. in English from Penn State University (1982) where she also earned an MBA from The Smeal College of Business (1984).</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202945"/>
        </w:rPr>
        <w:t>Qualifications</w:t>
      </w:r>
    </w:p>
    <w:p>
      <w:pPr>
        <w:spacing w:after="0" w:line="68" w:lineRule="exact"/>
        <w:rPr>
          <w:sz w:val="20"/>
          <w:szCs w:val="20"/>
          <w:color w:val="auto"/>
        </w:rPr>
      </w:pPr>
    </w:p>
    <w:p>
      <w:pPr>
        <w:ind w:right="240"/>
        <w:spacing w:after="0" w:line="345" w:lineRule="auto"/>
        <w:rPr>
          <w:sz w:val="20"/>
          <w:szCs w:val="20"/>
          <w:color w:val="auto"/>
        </w:rPr>
      </w:pPr>
      <w:r>
        <w:rPr>
          <w:rFonts w:ascii="Arial" w:cs="Arial" w:eastAsia="Arial" w:hAnsi="Arial"/>
          <w:sz w:val="16"/>
          <w:szCs w:val="16"/>
          <w:color w:val="auto"/>
        </w:rPr>
        <w:t>We believe Ms. Baird’s strong communications, marketing, sales and operating experience and a proven record of creating, building, and leading well-known brands provides the requisite qualifications, skills, perspectives, and experiences to serve on our Board.</w:t>
      </w:r>
    </w:p>
    <w:p>
      <w:pPr>
        <w:spacing w:after="0" w:line="200" w:lineRule="exact"/>
        <w:rPr>
          <w:sz w:val="20"/>
          <w:szCs w:val="20"/>
          <w:color w:val="auto"/>
        </w:rPr>
      </w:pPr>
    </w:p>
    <w:p>
      <w:pPr>
        <w:sectPr>
          <w:pgSz w:w="11900" w:h="16838" w:orient="portrait"/>
          <w:cols w:equalWidth="0" w:num="2">
            <w:col w:w="2760" w:space="720"/>
            <w:col w:w="7740"/>
          </w:cols>
          <w:pgMar w:left="320" w:top="25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auto"/>
        </w:rPr>
        <w:t>16</w:t>
      </w:r>
      <w:r>
        <w:rPr>
          <w:sz w:val="20"/>
          <w:szCs w:val="20"/>
          <w:color w:val="auto"/>
        </w:rPr>
        <w:tab/>
      </w:r>
      <w:r>
        <w:rPr>
          <w:rFonts w:ascii="Arial" w:cs="Arial" w:eastAsia="Arial" w:hAnsi="Arial"/>
          <w:sz w:val="12"/>
          <w:szCs w:val="12"/>
          <w:b w:val="1"/>
          <w:bCs w:val="1"/>
          <w:color w:val="FF7F32"/>
        </w:rPr>
        <w:t xml:space="preserve">2026 </w:t>
      </w:r>
      <w:r>
        <w:rPr>
          <w:rFonts w:ascii="Arial" w:cs="Arial" w:eastAsia="Arial" w:hAnsi="Arial"/>
          <w:sz w:val="12"/>
          <w:szCs w:val="12"/>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7" w:right="359" w:bottom="1440" w:gutter="0" w:footer="0" w:header="0"/>
          <w:type w:val="continuous"/>
        </w:sectPr>
      </w:pPr>
    </w:p>
    <w:bookmarkStart w:id="19" w:name="page20"/>
    <w:bookmarkEnd w:id="1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20"/>
        <w:spacing w:after="0"/>
        <w:rPr>
          <w:sz w:val="20"/>
          <w:szCs w:val="20"/>
          <w:color w:val="auto"/>
        </w:rPr>
      </w:pPr>
      <w:r>
        <w:rPr>
          <w:rFonts w:ascii="Arial" w:cs="Arial" w:eastAsia="Arial" w:hAnsi="Arial"/>
          <w:sz w:val="27"/>
          <w:szCs w:val="27"/>
          <w:b w:val="1"/>
          <w:bCs w:val="1"/>
          <w:color w:val="202945"/>
        </w:rPr>
        <w:t>Ian Harris</w:t>
      </w:r>
    </w:p>
    <w:p>
      <w:pPr>
        <w:spacing w:after="0" w:line="196"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36</w:t>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 xml:space="preserve">Director since </w:t>
      </w:r>
      <w:r>
        <w:rPr>
          <w:rFonts w:ascii="Arial" w:cs="Arial" w:eastAsia="Arial" w:hAnsi="Arial"/>
          <w:sz w:val="17"/>
          <w:szCs w:val="17"/>
          <w:color w:val="auto"/>
        </w:rPr>
        <w:t>February 2022</w:t>
      </w:r>
    </w:p>
    <w:p>
      <w:pPr>
        <w:spacing w:after="0" w:line="169" w:lineRule="exact"/>
        <w:rPr>
          <w:sz w:val="20"/>
          <w:szCs w:val="20"/>
          <w:color w:val="auto"/>
        </w:rPr>
      </w:pPr>
    </w:p>
    <w:p>
      <w:pPr>
        <w:ind w:left="220"/>
        <w:spacing w:after="0" w:line="350" w:lineRule="auto"/>
        <w:rPr>
          <w:sz w:val="20"/>
          <w:szCs w:val="20"/>
          <w:color w:val="auto"/>
        </w:rPr>
      </w:pPr>
      <w:r>
        <w:rPr>
          <w:rFonts w:ascii="Arial" w:cs="Arial" w:eastAsia="Arial" w:hAnsi="Arial"/>
          <w:sz w:val="17"/>
          <w:szCs w:val="17"/>
          <w:color w:val="auto"/>
        </w:rPr>
        <w:t>Chief Financial Officer, Talkspace, Inc.</w:t>
      </w:r>
    </w:p>
    <w:p>
      <w:pPr>
        <w:spacing w:after="0" w:line="15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Committee:</w:t>
      </w:r>
    </w:p>
    <w:p>
      <w:pPr>
        <w:spacing w:after="0" w:line="150" w:lineRule="exact"/>
        <w:rPr>
          <w:sz w:val="20"/>
          <w:szCs w:val="20"/>
          <w:color w:val="auto"/>
        </w:rPr>
      </w:pPr>
    </w:p>
    <w:p>
      <w:pPr>
        <w:ind w:left="400" w:hanging="179"/>
        <w:spacing w:after="0"/>
        <w:tabs>
          <w:tab w:leader="none" w:pos="400" w:val="left"/>
        </w:tabs>
        <w:numPr>
          <w:ilvl w:val="0"/>
          <w:numId w:val="29"/>
        </w:numPr>
        <w:rPr>
          <w:rFonts w:ascii="Arial" w:cs="Arial" w:eastAsia="Arial" w:hAnsi="Arial"/>
          <w:sz w:val="16"/>
          <w:szCs w:val="16"/>
          <w:b w:val="1"/>
          <w:bCs w:val="1"/>
          <w:color w:val="FF7F32"/>
        </w:rPr>
      </w:pPr>
      <w:r>
        <w:rPr>
          <w:rFonts w:ascii="Arial" w:cs="Arial" w:eastAsia="Arial" w:hAnsi="Arial"/>
          <w:sz w:val="16"/>
          <w:szCs w:val="16"/>
          <w:color w:val="auto"/>
        </w:rPr>
        <w:t>Finance</w:t>
      </w:r>
    </w:p>
    <w:p>
      <w:pPr>
        <w:spacing w:after="0" w:line="126" w:lineRule="exact"/>
        <w:rPr>
          <w:rFonts w:ascii="Arial" w:cs="Arial" w:eastAsia="Arial" w:hAnsi="Arial"/>
          <w:sz w:val="16"/>
          <w:szCs w:val="16"/>
          <w:b w:val="1"/>
          <w:bCs w:val="1"/>
          <w:color w:val="FF7F32"/>
        </w:rPr>
      </w:pPr>
    </w:p>
    <w:p>
      <w:pPr>
        <w:ind w:left="400" w:hanging="179"/>
        <w:spacing w:after="0"/>
        <w:tabs>
          <w:tab w:leader="none" w:pos="400" w:val="left"/>
        </w:tabs>
        <w:numPr>
          <w:ilvl w:val="0"/>
          <w:numId w:val="29"/>
        </w:numPr>
        <w:rPr>
          <w:rFonts w:ascii="Arial" w:cs="Arial" w:eastAsia="Arial" w:hAnsi="Arial"/>
          <w:sz w:val="16"/>
          <w:szCs w:val="16"/>
          <w:b w:val="1"/>
          <w:bCs w:val="1"/>
          <w:color w:val="FF7F32"/>
        </w:rPr>
      </w:pPr>
      <w:r>
        <w:rPr>
          <w:rFonts w:ascii="Arial" w:cs="Arial" w:eastAsia="Arial" w:hAnsi="Arial"/>
          <w:sz w:val="16"/>
          <w:szCs w:val="16"/>
          <w:color w:val="auto"/>
        </w:rPr>
        <w:t>Compensation</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3"/>
          <w:szCs w:val="13"/>
          <w:color w:val="202945"/>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-2204085</wp:posOffset>
            </wp:positionH>
            <wp:positionV relativeFrom="paragraph">
              <wp:posOffset>601980</wp:posOffset>
            </wp:positionV>
            <wp:extent cx="7132320" cy="39090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3909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80"/>
        <w:spacing w:after="0" w:line="322" w:lineRule="auto"/>
        <w:rPr>
          <w:sz w:val="20"/>
          <w:szCs w:val="20"/>
          <w:color w:val="auto"/>
        </w:rPr>
      </w:pPr>
      <w:r>
        <w:rPr>
          <w:rFonts w:ascii="Arial" w:cs="Arial" w:eastAsia="Arial" w:hAnsi="Arial"/>
          <w:sz w:val="16"/>
          <w:szCs w:val="16"/>
          <w:color w:val="auto"/>
        </w:rPr>
        <w:t>Mr. Harris is the Chief Financial Officer of Talkspace, Inc. (NASDAQ: TALK), a leading healthcare technology company that provides virtual behavioral healthcare services. Prior to joining Talkspace, Mr. Harris was a Partner and Managing Director at Hudson Executive Capital, an investment firm that seeks to identify value-oriented opportunities in the small/mid-cap U.S. public markets, from May 2017 to May 2024. Mr. Harris also serves on the board of Liberated Syndication Inc., a leading provider of podcast hosting and advertising services. From August 2020 until February 2022, Mr. Harris also served as an advisor to the Company’s management team and the Board on financial and operational matters. Prior to joining Hudson Executive, Mr. Harris served as an investment banking Associate at Barclays Capital.</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202945"/>
        </w:rPr>
        <w:t>Education</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Mr. Harris received his Bachelor of Arts degrees from Brown University.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202945"/>
        </w:rPr>
        <w:t>Qualifications</w:t>
      </w:r>
    </w:p>
    <w:p>
      <w:pPr>
        <w:spacing w:after="0" w:line="68" w:lineRule="exact"/>
        <w:rPr>
          <w:sz w:val="20"/>
          <w:szCs w:val="20"/>
          <w:color w:val="auto"/>
        </w:rPr>
      </w:pPr>
    </w:p>
    <w:p>
      <w:pPr>
        <w:ind w:right="100"/>
        <w:spacing w:after="0" w:line="356" w:lineRule="auto"/>
        <w:rPr>
          <w:sz w:val="20"/>
          <w:szCs w:val="20"/>
          <w:color w:val="auto"/>
        </w:rPr>
      </w:pPr>
      <w:r>
        <w:rPr>
          <w:rFonts w:ascii="Arial" w:cs="Arial" w:eastAsia="Arial" w:hAnsi="Arial"/>
          <w:sz w:val="16"/>
          <w:szCs w:val="16"/>
          <w:color w:val="auto"/>
        </w:rPr>
        <w:t>We believe Mr. Harris’s familiarity with the Company and his background in corporate finance and investing provides the requisite qualifications, skills, perspectives and experiences to serve on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3487420</wp:posOffset>
            </wp:positionH>
            <wp:positionV relativeFrom="paragraph">
              <wp:posOffset>1771015</wp:posOffset>
            </wp:positionV>
            <wp:extent cx="925830" cy="2654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925830" cy="265430"/>
                    </a:xfrm>
                    <a:prstGeom prst="rect">
                      <a:avLst/>
                    </a:prstGeom>
                    <a:noFill/>
                  </pic:spPr>
                </pic:pic>
              </a:graphicData>
            </a:graphic>
          </wp:anchor>
        </w:drawing>
      </w:r>
    </w:p>
    <w:p>
      <w:pPr>
        <w:spacing w:after="0" w:line="1593" w:lineRule="exact"/>
        <w:rPr>
          <w:sz w:val="20"/>
          <w:szCs w:val="20"/>
          <w:color w:val="auto"/>
        </w:rPr>
      </w:pPr>
    </w:p>
    <w:p>
      <w:pPr>
        <w:sectPr>
          <w:pgSz w:w="11900" w:h="16838" w:orient="portrait"/>
          <w:cols w:equalWidth="0" w:num="2">
            <w:col w:w="2800" w:space="680"/>
            <w:col w:w="7760"/>
          </w:cols>
          <w:pgMar w:left="320" w:top="2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b w:val="1"/>
                <w:bCs w:val="1"/>
                <w:color w:val="FF7F32"/>
              </w:rPr>
              <w:t xml:space="preserve">2026 </w:t>
            </w:r>
            <w:r>
              <w:rPr>
                <w:rFonts w:ascii="Arial" w:cs="Arial" w:eastAsia="Arial" w:hAnsi="Arial"/>
                <w:sz w:val="13"/>
                <w:szCs w:val="13"/>
                <w:color w:val="000000"/>
              </w:rPr>
              <w:t>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auto"/>
              </w:rPr>
              <w:t>17</w:t>
            </w:r>
          </w:p>
        </w:tc>
      </w:tr>
      <w:tr>
        <w:trPr>
          <w:trHeight w:val="434"/>
        </w:trPr>
        <w:tc>
          <w:tcPr>
            <w:tcW w:w="618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2"/>
          <w:szCs w:val="12"/>
          <w:color w:val="202945"/>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763905</wp:posOffset>
            </wp:positionV>
            <wp:extent cx="7132320" cy="39687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3968750"/>
                    </a:xfrm>
                    <a:prstGeom prst="rect">
                      <a:avLst/>
                    </a:prstGeom>
                    <a:noFill/>
                  </pic:spPr>
                </pic:pic>
              </a:graphicData>
            </a:graphic>
          </wp:anchor>
        </w:drawing>
      </w:r>
    </w:p>
    <w:p>
      <w:pPr>
        <w:sectPr>
          <w:pgSz w:w="11900" w:h="16838" w:orient="portrait"/>
          <w:cols w:equalWidth="0" w:num="1">
            <w:col w:w="11220"/>
          </w:cols>
          <w:pgMar w:left="320" w:top="25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20"/>
        <w:spacing w:after="0"/>
        <w:rPr>
          <w:sz w:val="20"/>
          <w:szCs w:val="20"/>
          <w:color w:val="auto"/>
        </w:rPr>
      </w:pPr>
      <w:r>
        <w:rPr>
          <w:rFonts w:ascii="Arial" w:cs="Arial" w:eastAsia="Arial" w:hAnsi="Arial"/>
          <w:sz w:val="27"/>
          <w:szCs w:val="27"/>
          <w:b w:val="1"/>
          <w:bCs w:val="1"/>
          <w:color w:val="202945"/>
        </w:rPr>
        <w:t>Jacob Lamm</w:t>
      </w:r>
    </w:p>
    <w:p>
      <w:pPr>
        <w:spacing w:after="0" w:line="196"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60</w:t>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 xml:space="preserve">Director since </w:t>
      </w:r>
      <w:r>
        <w:rPr>
          <w:rFonts w:ascii="Arial" w:cs="Arial" w:eastAsia="Arial" w:hAnsi="Arial"/>
          <w:sz w:val="17"/>
          <w:szCs w:val="17"/>
          <w:color w:val="auto"/>
        </w:rPr>
        <w:t>April 2020</w:t>
      </w:r>
    </w:p>
    <w:p>
      <w:pPr>
        <w:spacing w:after="0" w:line="142" w:lineRule="exact"/>
        <w:rPr>
          <w:sz w:val="20"/>
          <w:szCs w:val="20"/>
          <w:color w:val="auto"/>
        </w:rPr>
      </w:pPr>
    </w:p>
    <w:p>
      <w:pPr>
        <w:ind w:left="220"/>
        <w:spacing w:after="0" w:line="284" w:lineRule="auto"/>
        <w:rPr>
          <w:sz w:val="20"/>
          <w:szCs w:val="20"/>
          <w:color w:val="auto"/>
        </w:rPr>
      </w:pPr>
      <w:r>
        <w:rPr>
          <w:rFonts w:ascii="Arial" w:cs="Arial" w:eastAsia="Arial" w:hAnsi="Arial"/>
          <w:sz w:val="17"/>
          <w:szCs w:val="17"/>
          <w:color w:val="auto"/>
        </w:rPr>
        <w:t>Founder &amp; Independent Consultant, Enterik Advisory LLC</w:t>
      </w:r>
    </w:p>
    <w:p>
      <w:pPr>
        <w:spacing w:after="0" w:line="77"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Committees:</w:t>
      </w:r>
    </w:p>
    <w:p>
      <w:pPr>
        <w:spacing w:after="0" w:line="150" w:lineRule="exact"/>
        <w:rPr>
          <w:sz w:val="20"/>
          <w:szCs w:val="20"/>
          <w:color w:val="auto"/>
        </w:rPr>
      </w:pPr>
    </w:p>
    <w:p>
      <w:pPr>
        <w:ind w:left="400" w:hanging="179"/>
        <w:spacing w:after="0"/>
        <w:tabs>
          <w:tab w:leader="none" w:pos="400" w:val="left"/>
        </w:tabs>
        <w:numPr>
          <w:ilvl w:val="0"/>
          <w:numId w:val="30"/>
        </w:numPr>
        <w:rPr>
          <w:rFonts w:ascii="Arial" w:cs="Arial" w:eastAsia="Arial" w:hAnsi="Arial"/>
          <w:sz w:val="16"/>
          <w:szCs w:val="16"/>
          <w:b w:val="1"/>
          <w:bCs w:val="1"/>
          <w:color w:val="FF7F32"/>
        </w:rPr>
      </w:pPr>
      <w:r>
        <w:rPr>
          <w:rFonts w:ascii="Arial" w:cs="Arial" w:eastAsia="Arial" w:hAnsi="Arial"/>
          <w:sz w:val="16"/>
          <w:szCs w:val="16"/>
          <w:color w:val="auto"/>
        </w:rPr>
        <w:t>NCG</w:t>
      </w:r>
    </w:p>
    <w:p>
      <w:pPr>
        <w:spacing w:after="0" w:line="126" w:lineRule="exact"/>
        <w:rPr>
          <w:rFonts w:ascii="Arial" w:cs="Arial" w:eastAsia="Arial" w:hAnsi="Arial"/>
          <w:sz w:val="16"/>
          <w:szCs w:val="16"/>
          <w:b w:val="1"/>
          <w:bCs w:val="1"/>
          <w:color w:val="FF7F32"/>
        </w:rPr>
      </w:pPr>
    </w:p>
    <w:p>
      <w:pPr>
        <w:ind w:left="400" w:hanging="179"/>
        <w:spacing w:after="0"/>
        <w:tabs>
          <w:tab w:leader="none" w:pos="400" w:val="left"/>
        </w:tabs>
        <w:numPr>
          <w:ilvl w:val="0"/>
          <w:numId w:val="30"/>
        </w:numPr>
        <w:rPr>
          <w:rFonts w:ascii="Arial" w:cs="Arial" w:eastAsia="Arial" w:hAnsi="Arial"/>
          <w:sz w:val="16"/>
          <w:szCs w:val="16"/>
          <w:b w:val="1"/>
          <w:bCs w:val="1"/>
          <w:color w:val="FF7F32"/>
        </w:rPr>
      </w:pPr>
      <w:r>
        <w:rPr>
          <w:rFonts w:ascii="Arial" w:cs="Arial" w:eastAsia="Arial" w:hAnsi="Arial"/>
          <w:sz w:val="16"/>
          <w:szCs w:val="16"/>
          <w:color w:val="auto"/>
        </w:rPr>
        <w:t>Finance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1169670</wp:posOffset>
            </wp:positionV>
            <wp:extent cx="925830" cy="2654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925830" cy="265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40"/>
        <w:spacing w:after="0" w:line="322" w:lineRule="auto"/>
        <w:rPr>
          <w:sz w:val="20"/>
          <w:szCs w:val="20"/>
          <w:color w:val="auto"/>
        </w:rPr>
      </w:pPr>
      <w:r>
        <w:rPr>
          <w:rFonts w:ascii="Arial" w:cs="Arial" w:eastAsia="Arial" w:hAnsi="Arial"/>
          <w:sz w:val="16"/>
          <w:szCs w:val="16"/>
          <w:color w:val="auto"/>
        </w:rPr>
        <w:t>Mr. Lamm is founder and Independent Consultant to Enterik Advisory LLC, providing executive and board level consulting services with a focus on organic and inorganic growth strategies. Mr. Lamm was the Chief Operating Officer of InVisionApp Inc., a digital product design platform, from 2020 to 2022. He previously served as Executive Vice President of CA Technologies, a provider of information technology management software and solutions, from 2009 to 2019, where he was responsible for corporate strategy, M&amp;A, venture investing, strategic alliances, and new business incubation. Prior to joining CA Technologies, he co-founded and served as CTO of Professional Help Desk, a provider of Service Management software that was acquired by CA Technologies.</w:t>
      </w:r>
    </w:p>
    <w:p>
      <w:pPr>
        <w:spacing w:after="0" w:line="77" w:lineRule="exact"/>
        <w:rPr>
          <w:sz w:val="20"/>
          <w:szCs w:val="20"/>
          <w:color w:val="auto"/>
        </w:rPr>
      </w:pPr>
    </w:p>
    <w:p>
      <w:pPr>
        <w:ind w:right="100"/>
        <w:spacing w:after="0" w:line="336" w:lineRule="auto"/>
        <w:rPr>
          <w:sz w:val="20"/>
          <w:szCs w:val="20"/>
          <w:color w:val="auto"/>
        </w:rPr>
      </w:pPr>
      <w:r>
        <w:rPr>
          <w:rFonts w:ascii="Arial" w:cs="Arial" w:eastAsia="Arial" w:hAnsi="Arial"/>
          <w:sz w:val="16"/>
          <w:szCs w:val="16"/>
          <w:color w:val="auto"/>
        </w:rPr>
        <w:t>Additionally, Mr. Lamm has served as a director of both private and non-profit organizations, serving as a director for the Long Island High Technology Incubator, the New York State Smart Grid Consortium and Watermark Medical Inc., a medical technology company focused on remote diagnostic testing, therapy and patient follow-up, the latter from 2010 to 2018.</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w:t>
      </w:r>
    </w:p>
    <w:p>
      <w:pPr>
        <w:spacing w:after="0" w:line="68" w:lineRule="exact"/>
        <w:rPr>
          <w:sz w:val="20"/>
          <w:szCs w:val="20"/>
          <w:color w:val="auto"/>
        </w:rPr>
      </w:pPr>
    </w:p>
    <w:p>
      <w:pPr>
        <w:ind w:right="240"/>
        <w:spacing w:after="0" w:line="356" w:lineRule="auto"/>
        <w:rPr>
          <w:sz w:val="20"/>
          <w:szCs w:val="20"/>
          <w:color w:val="auto"/>
        </w:rPr>
      </w:pPr>
      <w:r>
        <w:rPr>
          <w:rFonts w:ascii="Arial" w:cs="Arial" w:eastAsia="Arial" w:hAnsi="Arial"/>
          <w:sz w:val="16"/>
          <w:szCs w:val="16"/>
          <w:color w:val="auto"/>
        </w:rPr>
        <w:t>Mr. Lamm earned a B.S. in computer information science from the City University of New York - Brooklyn College in 1987.</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Qualifications</w:t>
      </w:r>
    </w:p>
    <w:p>
      <w:pPr>
        <w:spacing w:after="0" w:line="68" w:lineRule="exact"/>
        <w:rPr>
          <w:sz w:val="20"/>
          <w:szCs w:val="20"/>
          <w:color w:val="auto"/>
        </w:rPr>
      </w:pPr>
    </w:p>
    <w:p>
      <w:pPr>
        <w:ind w:right="260"/>
        <w:spacing w:after="0" w:line="356" w:lineRule="auto"/>
        <w:rPr>
          <w:sz w:val="20"/>
          <w:szCs w:val="20"/>
          <w:color w:val="auto"/>
        </w:rPr>
      </w:pPr>
      <w:r>
        <w:rPr>
          <w:rFonts w:ascii="Arial" w:cs="Arial" w:eastAsia="Arial" w:hAnsi="Arial"/>
          <w:sz w:val="16"/>
          <w:szCs w:val="16"/>
          <w:color w:val="auto"/>
        </w:rPr>
        <w:t>We believe Mr. Lamm’s extensive experience in high-growth technology companies provide the requisite qualifications, skills, perspectives, and experiences to serve on our Board.</w:t>
      </w:r>
    </w:p>
    <w:p>
      <w:pPr>
        <w:spacing w:after="0" w:line="200" w:lineRule="exact"/>
        <w:rPr>
          <w:sz w:val="20"/>
          <w:szCs w:val="20"/>
          <w:color w:val="auto"/>
        </w:rPr>
      </w:pPr>
    </w:p>
    <w:p>
      <w:pPr>
        <w:sectPr>
          <w:pgSz w:w="11900" w:h="16838" w:orient="portrait"/>
          <w:cols w:equalWidth="0" w:num="2">
            <w:col w:w="2920" w:space="560"/>
            <w:col w:w="7740"/>
          </w:cols>
          <w:pgMar w:left="320" w:top="257"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auto"/>
        </w:rPr>
        <w:t>18</w:t>
      </w:r>
      <w:r>
        <w:rPr>
          <w:sz w:val="20"/>
          <w:szCs w:val="20"/>
          <w:color w:val="auto"/>
        </w:rPr>
        <w:tab/>
      </w:r>
      <w:r>
        <w:rPr>
          <w:rFonts w:ascii="Arial" w:cs="Arial" w:eastAsia="Arial" w:hAnsi="Arial"/>
          <w:sz w:val="12"/>
          <w:szCs w:val="12"/>
          <w:b w:val="1"/>
          <w:bCs w:val="1"/>
          <w:color w:val="FF7F32"/>
        </w:rPr>
        <w:t xml:space="preserve">2026 </w:t>
      </w:r>
      <w:r>
        <w:rPr>
          <w:rFonts w:ascii="Arial" w:cs="Arial" w:eastAsia="Arial" w:hAnsi="Arial"/>
          <w:sz w:val="12"/>
          <w:szCs w:val="12"/>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7" w:right="359" w:bottom="1440" w:gutter="0" w:footer="0" w:header="0"/>
          <w:type w:val="continuous"/>
        </w:sectPr>
      </w:pPr>
    </w:p>
    <w:bookmarkStart w:id="21" w:name="page22"/>
    <w:bookmarkEnd w:id="2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Arial" w:cs="Arial" w:eastAsia="Arial" w:hAnsi="Arial"/>
          <w:sz w:val="27"/>
          <w:szCs w:val="27"/>
          <w:b w:val="1"/>
          <w:bCs w:val="1"/>
          <w:color w:val="202945"/>
        </w:rPr>
        <w:t>Michael K. Passilla</w:t>
      </w:r>
    </w:p>
    <w:p>
      <w:pPr>
        <w:spacing w:after="0" w:line="18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58</w:t>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 xml:space="preserve">Director since </w:t>
      </w:r>
      <w:r>
        <w:rPr>
          <w:rFonts w:ascii="Arial" w:cs="Arial" w:eastAsia="Arial" w:hAnsi="Arial"/>
          <w:sz w:val="17"/>
          <w:szCs w:val="17"/>
          <w:color w:val="auto"/>
        </w:rPr>
        <w:t>April 2020</w:t>
      </w:r>
    </w:p>
    <w:p>
      <w:pPr>
        <w:spacing w:after="0" w:line="15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CEO, Posillipo Ventures, Inc.</w:t>
      </w:r>
    </w:p>
    <w:p>
      <w:pPr>
        <w:spacing w:after="0" w:line="156"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Committee:</w:t>
      </w:r>
    </w:p>
    <w:p>
      <w:pPr>
        <w:spacing w:after="0" w:line="123" w:lineRule="exact"/>
        <w:rPr>
          <w:sz w:val="20"/>
          <w:szCs w:val="20"/>
          <w:color w:val="auto"/>
        </w:rPr>
      </w:pPr>
    </w:p>
    <w:p>
      <w:pPr>
        <w:ind w:left="400" w:hanging="179"/>
        <w:spacing w:after="0"/>
        <w:tabs>
          <w:tab w:leader="none" w:pos="400" w:val="left"/>
        </w:tabs>
        <w:numPr>
          <w:ilvl w:val="0"/>
          <w:numId w:val="31"/>
        </w:numPr>
        <w:rPr>
          <w:rFonts w:ascii="Arial" w:cs="Arial" w:eastAsia="Arial" w:hAnsi="Arial"/>
          <w:sz w:val="16"/>
          <w:szCs w:val="16"/>
          <w:b w:val="1"/>
          <w:bCs w:val="1"/>
          <w:color w:val="FF7F32"/>
        </w:rPr>
      </w:pPr>
      <w:r>
        <w:rPr>
          <w:rFonts w:ascii="Arial" w:cs="Arial" w:eastAsia="Arial" w:hAnsi="Arial"/>
          <w:sz w:val="16"/>
          <w:szCs w:val="16"/>
          <w:color w:val="auto"/>
        </w:rPr>
        <w:t>Compensation (Chair)</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3"/>
          <w:szCs w:val="13"/>
          <w:color w:val="202945"/>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-2204085</wp:posOffset>
            </wp:positionH>
            <wp:positionV relativeFrom="paragraph">
              <wp:posOffset>782320</wp:posOffset>
            </wp:positionV>
            <wp:extent cx="7132320" cy="3471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3471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200"/>
        <w:spacing w:after="0" w:line="313" w:lineRule="auto"/>
        <w:rPr>
          <w:sz w:val="20"/>
          <w:szCs w:val="20"/>
          <w:color w:val="auto"/>
        </w:rPr>
      </w:pPr>
      <w:r>
        <w:rPr>
          <w:rFonts w:ascii="Arial" w:cs="Arial" w:eastAsia="Arial" w:hAnsi="Arial"/>
          <w:sz w:val="16"/>
          <w:szCs w:val="16"/>
          <w:color w:val="auto"/>
        </w:rPr>
        <w:t>Mr. Passilla has served as the CEO of Posillipo Ventures, Inc., an investment and advisory services business, since 2018. He previously served as Vice Chairman at Chase Merchant Services, the global payment processing division of JPMorgan Chase &amp; Co, from 2016 to 2018. Prior to that, he was the Chief Executive Officer of Chase Merchant Services from 2013 to 2016. Mr. Passilla was the Chief Executive Officer and President of Elavon, Inc., a global payments processing firm, from 2010 to 2013.</w:t>
      </w:r>
    </w:p>
    <w:p>
      <w:pPr>
        <w:spacing w:after="0" w:line="69" w:lineRule="exact"/>
        <w:rPr>
          <w:sz w:val="20"/>
          <w:szCs w:val="20"/>
          <w:color w:val="auto"/>
        </w:rPr>
      </w:pPr>
    </w:p>
    <w:p>
      <w:pPr>
        <w:ind w:right="20"/>
        <w:spacing w:after="0" w:line="314" w:lineRule="auto"/>
        <w:rPr>
          <w:sz w:val="20"/>
          <w:szCs w:val="20"/>
          <w:color w:val="auto"/>
        </w:rPr>
      </w:pPr>
      <w:r>
        <w:rPr>
          <w:rFonts w:ascii="Arial" w:cs="Arial" w:eastAsia="Arial" w:hAnsi="Arial"/>
          <w:sz w:val="16"/>
          <w:szCs w:val="16"/>
          <w:color w:val="auto"/>
        </w:rPr>
        <w:t>Mr. Passilla has been a member of the Board of Directors of Priority Technology Holdings, Inc. (NASDAQ: PRTH), an IT service management company, since 2019, a Strategic Advisor to Optimized Payments, Inc., a consulting and analytics firm specializing in the payments ecosystem, since 2021, a member of the Board of Directors of Bridge2 Solutions, LLC, a SaaS platform technology company, since 2020 (until it was sold to Bakkt), and a member of the Board of Directors of P97 Networks, Inc., a mobile commerce and digital marketing platform, since 2019 up until its sale in April of 2025.</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Public Company Directorships</w:t>
      </w:r>
    </w:p>
    <w:p>
      <w:pPr>
        <w:spacing w:after="0" w:line="41" w:lineRule="exact"/>
        <w:rPr>
          <w:sz w:val="20"/>
          <w:szCs w:val="20"/>
          <w:color w:val="auto"/>
        </w:rPr>
      </w:pPr>
    </w:p>
    <w:p>
      <w:pPr>
        <w:ind w:left="180" w:hanging="172"/>
        <w:spacing w:after="0"/>
        <w:tabs>
          <w:tab w:leader="none" w:pos="180" w:val="left"/>
        </w:tabs>
        <w:numPr>
          <w:ilvl w:val="0"/>
          <w:numId w:val="32"/>
        </w:numPr>
        <w:rPr>
          <w:rFonts w:ascii="Arial" w:cs="Arial" w:eastAsia="Arial" w:hAnsi="Arial"/>
          <w:sz w:val="16"/>
          <w:szCs w:val="16"/>
          <w:b w:val="1"/>
          <w:bCs w:val="1"/>
          <w:color w:val="FF7F32"/>
        </w:rPr>
      </w:pPr>
      <w:r>
        <w:rPr>
          <w:rFonts w:ascii="Arial" w:cs="Arial" w:eastAsia="Arial" w:hAnsi="Arial"/>
          <w:sz w:val="16"/>
          <w:szCs w:val="16"/>
          <w:color w:val="auto"/>
        </w:rPr>
        <w:t>Priority Technology Holdings, Inc.</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Mr. Passilla earned a BBA from the University of Notre Dame in 1989 and earned an MBA from The J.L.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Kellogg Graduate School of Management at Northwestern University in 1995.</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Qualifications</w:t>
      </w:r>
    </w:p>
    <w:p>
      <w:pPr>
        <w:spacing w:after="0" w:line="41" w:lineRule="exact"/>
        <w:rPr>
          <w:sz w:val="20"/>
          <w:szCs w:val="20"/>
          <w:color w:val="auto"/>
        </w:rPr>
      </w:pPr>
    </w:p>
    <w:p>
      <w:pPr>
        <w:ind w:right="80"/>
        <w:spacing w:after="0" w:line="339" w:lineRule="auto"/>
        <w:rPr>
          <w:sz w:val="20"/>
          <w:szCs w:val="20"/>
          <w:color w:val="auto"/>
        </w:rPr>
      </w:pPr>
      <w:r>
        <w:rPr>
          <w:rFonts w:ascii="Arial" w:cs="Arial" w:eastAsia="Arial" w:hAnsi="Arial"/>
          <w:sz w:val="16"/>
          <w:szCs w:val="16"/>
          <w:color w:val="auto"/>
        </w:rPr>
        <w:t>We believe Mr. Passilla’s leadership experience and extensive knowledge of the payments industry provide the requisite qualifications, skills, perspectives, and experiences to serve on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3487420</wp:posOffset>
            </wp:positionH>
            <wp:positionV relativeFrom="paragraph">
              <wp:posOffset>390525</wp:posOffset>
            </wp:positionV>
            <wp:extent cx="925830" cy="2660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925830" cy="2660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60" w:space="720"/>
            <w:col w:w="7760"/>
          </w:cols>
          <w:pgMar w:left="320" w:top="257"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b w:val="1"/>
                <w:bCs w:val="1"/>
                <w:color w:val="FF7F32"/>
              </w:rPr>
              <w:t xml:space="preserve">2026 </w:t>
            </w:r>
            <w:r>
              <w:rPr>
                <w:rFonts w:ascii="Arial" w:cs="Arial" w:eastAsia="Arial" w:hAnsi="Arial"/>
                <w:sz w:val="13"/>
                <w:szCs w:val="13"/>
                <w:color w:val="000000"/>
              </w:rPr>
              <w:t>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auto"/>
              </w:rPr>
              <w:t>19</w:t>
            </w:r>
          </w:p>
        </w:tc>
      </w:tr>
      <w:tr>
        <w:trPr>
          <w:trHeight w:val="433"/>
        </w:trPr>
        <w:tc>
          <w:tcPr>
            <w:tcW w:w="618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2"/>
          <w:szCs w:val="12"/>
          <w:color w:val="202945"/>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763905</wp:posOffset>
            </wp:positionV>
            <wp:extent cx="7132320" cy="421767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4217670"/>
                    </a:xfrm>
                    <a:prstGeom prst="rect">
                      <a:avLst/>
                    </a:prstGeom>
                    <a:noFill/>
                  </pic:spPr>
                </pic:pic>
              </a:graphicData>
            </a:graphic>
          </wp:anchor>
        </w:drawing>
      </w:r>
    </w:p>
    <w:p>
      <w:pPr>
        <w:sectPr>
          <w:pgSz w:w="11900" w:h="16838" w:orient="portrait"/>
          <w:cols w:equalWidth="0" w:num="1">
            <w:col w:w="11220"/>
          </w:cols>
          <w:pgMar w:left="320" w:top="25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20"/>
        <w:spacing w:after="0"/>
        <w:rPr>
          <w:sz w:val="20"/>
          <w:szCs w:val="20"/>
          <w:color w:val="auto"/>
        </w:rPr>
      </w:pPr>
      <w:r>
        <w:rPr>
          <w:rFonts w:ascii="Arial" w:cs="Arial" w:eastAsia="Arial" w:hAnsi="Arial"/>
          <w:sz w:val="27"/>
          <w:szCs w:val="27"/>
          <w:b w:val="1"/>
          <w:bCs w:val="1"/>
          <w:color w:val="202945"/>
        </w:rPr>
        <w:t>Ellen Richey</w:t>
      </w:r>
    </w:p>
    <w:p>
      <w:pPr>
        <w:spacing w:after="0" w:line="18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76</w:t>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 xml:space="preserve">Director since </w:t>
      </w:r>
      <w:r>
        <w:rPr>
          <w:rFonts w:ascii="Arial" w:cs="Arial" w:eastAsia="Arial" w:hAnsi="Arial"/>
          <w:sz w:val="17"/>
          <w:szCs w:val="17"/>
          <w:color w:val="auto"/>
        </w:rPr>
        <w:t>April 2020</w:t>
      </w:r>
    </w:p>
    <w:p>
      <w:pPr>
        <w:spacing w:after="0" w:line="142" w:lineRule="exact"/>
        <w:rPr>
          <w:sz w:val="20"/>
          <w:szCs w:val="20"/>
          <w:color w:val="auto"/>
        </w:rPr>
      </w:pPr>
    </w:p>
    <w:p>
      <w:pPr>
        <w:ind w:left="220"/>
        <w:spacing w:after="0" w:line="284" w:lineRule="auto"/>
        <w:rPr>
          <w:sz w:val="20"/>
          <w:szCs w:val="20"/>
          <w:color w:val="auto"/>
        </w:rPr>
      </w:pPr>
      <w:r>
        <w:rPr>
          <w:rFonts w:ascii="Arial" w:cs="Arial" w:eastAsia="Arial" w:hAnsi="Arial"/>
          <w:sz w:val="17"/>
          <w:szCs w:val="17"/>
          <w:color w:val="auto"/>
        </w:rPr>
        <w:t>Former Vice Chair of Risk and Public Policy, Visa Inc.</w:t>
      </w:r>
    </w:p>
    <w:p>
      <w:pPr>
        <w:spacing w:after="0" w:line="77"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Committees:</w:t>
      </w:r>
    </w:p>
    <w:p>
      <w:pPr>
        <w:spacing w:after="0" w:line="150" w:lineRule="exact"/>
        <w:rPr>
          <w:sz w:val="20"/>
          <w:szCs w:val="20"/>
          <w:color w:val="auto"/>
        </w:rPr>
      </w:pPr>
    </w:p>
    <w:p>
      <w:pPr>
        <w:ind w:left="400" w:hanging="179"/>
        <w:spacing w:after="0"/>
        <w:tabs>
          <w:tab w:leader="none" w:pos="400" w:val="left"/>
        </w:tabs>
        <w:numPr>
          <w:ilvl w:val="0"/>
          <w:numId w:val="33"/>
        </w:numPr>
        <w:rPr>
          <w:rFonts w:ascii="Arial" w:cs="Arial" w:eastAsia="Arial" w:hAnsi="Arial"/>
          <w:sz w:val="16"/>
          <w:szCs w:val="16"/>
          <w:b w:val="1"/>
          <w:bCs w:val="1"/>
          <w:color w:val="FF7F32"/>
        </w:rPr>
      </w:pPr>
      <w:r>
        <w:rPr>
          <w:rFonts w:ascii="Arial" w:cs="Arial" w:eastAsia="Arial" w:hAnsi="Arial"/>
          <w:sz w:val="16"/>
          <w:szCs w:val="16"/>
          <w:color w:val="auto"/>
        </w:rPr>
        <w:t>Audit and Risk</w:t>
      </w:r>
    </w:p>
    <w:p>
      <w:pPr>
        <w:spacing w:after="0" w:line="126" w:lineRule="exact"/>
        <w:rPr>
          <w:rFonts w:ascii="Arial" w:cs="Arial" w:eastAsia="Arial" w:hAnsi="Arial"/>
          <w:sz w:val="16"/>
          <w:szCs w:val="16"/>
          <w:b w:val="1"/>
          <w:bCs w:val="1"/>
          <w:color w:val="FF7F32"/>
        </w:rPr>
      </w:pPr>
    </w:p>
    <w:p>
      <w:pPr>
        <w:ind w:left="400" w:hanging="179"/>
        <w:spacing w:after="0"/>
        <w:tabs>
          <w:tab w:leader="none" w:pos="400" w:val="left"/>
        </w:tabs>
        <w:numPr>
          <w:ilvl w:val="0"/>
          <w:numId w:val="33"/>
        </w:numPr>
        <w:rPr>
          <w:rFonts w:ascii="Arial" w:cs="Arial" w:eastAsia="Arial" w:hAnsi="Arial"/>
          <w:sz w:val="16"/>
          <w:szCs w:val="16"/>
          <w:b w:val="1"/>
          <w:bCs w:val="1"/>
          <w:color w:val="FF7F32"/>
        </w:rPr>
      </w:pPr>
      <w:r>
        <w:rPr>
          <w:rFonts w:ascii="Arial" w:cs="Arial" w:eastAsia="Arial" w:hAnsi="Arial"/>
          <w:sz w:val="16"/>
          <w:szCs w:val="16"/>
          <w:color w:val="auto"/>
        </w:rPr>
        <w:t>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1598295</wp:posOffset>
            </wp:positionV>
            <wp:extent cx="925830" cy="2654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925830" cy="265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80"/>
        <w:spacing w:after="0" w:line="324" w:lineRule="auto"/>
        <w:rPr>
          <w:sz w:val="20"/>
          <w:szCs w:val="20"/>
          <w:color w:val="auto"/>
        </w:rPr>
      </w:pPr>
      <w:r>
        <w:rPr>
          <w:rFonts w:ascii="Arial" w:cs="Arial" w:eastAsia="Arial" w:hAnsi="Arial"/>
          <w:sz w:val="16"/>
          <w:szCs w:val="16"/>
          <w:color w:val="auto"/>
        </w:rPr>
        <w:t>Ms. Richey served as Vice Chair of Risk and Public Policy of Visa Inc. (“Visa”), a global payments technology company, from 2014 to 2019, and as Chief Risk Officer from 2017 to 2019. In such roles, Ms. Richey oversaw risk management, including enterprise risk, settlement risk, operational resilience, internal audit, and risks to the integrity of the broader payments ecosystem, and served as a member of Visa’s senior executive committee. During 2014, Ms. Richey concurrently served as Chief Legal Officer, assuming responsibility for the legal function in addition to her risk responsibilities. From 2007 to 2013, Ms. Richey served as Executive Vice President and Chief Enterprise Risk Officer. In that role, she was responsible for oversight of Visa’s compliance, audit and risk teams, including payment system risk, settlement risk and enterprise risk.</w:t>
      </w:r>
    </w:p>
    <w:p>
      <w:pPr>
        <w:spacing w:after="0" w:line="73" w:lineRule="exact"/>
        <w:rPr>
          <w:sz w:val="20"/>
          <w:szCs w:val="20"/>
          <w:color w:val="auto"/>
        </w:rPr>
      </w:pPr>
    </w:p>
    <w:p>
      <w:pPr>
        <w:ind w:right="160"/>
        <w:spacing w:after="0" w:line="330" w:lineRule="auto"/>
        <w:rPr>
          <w:sz w:val="20"/>
          <w:szCs w:val="20"/>
          <w:color w:val="auto"/>
        </w:rPr>
      </w:pPr>
      <w:r>
        <w:rPr>
          <w:rFonts w:ascii="Arial" w:cs="Arial" w:eastAsia="Arial" w:hAnsi="Arial"/>
          <w:sz w:val="16"/>
          <w:szCs w:val="16"/>
          <w:color w:val="auto"/>
        </w:rPr>
        <w:t>Ms. Richey serves on the Board of Directors of Green Dot Corporation (NYSE: GDOT), for which she has chaired the Risk and Nominating and Corporate Governance Committees, chairing the Risk Committee since 2023. She also served on the Board of Directors of the Girl Scouts of Northern California, which she chaired, from 2018 to 2022.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Public Company Directorships</w:t>
      </w:r>
    </w:p>
    <w:p>
      <w:pPr>
        <w:spacing w:after="0" w:line="68" w:lineRule="exact"/>
        <w:rPr>
          <w:sz w:val="20"/>
          <w:szCs w:val="20"/>
          <w:color w:val="auto"/>
        </w:rPr>
      </w:pPr>
    </w:p>
    <w:p>
      <w:pPr>
        <w:ind w:left="180" w:hanging="172"/>
        <w:spacing w:after="0"/>
        <w:tabs>
          <w:tab w:leader="none" w:pos="180" w:val="left"/>
        </w:tabs>
        <w:numPr>
          <w:ilvl w:val="0"/>
          <w:numId w:val="34"/>
        </w:numPr>
        <w:rPr>
          <w:rFonts w:ascii="Arial" w:cs="Arial" w:eastAsia="Arial" w:hAnsi="Arial"/>
          <w:sz w:val="16"/>
          <w:szCs w:val="16"/>
          <w:b w:val="1"/>
          <w:bCs w:val="1"/>
          <w:color w:val="FF7F32"/>
        </w:rPr>
      </w:pPr>
      <w:r>
        <w:rPr>
          <w:rFonts w:ascii="Arial" w:cs="Arial" w:eastAsia="Arial" w:hAnsi="Arial"/>
          <w:sz w:val="16"/>
          <w:szCs w:val="16"/>
          <w:color w:val="auto"/>
        </w:rPr>
        <w:t>Green Dot Corporation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w:t>
      </w:r>
    </w:p>
    <w:p>
      <w:pPr>
        <w:spacing w:after="0" w:line="68" w:lineRule="exact"/>
        <w:rPr>
          <w:sz w:val="20"/>
          <w:szCs w:val="20"/>
          <w:color w:val="auto"/>
        </w:rPr>
      </w:pPr>
    </w:p>
    <w:p>
      <w:pPr>
        <w:ind w:right="60"/>
        <w:spacing w:after="0" w:line="336" w:lineRule="auto"/>
        <w:rPr>
          <w:sz w:val="20"/>
          <w:szCs w:val="20"/>
          <w:color w:val="auto"/>
        </w:rPr>
      </w:pPr>
      <w:r>
        <w:rPr>
          <w:rFonts w:ascii="Arial" w:cs="Arial" w:eastAsia="Arial" w:hAnsi="Arial"/>
          <w:sz w:val="16"/>
          <w:szCs w:val="16"/>
          <w:color w:val="auto"/>
        </w:rPr>
        <w:t>Ms. Richey earned a B.A. in Linguistics and Far Eastern Languages from Harvard University (1970) and a J.D. from Stanford University (1977), and served as a law clerk for Associate Justice Lewis F. Powell, Jr., of the United States Supreme Court, from 1979 to 1980.</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Qualifications</w:t>
      </w:r>
    </w:p>
    <w:p>
      <w:pPr>
        <w:spacing w:after="0" w:line="68" w:lineRule="exact"/>
        <w:rPr>
          <w:sz w:val="20"/>
          <w:szCs w:val="20"/>
          <w:color w:val="auto"/>
        </w:rPr>
      </w:pPr>
    </w:p>
    <w:p>
      <w:pPr>
        <w:ind w:right="160"/>
        <w:spacing w:after="0" w:line="336" w:lineRule="auto"/>
        <w:rPr>
          <w:sz w:val="20"/>
          <w:szCs w:val="20"/>
          <w:color w:val="auto"/>
        </w:rPr>
      </w:pPr>
      <w:r>
        <w:rPr>
          <w:rFonts w:ascii="Arial" w:cs="Arial" w:eastAsia="Arial" w:hAnsi="Arial"/>
          <w:sz w:val="16"/>
          <w:szCs w:val="16"/>
          <w:color w:val="auto"/>
        </w:rPr>
        <w:t>We believe Ms. Richey’s extensive experience in the payments industry and in risk management, compliance and audit provide the requisite qualifications, skills, perspectives, and experiences to serve on our Board.</w:t>
      </w:r>
    </w:p>
    <w:p>
      <w:pPr>
        <w:spacing w:after="0" w:line="200" w:lineRule="exact"/>
        <w:rPr>
          <w:sz w:val="20"/>
          <w:szCs w:val="20"/>
          <w:color w:val="auto"/>
        </w:rPr>
      </w:pPr>
    </w:p>
    <w:p>
      <w:pPr>
        <w:sectPr>
          <w:pgSz w:w="11900" w:h="16838" w:orient="portrait"/>
          <w:cols w:equalWidth="0" w:num="2">
            <w:col w:w="3020" w:space="460"/>
            <w:col w:w="7740"/>
          </w:cols>
          <w:pgMar w:left="320" w:top="257" w:right="359" w:bottom="1440" w:gutter="0" w:footer="0" w:header="0"/>
          <w:type w:val="continuous"/>
        </w:sectPr>
      </w:pPr>
    </w:p>
    <w:p>
      <w:pPr>
        <w:spacing w:after="0" w:line="200" w:lineRule="exact"/>
        <w:rPr>
          <w:sz w:val="20"/>
          <w:szCs w:val="20"/>
          <w:color w:val="auto"/>
        </w:rPr>
      </w:pPr>
    </w:p>
    <w:p>
      <w:pPr>
        <w:spacing w:after="0" w:line="376"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auto"/>
        </w:rPr>
        <w:t>20</w:t>
      </w:r>
      <w:r>
        <w:rPr>
          <w:sz w:val="20"/>
          <w:szCs w:val="20"/>
          <w:color w:val="auto"/>
        </w:rPr>
        <w:tab/>
      </w:r>
      <w:r>
        <w:rPr>
          <w:rFonts w:ascii="Arial" w:cs="Arial" w:eastAsia="Arial" w:hAnsi="Arial"/>
          <w:sz w:val="12"/>
          <w:szCs w:val="12"/>
          <w:b w:val="1"/>
          <w:bCs w:val="1"/>
          <w:color w:val="FF7F32"/>
        </w:rPr>
        <w:t xml:space="preserve">2026 </w:t>
      </w:r>
      <w:r>
        <w:rPr>
          <w:rFonts w:ascii="Arial" w:cs="Arial" w:eastAsia="Arial" w:hAnsi="Arial"/>
          <w:sz w:val="12"/>
          <w:szCs w:val="12"/>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7" w:right="359" w:bottom="1440" w:gutter="0" w:footer="0" w:header="0"/>
          <w:type w:val="continuous"/>
        </w:sectPr>
      </w:pPr>
    </w:p>
    <w:bookmarkStart w:id="23" w:name="page24"/>
    <w:bookmarkEnd w:id="23"/>
    <w:p>
      <w:pPr>
        <w:ind w:left="9480"/>
        <w:spacing w:after="0"/>
        <w:rPr>
          <w:sz w:val="20"/>
          <w:szCs w:val="20"/>
          <w:color w:val="auto"/>
        </w:rPr>
      </w:pPr>
      <w:r>
        <w:rPr>
          <w:rFonts w:ascii="Arial" w:cs="Arial" w:eastAsia="Arial" w:hAnsi="Arial"/>
          <w:sz w:val="12"/>
          <w:szCs w:val="12"/>
          <w:color w:val="202945"/>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609600</wp:posOffset>
            </wp:positionV>
            <wp:extent cx="7132320" cy="336867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336867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20"/>
        <w:spacing w:after="0"/>
        <w:rPr>
          <w:sz w:val="20"/>
          <w:szCs w:val="20"/>
          <w:color w:val="auto"/>
        </w:rPr>
      </w:pPr>
      <w:r>
        <w:rPr>
          <w:rFonts w:ascii="Arial" w:cs="Arial" w:eastAsia="Arial" w:hAnsi="Arial"/>
          <w:sz w:val="27"/>
          <w:szCs w:val="27"/>
          <w:b w:val="1"/>
          <w:bCs w:val="1"/>
          <w:color w:val="202945"/>
        </w:rPr>
        <w:t>Anne M. Smalling</w:t>
      </w:r>
    </w:p>
    <w:p>
      <w:pPr>
        <w:spacing w:after="0" w:line="18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60</w:t>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 xml:space="preserve">Director since </w:t>
      </w:r>
      <w:r>
        <w:rPr>
          <w:rFonts w:ascii="Arial" w:cs="Arial" w:eastAsia="Arial" w:hAnsi="Arial"/>
          <w:sz w:val="17"/>
          <w:szCs w:val="17"/>
          <w:color w:val="auto"/>
        </w:rPr>
        <w:t>April 2020</w:t>
      </w:r>
    </w:p>
    <w:p>
      <w:pPr>
        <w:spacing w:after="0" w:line="169" w:lineRule="exact"/>
        <w:rPr>
          <w:sz w:val="20"/>
          <w:szCs w:val="20"/>
          <w:color w:val="auto"/>
        </w:rPr>
      </w:pPr>
    </w:p>
    <w:p>
      <w:pPr>
        <w:ind w:left="220"/>
        <w:spacing w:after="0" w:line="350" w:lineRule="auto"/>
        <w:rPr>
          <w:sz w:val="20"/>
          <w:szCs w:val="20"/>
          <w:color w:val="auto"/>
        </w:rPr>
      </w:pPr>
      <w:r>
        <w:rPr>
          <w:rFonts w:ascii="Arial" w:cs="Arial" w:eastAsia="Arial" w:hAnsi="Arial"/>
          <w:sz w:val="17"/>
          <w:szCs w:val="17"/>
          <w:color w:val="auto"/>
        </w:rPr>
        <w:t>President &amp; Managing Partner, HM International, LLC</w:t>
      </w:r>
    </w:p>
    <w:p>
      <w:pPr>
        <w:spacing w:after="0" w:line="51"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Committees:</w:t>
      </w:r>
    </w:p>
    <w:p>
      <w:pPr>
        <w:spacing w:after="0" w:line="150" w:lineRule="exact"/>
        <w:rPr>
          <w:sz w:val="20"/>
          <w:szCs w:val="20"/>
          <w:color w:val="auto"/>
        </w:rPr>
      </w:pPr>
    </w:p>
    <w:p>
      <w:pPr>
        <w:ind w:left="400" w:hanging="179"/>
        <w:spacing w:after="0"/>
        <w:tabs>
          <w:tab w:leader="none" w:pos="400" w:val="left"/>
        </w:tabs>
        <w:numPr>
          <w:ilvl w:val="0"/>
          <w:numId w:val="35"/>
        </w:numPr>
        <w:rPr>
          <w:rFonts w:ascii="Arial" w:cs="Arial" w:eastAsia="Arial" w:hAnsi="Arial"/>
          <w:sz w:val="16"/>
          <w:szCs w:val="16"/>
          <w:b w:val="1"/>
          <w:bCs w:val="1"/>
          <w:color w:val="FF7F32"/>
        </w:rPr>
      </w:pPr>
      <w:r>
        <w:rPr>
          <w:rFonts w:ascii="Arial" w:cs="Arial" w:eastAsia="Arial" w:hAnsi="Arial"/>
          <w:sz w:val="16"/>
          <w:szCs w:val="16"/>
          <w:color w:val="auto"/>
        </w:rPr>
        <w:t>Audit and Risk</w:t>
      </w:r>
    </w:p>
    <w:p>
      <w:pPr>
        <w:spacing w:after="0" w:line="126" w:lineRule="exact"/>
        <w:rPr>
          <w:rFonts w:ascii="Arial" w:cs="Arial" w:eastAsia="Arial" w:hAnsi="Arial"/>
          <w:sz w:val="16"/>
          <w:szCs w:val="16"/>
          <w:b w:val="1"/>
          <w:bCs w:val="1"/>
          <w:color w:val="FF7F32"/>
        </w:rPr>
      </w:pPr>
    </w:p>
    <w:p>
      <w:pPr>
        <w:ind w:left="400" w:hanging="179"/>
        <w:spacing w:after="0"/>
        <w:tabs>
          <w:tab w:leader="none" w:pos="400" w:val="left"/>
        </w:tabs>
        <w:numPr>
          <w:ilvl w:val="0"/>
          <w:numId w:val="35"/>
        </w:numPr>
        <w:rPr>
          <w:rFonts w:ascii="Arial" w:cs="Arial" w:eastAsia="Arial" w:hAnsi="Arial"/>
          <w:sz w:val="16"/>
          <w:szCs w:val="16"/>
          <w:b w:val="1"/>
          <w:bCs w:val="1"/>
          <w:color w:val="FF7F32"/>
        </w:rPr>
      </w:pPr>
      <w:r>
        <w:rPr>
          <w:rFonts w:ascii="Arial" w:cs="Arial" w:eastAsia="Arial" w:hAnsi="Arial"/>
          <w:sz w:val="16"/>
          <w:szCs w:val="16"/>
          <w:color w:val="auto"/>
        </w:rPr>
        <w:t>NCG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00"/>
        <w:spacing w:after="0" w:line="336" w:lineRule="auto"/>
        <w:rPr>
          <w:sz w:val="20"/>
          <w:szCs w:val="20"/>
          <w:color w:val="auto"/>
        </w:rPr>
      </w:pPr>
      <w:r>
        <w:rPr>
          <w:rFonts w:ascii="Arial" w:cs="Arial" w:eastAsia="Arial" w:hAnsi="Arial"/>
          <w:sz w:val="16"/>
          <w:szCs w:val="16"/>
          <w:color w:val="auto"/>
        </w:rPr>
        <w:t>Ms. Smalling is President and Managing Partner of HM International, LLC (“HMI”), a diversified holding company with a long term investment focus. She provides oversight and supervision of the operating businesses focusing on strategic planning, financing, acquisition and divestitures.</w:t>
      </w:r>
    </w:p>
    <w:p>
      <w:pPr>
        <w:spacing w:after="0" w:line="64" w:lineRule="exact"/>
        <w:rPr>
          <w:sz w:val="20"/>
          <w:szCs w:val="20"/>
          <w:color w:val="auto"/>
        </w:rPr>
      </w:pPr>
    </w:p>
    <w:p>
      <w:pPr>
        <w:ind w:right="80"/>
        <w:spacing w:after="0" w:line="331" w:lineRule="auto"/>
        <w:rPr>
          <w:sz w:val="20"/>
          <w:szCs w:val="20"/>
          <w:color w:val="auto"/>
        </w:rPr>
      </w:pPr>
      <w:r>
        <w:rPr>
          <w:rFonts w:ascii="Arial" w:cs="Arial" w:eastAsia="Arial" w:hAnsi="Arial"/>
          <w:sz w:val="16"/>
          <w:szCs w:val="16"/>
          <w:color w:val="auto"/>
        </w:rPr>
        <w:t>Ms. Smalling currently serves as the Chair of the Boards of Directors of Quality Sausage Company, LLC, and American Innovations. She also serves on the Boards of Directors of Igasamex, S. de R.L. de C.V., Garrison Brothers, Organicare and The Savings Group. She formerly served as Chairman of Windsor Quality Food Company, a leader in frozen food manufacturing for consumers and foodservice, from 2004 to 2014.</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w:t>
      </w:r>
    </w:p>
    <w:p>
      <w:pPr>
        <w:spacing w:after="0" w:line="68" w:lineRule="exact"/>
        <w:rPr>
          <w:sz w:val="20"/>
          <w:szCs w:val="20"/>
          <w:color w:val="auto"/>
        </w:rPr>
      </w:pPr>
    </w:p>
    <w:p>
      <w:pPr>
        <w:ind w:right="120"/>
        <w:spacing w:after="0" w:line="356" w:lineRule="auto"/>
        <w:rPr>
          <w:sz w:val="20"/>
          <w:szCs w:val="20"/>
          <w:color w:val="auto"/>
        </w:rPr>
      </w:pPr>
      <w:r>
        <w:rPr>
          <w:rFonts w:ascii="Arial" w:cs="Arial" w:eastAsia="Arial" w:hAnsi="Arial"/>
          <w:sz w:val="16"/>
          <w:szCs w:val="16"/>
          <w:color w:val="auto"/>
        </w:rPr>
        <w:t>Ms. Smalling earned a B.S. in Developmental Psychology from Cornell University (1987) and an MBA from Harvard Business School (1992).</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Qualifications</w:t>
      </w:r>
    </w:p>
    <w:p>
      <w:pPr>
        <w:spacing w:after="0" w:line="68" w:lineRule="exact"/>
        <w:rPr>
          <w:sz w:val="20"/>
          <w:szCs w:val="20"/>
          <w:color w:val="auto"/>
        </w:rPr>
      </w:pPr>
    </w:p>
    <w:p>
      <w:pPr>
        <w:ind w:right="80"/>
        <w:spacing w:after="0" w:line="336" w:lineRule="auto"/>
        <w:rPr>
          <w:sz w:val="20"/>
          <w:szCs w:val="20"/>
          <w:color w:val="auto"/>
        </w:rPr>
      </w:pPr>
      <w:r>
        <w:rPr>
          <w:rFonts w:ascii="Arial" w:cs="Arial" w:eastAsia="Arial" w:hAnsi="Arial"/>
          <w:sz w:val="16"/>
          <w:szCs w:val="16"/>
          <w:color w:val="auto"/>
        </w:rPr>
        <w:t>We believe Ms. Smalling’s operational expertise and experience in strategic planning and financing in a broad range of industries, provide the requisite qualifications, skills, perspectives, and experiences to serve on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3487420</wp:posOffset>
            </wp:positionH>
            <wp:positionV relativeFrom="paragraph">
              <wp:posOffset>872490</wp:posOffset>
            </wp:positionV>
            <wp:extent cx="925830" cy="2654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925830" cy="265430"/>
                    </a:xfrm>
                    <a:prstGeom prst="rect">
                      <a:avLst/>
                    </a:prstGeom>
                    <a:noFill/>
                  </pic:spPr>
                </pic:pic>
              </a:graphicData>
            </a:graphic>
          </wp:anchor>
        </w:drawing>
      </w:r>
    </w:p>
    <w:p>
      <w:pPr>
        <w:spacing w:after="0" w:line="502" w:lineRule="exact"/>
        <w:rPr>
          <w:sz w:val="20"/>
          <w:szCs w:val="20"/>
          <w:color w:val="auto"/>
        </w:rPr>
      </w:pPr>
    </w:p>
    <w:p>
      <w:pPr>
        <w:sectPr>
          <w:pgSz w:w="11900" w:h="16838" w:orient="portrait"/>
          <w:cols w:equalWidth="0" w:num="2">
            <w:col w:w="2860" w:space="620"/>
            <w:col w:w="7760"/>
          </w:cols>
          <w:pgMar w:left="320" w:top="25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b w:val="1"/>
                <w:bCs w:val="1"/>
                <w:color w:val="FF7F32"/>
              </w:rPr>
              <w:t xml:space="preserve">2026 </w:t>
            </w:r>
            <w:r>
              <w:rPr>
                <w:rFonts w:ascii="Arial" w:cs="Arial" w:eastAsia="Arial" w:hAnsi="Arial"/>
                <w:sz w:val="13"/>
                <w:szCs w:val="13"/>
                <w:color w:val="000000"/>
              </w:rPr>
              <w:t>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auto"/>
              </w:rPr>
              <w:t>21</w:t>
            </w:r>
          </w:p>
        </w:tc>
      </w:tr>
      <w:tr>
        <w:trPr>
          <w:trHeight w:val="433"/>
        </w:trPr>
        <w:tc>
          <w:tcPr>
            <w:tcW w:w="618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3"/>
          <w:szCs w:val="13"/>
          <w:color w:val="202945"/>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20"/>
        <w:spacing w:after="0"/>
        <w:rPr>
          <w:sz w:val="20"/>
          <w:szCs w:val="20"/>
          <w:color w:val="auto"/>
        </w:rPr>
      </w:pPr>
      <w:r>
        <w:rPr>
          <w:rFonts w:ascii="Arial" w:cs="Arial" w:eastAsia="Arial" w:hAnsi="Arial"/>
          <w:sz w:val="27"/>
          <w:szCs w:val="27"/>
          <w:b w:val="1"/>
          <w:bCs w:val="1"/>
          <w:color w:val="202945"/>
        </w:rPr>
        <w:t>Ravi Venkatesan</w:t>
      </w:r>
    </w:p>
    <w:p>
      <w:pPr>
        <w:spacing w:after="0" w:line="18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6"/>
          <w:szCs w:val="16"/>
          <w:color w:val="auto"/>
        </w:rPr>
        <w:t>49</w:t>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 xml:space="preserve">Director since </w:t>
      </w:r>
      <w:r>
        <w:rPr>
          <w:rFonts w:ascii="Arial" w:cs="Arial" w:eastAsia="Arial" w:hAnsi="Arial"/>
          <w:sz w:val="17"/>
          <w:szCs w:val="17"/>
          <w:color w:val="auto"/>
        </w:rPr>
        <w:t>October 2022</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CEO, Cantaloupe, Inc.</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Committee:</w:t>
      </w:r>
    </w:p>
    <w:p>
      <w:pPr>
        <w:spacing w:after="0" w:line="177" w:lineRule="exact"/>
        <w:rPr>
          <w:sz w:val="20"/>
          <w:szCs w:val="20"/>
          <w:color w:val="auto"/>
        </w:rPr>
      </w:pPr>
    </w:p>
    <w:p>
      <w:pPr>
        <w:ind w:left="400" w:hanging="179"/>
        <w:spacing w:after="0"/>
        <w:tabs>
          <w:tab w:leader="none" w:pos="400" w:val="left"/>
        </w:tabs>
        <w:numPr>
          <w:ilvl w:val="0"/>
          <w:numId w:val="36"/>
        </w:numPr>
        <w:rPr>
          <w:rFonts w:ascii="Arial" w:cs="Arial" w:eastAsia="Arial" w:hAnsi="Arial"/>
          <w:sz w:val="16"/>
          <w:szCs w:val="16"/>
          <w:b w:val="1"/>
          <w:bCs w:val="1"/>
          <w:color w:val="FF7F32"/>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40"/>
        <w:spacing w:after="0" w:line="325" w:lineRule="auto"/>
        <w:rPr>
          <w:sz w:val="20"/>
          <w:szCs w:val="20"/>
          <w:color w:val="auto"/>
        </w:rPr>
      </w:pPr>
      <w:r>
        <w:rPr>
          <w:rFonts w:ascii="Arial" w:cs="Arial" w:eastAsia="Arial" w:hAnsi="Arial"/>
          <w:sz w:val="16"/>
          <w:szCs w:val="16"/>
          <w:color w:val="auto"/>
        </w:rPr>
        <w:t>Mr. Venkatesan is the Company’s Chief Executive Officer. Mr. Venkatesan served as the Company’s Chief Operating Officer from February 2022 until his promotion as CEO effective October 1, 2022 and prior to that, as the Company’s Chief Technology Officer since December 2020. Prior to joining the Company, Mr. Venkatesan was Head of Innovation at Bakkt Holdings, Inc. (“Bakkt”). He held the dual roles of Chief Technology Officer and Chief Product Officer at Bridge2 Solutions, Inc., preceding its sale to ICE, the parent company of Bakkt. Prior to his position at Bakkt he was the Vice President of Information Technology Strategy and Delivery at Cbeyond, Inc. Earlier in his career he served as a consulting leader with Accenture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-2204085</wp:posOffset>
            </wp:positionH>
            <wp:positionV relativeFrom="paragraph">
              <wp:posOffset>-1478915</wp:posOffset>
            </wp:positionV>
            <wp:extent cx="7132320" cy="29832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2983230"/>
                    </a:xfrm>
                    <a:prstGeom prst="rect">
                      <a:avLst/>
                    </a:prstGeom>
                    <a:noFill/>
                  </pic:spPr>
                </pic:pic>
              </a:graphicData>
            </a:graphic>
          </wp:anchor>
        </w:drawing>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w:t>
      </w:r>
    </w:p>
    <w:p>
      <w:pPr>
        <w:spacing w:after="0" w:line="68" w:lineRule="exact"/>
        <w:rPr>
          <w:sz w:val="20"/>
          <w:szCs w:val="20"/>
          <w:color w:val="auto"/>
        </w:rPr>
      </w:pPr>
    </w:p>
    <w:p>
      <w:pPr>
        <w:ind w:right="60"/>
        <w:spacing w:after="0" w:line="336" w:lineRule="auto"/>
        <w:rPr>
          <w:sz w:val="20"/>
          <w:szCs w:val="20"/>
          <w:color w:val="auto"/>
        </w:rPr>
      </w:pPr>
      <w:r>
        <w:rPr>
          <w:rFonts w:ascii="Arial" w:cs="Arial" w:eastAsia="Arial" w:hAnsi="Arial"/>
          <w:sz w:val="16"/>
          <w:szCs w:val="16"/>
          <w:color w:val="auto"/>
        </w:rPr>
        <w:t>Mr. Venkatesan graduated from Bangalore University in 1997 with a degree in Electronics and went through a Post Graduate Program in Finance and Information Management from the Management Development Institute in 2000.</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Qualifications</w:t>
      </w:r>
    </w:p>
    <w:p>
      <w:pPr>
        <w:spacing w:after="0" w:line="59" w:lineRule="exact"/>
        <w:rPr>
          <w:sz w:val="20"/>
          <w:szCs w:val="20"/>
          <w:color w:val="auto"/>
        </w:rPr>
      </w:pPr>
    </w:p>
    <w:p>
      <w:pPr>
        <w:ind w:right="40"/>
        <w:spacing w:after="0" w:line="345" w:lineRule="auto"/>
        <w:rPr>
          <w:sz w:val="20"/>
          <w:szCs w:val="20"/>
          <w:color w:val="auto"/>
        </w:rPr>
      </w:pPr>
      <w:r>
        <w:rPr>
          <w:rFonts w:ascii="Arial" w:cs="Arial" w:eastAsia="Arial" w:hAnsi="Arial"/>
          <w:sz w:val="16"/>
          <w:szCs w:val="16"/>
          <w:color w:val="auto"/>
        </w:rPr>
        <w:t>We believe Mr. Venkatesan’s track record of technology leadership and experience in payments companies, as well as his unique understanding of our operations, opportunities and challenges provide the requisite qualifications, skills, perspectives, and experiences to serve on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3487420</wp:posOffset>
            </wp:positionH>
            <wp:positionV relativeFrom="paragraph">
              <wp:posOffset>259715</wp:posOffset>
            </wp:positionV>
            <wp:extent cx="925830" cy="2654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925830" cy="2654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60" w:space="720"/>
            <w:col w:w="7760"/>
          </w:cols>
          <w:pgMar w:left="320" w:top="257" w:right="339" w:bottom="1440" w:gutter="0" w:footer="0" w:header="0"/>
        </w:sect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b w:val="1"/>
                <w:bCs w:val="1"/>
                <w:color w:val="FF7F32"/>
              </w:rPr>
              <w:t xml:space="preserve">2026 </w:t>
            </w:r>
            <w:r>
              <w:rPr>
                <w:rFonts w:ascii="Arial" w:cs="Arial" w:eastAsia="Arial" w:hAnsi="Arial"/>
                <w:sz w:val="13"/>
                <w:szCs w:val="13"/>
                <w:color w:val="000000"/>
              </w:rPr>
              <w:t>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auto"/>
              </w:rPr>
              <w:t>22</w:t>
            </w:r>
          </w:p>
        </w:tc>
      </w:tr>
      <w:tr>
        <w:trPr>
          <w:trHeight w:val="434"/>
        </w:trPr>
        <w:tc>
          <w:tcPr>
            <w:tcW w:w="618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type w:val="continuous"/>
        </w:sectPr>
      </w:pPr>
    </w:p>
    <w:bookmarkStart w:id="25" w:name="page26"/>
    <w:bookmarkEnd w:id="25"/>
    <w:p>
      <w:pPr>
        <w:ind w:left="9480"/>
        <w:spacing w:after="0"/>
        <w:rPr>
          <w:sz w:val="20"/>
          <w:szCs w:val="20"/>
          <w:color w:val="auto"/>
        </w:rPr>
      </w:pPr>
      <w:r>
        <w:rPr>
          <w:rFonts w:ascii="Arial" w:cs="Arial" w:eastAsia="Arial" w:hAnsi="Arial"/>
          <w:sz w:val="12"/>
          <w:szCs w:val="12"/>
          <w:color w:val="202945"/>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789305</wp:posOffset>
            </wp:positionV>
            <wp:extent cx="7132320" cy="34975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3497580"/>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20"/>
        <w:spacing w:after="0"/>
        <w:rPr>
          <w:sz w:val="20"/>
          <w:szCs w:val="20"/>
          <w:color w:val="auto"/>
        </w:rPr>
      </w:pPr>
      <w:r>
        <w:rPr>
          <w:rFonts w:ascii="Arial" w:cs="Arial" w:eastAsia="Arial" w:hAnsi="Arial"/>
          <w:sz w:val="27"/>
          <w:szCs w:val="27"/>
          <w:b w:val="1"/>
          <w:bCs w:val="1"/>
          <w:color w:val="202945"/>
        </w:rPr>
        <w:t>Shannon S. Warren</w:t>
      </w:r>
    </w:p>
    <w:p>
      <w:pPr>
        <w:spacing w:after="0" w:line="18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56</w:t>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 xml:space="preserve">Director since </w:t>
      </w:r>
      <w:r>
        <w:rPr>
          <w:rFonts w:ascii="Arial" w:cs="Arial" w:eastAsia="Arial" w:hAnsi="Arial"/>
          <w:sz w:val="17"/>
          <w:szCs w:val="17"/>
          <w:color w:val="auto"/>
        </w:rPr>
        <w:t>April 2020</w:t>
      </w:r>
    </w:p>
    <w:p>
      <w:pPr>
        <w:spacing w:after="0" w:line="142" w:lineRule="exact"/>
        <w:rPr>
          <w:sz w:val="20"/>
          <w:szCs w:val="20"/>
          <w:color w:val="auto"/>
        </w:rPr>
      </w:pPr>
    </w:p>
    <w:p>
      <w:pPr>
        <w:ind w:left="220"/>
        <w:spacing w:after="0" w:line="301" w:lineRule="auto"/>
        <w:rPr>
          <w:sz w:val="20"/>
          <w:szCs w:val="20"/>
          <w:color w:val="auto"/>
        </w:rPr>
      </w:pPr>
      <w:r>
        <w:rPr>
          <w:rFonts w:ascii="Arial" w:cs="Arial" w:eastAsia="Arial" w:hAnsi="Arial"/>
          <w:sz w:val="17"/>
          <w:szCs w:val="17"/>
          <w:color w:val="auto"/>
        </w:rPr>
        <w:t>Owner &amp; Principal, SSW Consulting LLC</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Committee</w:t>
      </w:r>
    </w:p>
    <w:p>
      <w:pPr>
        <w:spacing w:after="0" w:line="150" w:lineRule="exact"/>
        <w:rPr>
          <w:sz w:val="20"/>
          <w:szCs w:val="20"/>
          <w:color w:val="auto"/>
        </w:rPr>
      </w:pPr>
    </w:p>
    <w:p>
      <w:pPr>
        <w:ind w:left="400" w:hanging="179"/>
        <w:spacing w:after="0"/>
        <w:tabs>
          <w:tab w:leader="none" w:pos="400" w:val="left"/>
        </w:tabs>
        <w:numPr>
          <w:ilvl w:val="0"/>
          <w:numId w:val="37"/>
        </w:numPr>
        <w:rPr>
          <w:rFonts w:ascii="Arial" w:cs="Arial" w:eastAsia="Arial" w:hAnsi="Arial"/>
          <w:sz w:val="16"/>
          <w:szCs w:val="16"/>
          <w:b w:val="1"/>
          <w:bCs w:val="1"/>
          <w:color w:val="FF7F32"/>
        </w:rPr>
      </w:pPr>
      <w:r>
        <w:rPr>
          <w:rFonts w:ascii="Arial" w:cs="Arial" w:eastAsia="Arial" w:hAnsi="Arial"/>
          <w:sz w:val="16"/>
          <w:szCs w:val="16"/>
          <w:color w:val="auto"/>
        </w:rPr>
        <w:t>Audit and Risk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40"/>
        <w:spacing w:after="0" w:line="325" w:lineRule="auto"/>
        <w:rPr>
          <w:sz w:val="20"/>
          <w:szCs w:val="20"/>
          <w:color w:val="auto"/>
        </w:rPr>
      </w:pPr>
      <w:r>
        <w:rPr>
          <w:rFonts w:ascii="Arial" w:cs="Arial" w:eastAsia="Arial" w:hAnsi="Arial"/>
          <w:sz w:val="16"/>
          <w:szCs w:val="16"/>
          <w:color w:val="auto"/>
        </w:rPr>
        <w:t>Ms. Warren is the owner and principal of SSW Consulting LLC, which provides risk and finance advisory services. Ms. Warren was the Chief Control Officer of JPMorgan Chase &amp; Co. (JPM), a global financial services firm, from 2012 to 2016. In this role, she established the Oversight and Control function, designed the framework for the identification and management of operational risk in all products and services offered by JPM, implemented more comprehensive operational risk management technology and managed supervisory regulatory relationships globally. Prior to this role, Ms. Warren was the Corporate Controller and held several additional finance roles at JPM since joining in 2000, and has expertise in accounting and financial reporting matters.</w:t>
      </w:r>
    </w:p>
    <w:p>
      <w:pPr>
        <w:spacing w:after="0" w:line="72" w:lineRule="exact"/>
        <w:rPr>
          <w:sz w:val="20"/>
          <w:szCs w:val="20"/>
          <w:color w:val="auto"/>
        </w:rPr>
      </w:pPr>
    </w:p>
    <w:p>
      <w:pPr>
        <w:ind w:right="120"/>
        <w:spacing w:after="0" w:line="336" w:lineRule="auto"/>
        <w:rPr>
          <w:sz w:val="20"/>
          <w:szCs w:val="20"/>
          <w:color w:val="auto"/>
        </w:rPr>
      </w:pPr>
      <w:r>
        <w:rPr>
          <w:rFonts w:ascii="Arial" w:cs="Arial" w:eastAsia="Arial" w:hAnsi="Arial"/>
          <w:sz w:val="16"/>
          <w:szCs w:val="16"/>
          <w:color w:val="auto"/>
        </w:rPr>
        <w:t>Ms. Warren currently serves as a member of the Board of Directors of Firstkey Homes LLC, Member of the Competitiveness Council for Cerberus Operations and Advisory Company, and advisor to Brex, Inc. and Azimuth GRC.</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Ms. Warren is a graduate of the University of Michigan and is a Certified Public Accountant (inactive).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Qualifications</w:t>
      </w:r>
    </w:p>
    <w:p>
      <w:pPr>
        <w:spacing w:after="0" w:line="68" w:lineRule="exact"/>
        <w:rPr>
          <w:sz w:val="20"/>
          <w:szCs w:val="20"/>
          <w:color w:val="auto"/>
        </w:rPr>
      </w:pPr>
    </w:p>
    <w:p>
      <w:pPr>
        <w:ind w:right="540"/>
        <w:spacing w:after="0" w:line="356" w:lineRule="auto"/>
        <w:rPr>
          <w:sz w:val="20"/>
          <w:szCs w:val="20"/>
          <w:color w:val="auto"/>
        </w:rPr>
      </w:pPr>
      <w:r>
        <w:rPr>
          <w:rFonts w:ascii="Arial" w:cs="Arial" w:eastAsia="Arial" w:hAnsi="Arial"/>
          <w:sz w:val="16"/>
          <w:szCs w:val="16"/>
          <w:color w:val="auto"/>
        </w:rPr>
        <w:t>We believe Ms. Warren’s extensive experience in the payments industry and in compliance and audit provide the requisite qualifications, skills, perspectives, and experiences to serve on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3487420</wp:posOffset>
            </wp:positionH>
            <wp:positionV relativeFrom="paragraph">
              <wp:posOffset>930910</wp:posOffset>
            </wp:positionV>
            <wp:extent cx="925830" cy="2660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925830" cy="266065"/>
                    </a:xfrm>
                    <a:prstGeom prst="rect">
                      <a:avLst/>
                    </a:prstGeom>
                    <a:noFill/>
                  </pic:spPr>
                </pic:pic>
              </a:graphicData>
            </a:graphic>
          </wp:anchor>
        </w:drawing>
      </w:r>
    </w:p>
    <w:p>
      <w:pPr>
        <w:spacing w:after="0" w:line="216" w:lineRule="exact"/>
        <w:rPr>
          <w:sz w:val="20"/>
          <w:szCs w:val="20"/>
          <w:color w:val="auto"/>
        </w:rPr>
      </w:pPr>
    </w:p>
    <w:p>
      <w:pPr>
        <w:sectPr>
          <w:pgSz w:w="11900" w:h="16838" w:orient="portrait"/>
          <w:cols w:equalWidth="0" w:num="2">
            <w:col w:w="2920" w:space="560"/>
            <w:col w:w="7760"/>
          </w:cols>
          <w:pgMar w:left="320" w:top="25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b w:val="1"/>
                <w:bCs w:val="1"/>
                <w:color w:val="FF7F32"/>
              </w:rPr>
              <w:t xml:space="preserve">2026 </w:t>
            </w:r>
            <w:r>
              <w:rPr>
                <w:rFonts w:ascii="Arial" w:cs="Arial" w:eastAsia="Arial" w:hAnsi="Arial"/>
                <w:sz w:val="13"/>
                <w:szCs w:val="13"/>
                <w:color w:val="000000"/>
              </w:rPr>
              <w:t>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auto"/>
              </w:rPr>
              <w:t>23</w:t>
            </w:r>
          </w:p>
        </w:tc>
      </w:tr>
      <w:tr>
        <w:trPr>
          <w:trHeight w:val="420"/>
        </w:trPr>
        <w:tc>
          <w:tcPr>
            <w:tcW w:w="618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3"/>
          <w:szCs w:val="13"/>
          <w:color w:val="202945"/>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32"/>
          <w:szCs w:val="32"/>
          <w:b w:val="1"/>
          <w:bCs w:val="1"/>
          <w:color w:val="202945"/>
        </w:rPr>
        <w:t>Nomination Process</w:t>
      </w:r>
    </w:p>
    <w:p>
      <w:pPr>
        <w:spacing w:after="0" w:line="357" w:lineRule="exact"/>
        <w:rPr>
          <w:sz w:val="20"/>
          <w:szCs w:val="20"/>
          <w:color w:val="auto"/>
        </w:rPr>
      </w:pPr>
    </w:p>
    <w:p>
      <w:pPr>
        <w:spacing w:after="0"/>
        <w:rPr>
          <w:sz w:val="20"/>
          <w:szCs w:val="20"/>
          <w:color w:val="auto"/>
        </w:rPr>
      </w:pPr>
      <w:r>
        <w:rPr>
          <w:rFonts w:ascii="Arial" w:cs="Arial" w:eastAsia="Arial" w:hAnsi="Arial"/>
          <w:sz w:val="29"/>
          <w:szCs w:val="29"/>
          <w:b w:val="1"/>
          <w:bCs w:val="1"/>
          <w:color w:val="FF7F32"/>
        </w:rPr>
        <w:t>Identification and Selection of Nominees</w:t>
      </w:r>
    </w:p>
    <w:p>
      <w:pPr>
        <w:spacing w:after="0" w:line="267" w:lineRule="exact"/>
        <w:rPr>
          <w:sz w:val="20"/>
          <w:szCs w:val="20"/>
          <w:color w:val="auto"/>
        </w:rPr>
      </w:pPr>
    </w:p>
    <w:p>
      <w:pPr>
        <w:spacing w:after="0" w:line="324" w:lineRule="auto"/>
        <w:rPr>
          <w:sz w:val="20"/>
          <w:szCs w:val="20"/>
          <w:color w:val="auto"/>
        </w:rPr>
      </w:pPr>
      <w:r>
        <w:rPr>
          <w:rFonts w:ascii="Arial" w:cs="Arial" w:eastAsia="Arial" w:hAnsi="Arial"/>
          <w:sz w:val="16"/>
          <w:szCs w:val="16"/>
          <w:color w:val="auto"/>
        </w:rPr>
        <w:t>The Nominating and Corporate Governance Committee is responsible for identifying and recommending for selection by the Board nominees for election or re-election to the Board at the annual shareholder meeting, or to fill any vacancies on the Board. The Nominating and Corporate Governance Committee also reviews and makes recommendations to the Board on the range of skills and expertise and other appropriate criteria that should be represented on the Board. The Nominating and Corporate Governance Committee will generally consider all relevant factors in identifying and recommending candidates to the Board, which may include independence, expertise that is useful to the Company and complementary to the background, skills and experience of the other Board members, a commitment to ethics and integrity, a commitment to personal and organizational accountability, a history of achievement that reflects superior standards for themselves and others, and a willingness to express alternate points of view while, at the same time, being respectful of the opinions of others and working collaboratively as a team player. The Nominating and Corporate Governance Committee will consider the following qualifications that it believes would be useful in director candidates:</w:t>
      </w:r>
    </w:p>
    <w:p>
      <w:pPr>
        <w:spacing w:after="0" w:line="195" w:lineRule="exact"/>
        <w:rPr>
          <w:sz w:val="20"/>
          <w:szCs w:val="20"/>
          <w:color w:val="auto"/>
        </w:rPr>
      </w:pPr>
    </w:p>
    <w:tbl>
      <w:tblPr>
        <w:tblLayout w:type="fixed"/>
        <w:tblInd w:w="260" w:type="dxa"/>
        <w:tblCellMar>
          <w:top w:w="0" w:type="dxa"/>
          <w:left w:w="0" w:type="dxa"/>
          <w:bottom w:w="0" w:type="dxa"/>
          <w:right w:w="0" w:type="dxa"/>
        </w:tblCellMar>
      </w:tblPr>
      <w:tr>
        <w:trPr>
          <w:trHeight w:val="1226"/>
        </w:trPr>
        <w:tc>
          <w:tcPr>
            <w:tcW w:w="1880" w:type="dxa"/>
            <w:vAlign w:val="bottom"/>
            <w:tcBorders>
              <w:right w:val="single" w:sz="8" w:color="E5E5E5"/>
            </w:tcBorders>
          </w:tcPr>
          <w:p>
            <w:pPr>
              <w:jc w:val="center"/>
              <w:ind w:right="359"/>
              <w:spacing w:after="0"/>
              <w:rPr>
                <w:sz w:val="20"/>
                <w:szCs w:val="20"/>
                <w:color w:val="auto"/>
              </w:rPr>
            </w:pPr>
            <w:r>
              <w:rPr>
                <w:rFonts w:ascii="Arial" w:cs="Arial" w:eastAsia="Arial" w:hAnsi="Arial"/>
                <w:sz w:val="16"/>
                <w:szCs w:val="16"/>
                <w:color w:val="auto"/>
              </w:rPr>
              <w:t>Payments</w:t>
            </w:r>
          </w:p>
        </w:tc>
        <w:tc>
          <w:tcPr>
            <w:tcW w:w="2300" w:type="dxa"/>
            <w:vAlign w:val="bottom"/>
            <w:tcBorders>
              <w:right w:val="single" w:sz="8" w:color="E5E5E5"/>
            </w:tcBorders>
          </w:tcPr>
          <w:p>
            <w:pPr>
              <w:jc w:val="center"/>
              <w:spacing w:after="0"/>
              <w:rPr>
                <w:sz w:val="20"/>
                <w:szCs w:val="20"/>
                <w:color w:val="auto"/>
              </w:rPr>
            </w:pPr>
            <w:r>
              <w:rPr>
                <w:rFonts w:ascii="Arial" w:cs="Arial" w:eastAsia="Arial" w:hAnsi="Arial"/>
                <w:sz w:val="16"/>
                <w:szCs w:val="16"/>
                <w:color w:val="auto"/>
              </w:rPr>
              <w:t>Experience in</w:t>
            </w:r>
          </w:p>
        </w:tc>
        <w:tc>
          <w:tcPr>
            <w:tcW w:w="2320" w:type="dxa"/>
            <w:vAlign w:val="bottom"/>
            <w:tcBorders>
              <w:right w:val="single" w:sz="8" w:color="E5E5E5"/>
            </w:tcBorders>
          </w:tcPr>
          <w:p>
            <w:pPr>
              <w:jc w:val="center"/>
              <w:spacing w:after="0"/>
              <w:rPr>
                <w:sz w:val="20"/>
                <w:szCs w:val="20"/>
                <w:color w:val="auto"/>
              </w:rPr>
            </w:pPr>
            <w:r>
              <w:rPr>
                <w:rFonts w:ascii="Arial" w:cs="Arial" w:eastAsia="Arial" w:hAnsi="Arial"/>
                <w:sz w:val="16"/>
                <w:szCs w:val="16"/>
                <w:color w:val="auto"/>
              </w:rPr>
              <w:t>Experience in</w:t>
            </w:r>
          </w:p>
        </w:tc>
        <w:tc>
          <w:tcPr>
            <w:tcW w:w="2300" w:type="dxa"/>
            <w:vAlign w:val="bottom"/>
            <w:tcBorders>
              <w:right w:val="single" w:sz="8" w:color="E5E5E5"/>
            </w:tcBorders>
          </w:tcPr>
          <w:p>
            <w:pPr>
              <w:jc w:val="center"/>
              <w:spacing w:after="0"/>
              <w:rPr>
                <w:sz w:val="20"/>
                <w:szCs w:val="20"/>
                <w:color w:val="auto"/>
              </w:rPr>
            </w:pPr>
            <w:r>
              <w:rPr>
                <w:rFonts w:ascii="Arial" w:cs="Arial" w:eastAsia="Arial" w:hAnsi="Arial"/>
                <w:sz w:val="16"/>
                <w:szCs w:val="16"/>
                <w:color w:val="auto"/>
              </w:rPr>
              <w:t>Sales Leadership</w:t>
            </w:r>
          </w:p>
        </w:tc>
        <w:tc>
          <w:tcPr>
            <w:tcW w:w="1760" w:type="dxa"/>
            <w:vAlign w:val="bottom"/>
          </w:tcPr>
          <w:p>
            <w:pPr>
              <w:jc w:val="center"/>
              <w:ind w:left="439"/>
              <w:spacing w:after="0"/>
              <w:rPr>
                <w:sz w:val="20"/>
                <w:szCs w:val="20"/>
                <w:color w:val="auto"/>
              </w:rPr>
            </w:pPr>
            <w:r>
              <w:rPr>
                <w:rFonts w:ascii="Arial" w:cs="Arial" w:eastAsia="Arial" w:hAnsi="Arial"/>
                <w:sz w:val="16"/>
                <w:szCs w:val="16"/>
                <w:color w:val="auto"/>
              </w:rPr>
              <w:t>Diversity of</w:t>
            </w:r>
          </w:p>
        </w:tc>
      </w:tr>
      <w:tr>
        <w:trPr>
          <w:trHeight w:val="243"/>
        </w:trPr>
        <w:tc>
          <w:tcPr>
            <w:tcW w:w="1880" w:type="dxa"/>
            <w:vAlign w:val="bottom"/>
            <w:tcBorders>
              <w:right w:val="single" w:sz="8" w:color="E5E5E5"/>
            </w:tcBorders>
          </w:tcPr>
          <w:p>
            <w:pPr>
              <w:jc w:val="center"/>
              <w:ind w:right="359"/>
              <w:spacing w:after="0"/>
              <w:rPr>
                <w:sz w:val="20"/>
                <w:szCs w:val="20"/>
                <w:color w:val="auto"/>
              </w:rPr>
            </w:pPr>
            <w:r>
              <w:rPr>
                <w:rFonts w:ascii="Arial" w:cs="Arial" w:eastAsia="Arial" w:hAnsi="Arial"/>
                <w:sz w:val="16"/>
                <w:szCs w:val="16"/>
                <w:color w:val="auto"/>
              </w:rPr>
              <w:t>Industry Experience</w:t>
            </w:r>
          </w:p>
        </w:tc>
        <w:tc>
          <w:tcPr>
            <w:tcW w:w="2300" w:type="dxa"/>
            <w:vAlign w:val="bottom"/>
            <w:tcBorders>
              <w:right w:val="single" w:sz="8" w:color="E5E5E5"/>
            </w:tcBorders>
          </w:tcPr>
          <w:p>
            <w:pPr>
              <w:jc w:val="center"/>
              <w:spacing w:after="0"/>
              <w:rPr>
                <w:sz w:val="20"/>
                <w:szCs w:val="20"/>
                <w:color w:val="auto"/>
              </w:rPr>
            </w:pPr>
            <w:r>
              <w:rPr>
                <w:rFonts w:ascii="Arial" w:cs="Arial" w:eastAsia="Arial" w:hAnsi="Arial"/>
                <w:sz w:val="16"/>
                <w:szCs w:val="16"/>
                <w:color w:val="auto"/>
              </w:rPr>
              <w:t>Building a Growth</w:t>
            </w:r>
          </w:p>
        </w:tc>
        <w:tc>
          <w:tcPr>
            <w:tcW w:w="2320" w:type="dxa"/>
            <w:vAlign w:val="bottom"/>
            <w:tcBorders>
              <w:right w:val="single" w:sz="8" w:color="E5E5E5"/>
            </w:tcBorders>
          </w:tcPr>
          <w:p>
            <w:pPr>
              <w:jc w:val="center"/>
              <w:spacing w:after="0"/>
              <w:rPr>
                <w:sz w:val="20"/>
                <w:szCs w:val="20"/>
                <w:color w:val="auto"/>
              </w:rPr>
            </w:pPr>
            <w:r>
              <w:rPr>
                <w:rFonts w:ascii="Arial" w:cs="Arial" w:eastAsia="Arial" w:hAnsi="Arial"/>
                <w:sz w:val="16"/>
                <w:szCs w:val="16"/>
                <w:color w:val="auto"/>
              </w:rPr>
              <w:t>Bringing</w:t>
            </w:r>
          </w:p>
        </w:tc>
        <w:tc>
          <w:tcPr>
            <w:tcW w:w="2300" w:type="dxa"/>
            <w:vAlign w:val="bottom"/>
            <w:tcBorders>
              <w:right w:val="single" w:sz="8" w:color="E5E5E5"/>
            </w:tcBorders>
          </w:tcPr>
          <w:p>
            <w:pPr>
              <w:jc w:val="center"/>
              <w:spacing w:after="0"/>
              <w:rPr>
                <w:sz w:val="20"/>
                <w:szCs w:val="20"/>
                <w:color w:val="auto"/>
              </w:rPr>
            </w:pPr>
            <w:r>
              <w:rPr>
                <w:rFonts w:ascii="Arial" w:cs="Arial" w:eastAsia="Arial" w:hAnsi="Arial"/>
                <w:sz w:val="16"/>
                <w:szCs w:val="16"/>
                <w:color w:val="auto"/>
              </w:rPr>
              <w:t>Experience</w:t>
            </w:r>
          </w:p>
        </w:tc>
        <w:tc>
          <w:tcPr>
            <w:tcW w:w="1760" w:type="dxa"/>
            <w:vAlign w:val="bottom"/>
          </w:tcPr>
          <w:p>
            <w:pPr>
              <w:jc w:val="center"/>
              <w:ind w:left="439"/>
              <w:spacing w:after="0"/>
              <w:rPr>
                <w:sz w:val="20"/>
                <w:szCs w:val="20"/>
                <w:color w:val="auto"/>
              </w:rPr>
            </w:pPr>
            <w:r>
              <w:rPr>
                <w:rFonts w:ascii="Arial" w:cs="Arial" w:eastAsia="Arial" w:hAnsi="Arial"/>
                <w:sz w:val="16"/>
                <w:szCs w:val="16"/>
                <w:color w:val="auto"/>
              </w:rPr>
              <w:t>Background</w:t>
            </w:r>
          </w:p>
        </w:tc>
      </w:tr>
      <w:tr>
        <w:trPr>
          <w:trHeight w:val="243"/>
        </w:trPr>
        <w:tc>
          <w:tcPr>
            <w:tcW w:w="1880" w:type="dxa"/>
            <w:vAlign w:val="bottom"/>
            <w:tcBorders>
              <w:right w:val="single" w:sz="8" w:color="E5E5E5"/>
            </w:tcBorders>
          </w:tcPr>
          <w:p>
            <w:pPr>
              <w:spacing w:after="0"/>
              <w:rPr>
                <w:sz w:val="21"/>
                <w:szCs w:val="21"/>
                <w:color w:val="auto"/>
              </w:rPr>
            </w:pPr>
          </w:p>
        </w:tc>
        <w:tc>
          <w:tcPr>
            <w:tcW w:w="2300" w:type="dxa"/>
            <w:vAlign w:val="bottom"/>
            <w:tcBorders>
              <w:right w:val="single" w:sz="8" w:color="E5E5E5"/>
            </w:tcBorders>
          </w:tcPr>
          <w:p>
            <w:pPr>
              <w:jc w:val="center"/>
              <w:spacing w:after="0"/>
              <w:rPr>
                <w:sz w:val="20"/>
                <w:szCs w:val="20"/>
                <w:color w:val="auto"/>
              </w:rPr>
            </w:pPr>
            <w:r>
              <w:rPr>
                <w:rFonts w:ascii="Arial" w:cs="Arial" w:eastAsia="Arial" w:hAnsi="Arial"/>
                <w:sz w:val="16"/>
                <w:szCs w:val="16"/>
                <w:color w:val="auto"/>
              </w:rPr>
              <w:t>Company</w:t>
            </w:r>
          </w:p>
        </w:tc>
        <w:tc>
          <w:tcPr>
            <w:tcW w:w="2320" w:type="dxa"/>
            <w:vAlign w:val="bottom"/>
            <w:tcBorders>
              <w:right w:val="single" w:sz="8" w:color="E5E5E5"/>
            </w:tcBorders>
          </w:tcPr>
          <w:p>
            <w:pPr>
              <w:jc w:val="center"/>
              <w:spacing w:after="0"/>
              <w:rPr>
                <w:sz w:val="20"/>
                <w:szCs w:val="20"/>
                <w:color w:val="auto"/>
              </w:rPr>
            </w:pPr>
            <w:r>
              <w:rPr>
                <w:rFonts w:ascii="Arial" w:cs="Arial" w:eastAsia="Arial" w:hAnsi="Arial"/>
                <w:sz w:val="16"/>
                <w:szCs w:val="16"/>
                <w:color w:val="auto"/>
                <w:w w:val="99"/>
              </w:rPr>
              <w:t>Technology to</w:t>
            </w:r>
          </w:p>
        </w:tc>
        <w:tc>
          <w:tcPr>
            <w:tcW w:w="2300" w:type="dxa"/>
            <w:vAlign w:val="bottom"/>
            <w:tcBorders>
              <w:right w:val="single" w:sz="8" w:color="E5E5E5"/>
            </w:tcBorders>
          </w:tcPr>
          <w:p>
            <w:pPr>
              <w:spacing w:after="0"/>
              <w:rPr>
                <w:sz w:val="21"/>
                <w:szCs w:val="21"/>
                <w:color w:val="auto"/>
              </w:rPr>
            </w:pPr>
          </w:p>
        </w:tc>
        <w:tc>
          <w:tcPr>
            <w:tcW w:w="1760" w:type="dxa"/>
            <w:vAlign w:val="bottom"/>
          </w:tcPr>
          <w:p>
            <w:pPr>
              <w:jc w:val="center"/>
              <w:ind w:left="439"/>
              <w:spacing w:after="0"/>
              <w:rPr>
                <w:sz w:val="20"/>
                <w:szCs w:val="20"/>
                <w:color w:val="auto"/>
              </w:rPr>
            </w:pPr>
            <w:r>
              <w:rPr>
                <w:rFonts w:ascii="Arial" w:cs="Arial" w:eastAsia="Arial" w:hAnsi="Arial"/>
                <w:sz w:val="16"/>
                <w:szCs w:val="16"/>
                <w:color w:val="auto"/>
              </w:rPr>
              <w:t>including Gender</w:t>
            </w:r>
          </w:p>
        </w:tc>
      </w:tr>
      <w:tr>
        <w:trPr>
          <w:trHeight w:val="243"/>
        </w:trPr>
        <w:tc>
          <w:tcPr>
            <w:tcW w:w="1880" w:type="dxa"/>
            <w:vAlign w:val="bottom"/>
            <w:tcBorders>
              <w:right w:val="single" w:sz="8" w:color="E5E5E5"/>
            </w:tcBorders>
          </w:tcPr>
          <w:p>
            <w:pPr>
              <w:spacing w:after="0"/>
              <w:rPr>
                <w:sz w:val="21"/>
                <w:szCs w:val="21"/>
                <w:color w:val="auto"/>
              </w:rPr>
            </w:pPr>
          </w:p>
        </w:tc>
        <w:tc>
          <w:tcPr>
            <w:tcW w:w="2300" w:type="dxa"/>
            <w:vAlign w:val="bottom"/>
            <w:tcBorders>
              <w:right w:val="single" w:sz="8" w:color="E5E5E5"/>
            </w:tcBorders>
          </w:tcPr>
          <w:p>
            <w:pPr>
              <w:spacing w:after="0"/>
              <w:rPr>
                <w:sz w:val="21"/>
                <w:szCs w:val="21"/>
                <w:color w:val="auto"/>
              </w:rPr>
            </w:pPr>
          </w:p>
        </w:tc>
        <w:tc>
          <w:tcPr>
            <w:tcW w:w="2320" w:type="dxa"/>
            <w:vAlign w:val="bottom"/>
            <w:tcBorders>
              <w:right w:val="single" w:sz="8" w:color="E5E5E5"/>
            </w:tcBorders>
          </w:tcPr>
          <w:p>
            <w:pPr>
              <w:jc w:val="center"/>
              <w:spacing w:after="0"/>
              <w:rPr>
                <w:sz w:val="20"/>
                <w:szCs w:val="20"/>
                <w:color w:val="auto"/>
              </w:rPr>
            </w:pPr>
            <w:r>
              <w:rPr>
                <w:rFonts w:ascii="Arial" w:cs="Arial" w:eastAsia="Arial" w:hAnsi="Arial"/>
                <w:sz w:val="16"/>
                <w:szCs w:val="16"/>
                <w:color w:val="auto"/>
              </w:rPr>
              <w:t>Market</w:t>
            </w:r>
          </w:p>
        </w:tc>
        <w:tc>
          <w:tcPr>
            <w:tcW w:w="2300" w:type="dxa"/>
            <w:vAlign w:val="bottom"/>
            <w:tcBorders>
              <w:right w:val="single" w:sz="8" w:color="E5E5E5"/>
            </w:tcBorders>
          </w:tcPr>
          <w:p>
            <w:pPr>
              <w:spacing w:after="0"/>
              <w:rPr>
                <w:sz w:val="21"/>
                <w:szCs w:val="21"/>
                <w:color w:val="auto"/>
              </w:rPr>
            </w:pPr>
          </w:p>
        </w:tc>
        <w:tc>
          <w:tcPr>
            <w:tcW w:w="1760" w:type="dxa"/>
            <w:vAlign w:val="bottom"/>
          </w:tcPr>
          <w:p>
            <w:pPr>
              <w:jc w:val="center"/>
              <w:ind w:left="439"/>
              <w:spacing w:after="0"/>
              <w:rPr>
                <w:sz w:val="20"/>
                <w:szCs w:val="20"/>
                <w:color w:val="auto"/>
              </w:rPr>
            </w:pPr>
            <w:r>
              <w:rPr>
                <w:rFonts w:ascii="Arial" w:cs="Arial" w:eastAsia="Arial" w:hAnsi="Arial"/>
                <w:sz w:val="16"/>
                <w:szCs w:val="16"/>
                <w:color w:val="auto"/>
              </w:rPr>
              <w:t>and Ethnicity</w:t>
            </w:r>
          </w:p>
        </w:tc>
      </w:tr>
      <w:tr>
        <w:trPr>
          <w:trHeight w:val="231"/>
        </w:trPr>
        <w:tc>
          <w:tcPr>
            <w:tcW w:w="1880" w:type="dxa"/>
            <w:vAlign w:val="bottom"/>
            <w:tcBorders>
              <w:right w:val="single" w:sz="8" w:color="E5E5E5"/>
            </w:tcBorders>
          </w:tcPr>
          <w:p>
            <w:pPr>
              <w:spacing w:after="0"/>
              <w:rPr>
                <w:sz w:val="20"/>
                <w:szCs w:val="20"/>
                <w:color w:val="auto"/>
              </w:rPr>
            </w:pPr>
          </w:p>
        </w:tc>
        <w:tc>
          <w:tcPr>
            <w:tcW w:w="2300" w:type="dxa"/>
            <w:vAlign w:val="bottom"/>
            <w:tcBorders>
              <w:right w:val="single" w:sz="8" w:color="E5E5E5"/>
            </w:tcBorders>
          </w:tcPr>
          <w:p>
            <w:pPr>
              <w:spacing w:after="0"/>
              <w:rPr>
                <w:sz w:val="20"/>
                <w:szCs w:val="20"/>
                <w:color w:val="auto"/>
              </w:rPr>
            </w:pPr>
          </w:p>
        </w:tc>
        <w:tc>
          <w:tcPr>
            <w:tcW w:w="2320" w:type="dxa"/>
            <w:vAlign w:val="bottom"/>
            <w:tcBorders>
              <w:right w:val="single" w:sz="8" w:color="E5E5E5"/>
            </w:tcBorders>
          </w:tcPr>
          <w:p>
            <w:pPr>
              <w:spacing w:after="0"/>
              <w:rPr>
                <w:sz w:val="20"/>
                <w:szCs w:val="20"/>
                <w:color w:val="auto"/>
              </w:rPr>
            </w:pPr>
          </w:p>
        </w:tc>
        <w:tc>
          <w:tcPr>
            <w:tcW w:w="2300" w:type="dxa"/>
            <w:vAlign w:val="bottom"/>
            <w:tcBorders>
              <w:right w:val="single" w:sz="8" w:color="E5E5E5"/>
            </w:tcBorders>
          </w:tcPr>
          <w:p>
            <w:pPr>
              <w:spacing w:after="0"/>
              <w:rPr>
                <w:sz w:val="20"/>
                <w:szCs w:val="20"/>
                <w:color w:val="auto"/>
              </w:rPr>
            </w:pPr>
          </w:p>
        </w:tc>
        <w:tc>
          <w:tcPr>
            <w:tcW w:w="17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-1268095</wp:posOffset>
            </wp:positionV>
            <wp:extent cx="316865" cy="3600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16865" cy="36004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-1268095</wp:posOffset>
            </wp:positionV>
            <wp:extent cx="368300" cy="3600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68300" cy="36004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-1268095</wp:posOffset>
            </wp:positionV>
            <wp:extent cx="325755" cy="3600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25755" cy="3600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-1268095</wp:posOffset>
            </wp:positionV>
            <wp:extent cx="342900" cy="3600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42900" cy="36004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-1216660</wp:posOffset>
            </wp:positionV>
            <wp:extent cx="445770" cy="2489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45770" cy="248920"/>
                    </a:xfrm>
                    <a:prstGeom prst="rect">
                      <a:avLst/>
                    </a:prstGeom>
                    <a:noFill/>
                  </pic:spPr>
                </pic:pic>
              </a:graphicData>
            </a:graphic>
          </wp:anchor>
        </w:drawing>
      </w:r>
    </w:p>
    <w:p>
      <w:pPr>
        <w:sectPr>
          <w:pgSz w:w="11900" w:h="16838" w:orient="portrait"/>
          <w:cols w:equalWidth="0" w:num="1">
            <w:col w:w="11220"/>
          </w:cols>
          <w:pgMar w:left="320" w:top="257" w:right="359" w:bottom="1440" w:gutter="0" w:footer="0" w:header="0"/>
        </w:sectPr>
      </w:pPr>
    </w:p>
    <w:p>
      <w:pPr>
        <w:spacing w:after="0" w:line="202" w:lineRule="exact"/>
        <w:rPr>
          <w:sz w:val="20"/>
          <w:szCs w:val="20"/>
          <w:color w:val="auto"/>
        </w:rPr>
      </w:pPr>
    </w:p>
    <w:p>
      <w:pPr>
        <w:spacing w:after="0" w:line="356" w:lineRule="auto"/>
        <w:rPr>
          <w:sz w:val="20"/>
          <w:szCs w:val="20"/>
          <w:color w:val="auto"/>
        </w:rPr>
      </w:pPr>
      <w:r>
        <w:rPr>
          <w:rFonts w:ascii="Arial" w:cs="Arial" w:eastAsia="Arial" w:hAnsi="Arial"/>
          <w:sz w:val="16"/>
          <w:szCs w:val="16"/>
          <w:color w:val="auto"/>
        </w:rPr>
        <w:t>No less than a majority of directors on the Board, as well as all members of the Audit, Compensation,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3308985" cy="21005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308985" cy="21005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280"/>
        <w:spacing w:after="0" w:line="356" w:lineRule="auto"/>
        <w:rPr>
          <w:sz w:val="20"/>
          <w:szCs w:val="20"/>
          <w:color w:val="auto"/>
        </w:rPr>
      </w:pPr>
      <w:r>
        <w:rPr>
          <w:rFonts w:ascii="Arial" w:cs="Arial" w:eastAsia="Arial" w:hAnsi="Arial"/>
          <w:sz w:val="16"/>
          <w:szCs w:val="16"/>
          <w:color w:val="auto"/>
        </w:rPr>
        <w:t>Nominating and Corporate Governance Committees, are independent, as required by Nasdaq.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90805</wp:posOffset>
            </wp:positionV>
            <wp:extent cx="2794635" cy="27946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794635" cy="27946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300"/>
            <w:col w:w="5540"/>
          </w:cols>
          <w:pgMar w:left="320" w:top="257" w:right="359" w:bottom="1440" w:gutter="0" w:footer="0" w:header="0"/>
          <w:type w:val="continuous"/>
        </w:sectPr>
      </w:pPr>
    </w:p>
    <w:p>
      <w:pPr>
        <w:spacing w:after="0" w:line="321"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Director Policies and Expectations</w:t>
      </w:r>
    </w:p>
    <w:p>
      <w:pPr>
        <w:spacing w:after="0" w:line="167" w:lineRule="exact"/>
        <w:rPr>
          <w:sz w:val="20"/>
          <w:szCs w:val="20"/>
          <w:color w:val="auto"/>
        </w:rPr>
      </w:pPr>
    </w:p>
    <w:p>
      <w:pPr>
        <w:ind w:left="280" w:right="6340"/>
        <w:spacing w:after="0" w:line="356" w:lineRule="auto"/>
        <w:rPr>
          <w:sz w:val="20"/>
          <w:szCs w:val="20"/>
          <w:color w:val="auto"/>
        </w:rPr>
      </w:pPr>
      <w:r>
        <w:rPr>
          <w:rFonts w:ascii="Arial" w:cs="Arial" w:eastAsia="Arial" w:hAnsi="Arial"/>
          <w:sz w:val="16"/>
          <w:szCs w:val="16"/>
          <w:color w:val="auto"/>
        </w:rPr>
        <w:t>Directors are elected each year, there are no term limits for serving on the Board, and there is no mandatory retirement age.</w:t>
      </w:r>
    </w:p>
    <w:p>
      <w:pPr>
        <w:spacing w:after="0" w:line="48" w:lineRule="exact"/>
        <w:rPr>
          <w:sz w:val="20"/>
          <w:szCs w:val="20"/>
          <w:color w:val="auto"/>
        </w:rPr>
      </w:pPr>
    </w:p>
    <w:p>
      <w:pPr>
        <w:ind w:left="280" w:right="6400"/>
        <w:spacing w:after="0" w:line="326" w:lineRule="auto"/>
        <w:rPr>
          <w:sz w:val="20"/>
          <w:szCs w:val="20"/>
          <w:color w:val="auto"/>
        </w:rPr>
      </w:pPr>
      <w:r>
        <w:rPr>
          <w:rFonts w:ascii="Arial" w:cs="Arial" w:eastAsia="Arial" w:hAnsi="Arial"/>
          <w:sz w:val="16"/>
          <w:szCs w:val="16"/>
          <w:color w:val="auto"/>
        </w:rPr>
        <w:t>Each member of the Board is expected to ensure that other existing and future commitments, including employment responsibilities and service on the boards of other entities, do not materially interfere with the member’s service as a director. No independent director may serve on the Boards of more than four other public companies, and no employee director may serve on the Boards of more than one other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1306830</wp:posOffset>
            </wp:positionV>
            <wp:extent cx="925830" cy="2660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925830" cy="266065"/>
                    </a:xfrm>
                    <a:prstGeom prst="rect">
                      <a:avLst/>
                    </a:prstGeom>
                    <a:noFill/>
                  </pic:spPr>
                </pic:pic>
              </a:graphicData>
            </a:graphic>
          </wp:anchor>
        </w:drawing>
      </w:r>
    </w:p>
    <w:p>
      <w:pPr>
        <w:sectPr>
          <w:pgSz w:w="11900" w:h="16838" w:orient="portrait"/>
          <w:cols w:equalWidth="0" w:num="1">
            <w:col w:w="11220"/>
          </w:cols>
          <w:pgMar w:left="320" w:top="257"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auto"/>
        </w:rPr>
        <w:t>24</w:t>
      </w:r>
      <w:r>
        <w:rPr>
          <w:sz w:val="20"/>
          <w:szCs w:val="20"/>
          <w:color w:val="auto"/>
        </w:rPr>
        <w:tab/>
      </w:r>
      <w:r>
        <w:rPr>
          <w:rFonts w:ascii="Arial" w:cs="Arial" w:eastAsia="Arial" w:hAnsi="Arial"/>
          <w:sz w:val="12"/>
          <w:szCs w:val="12"/>
          <w:b w:val="1"/>
          <w:bCs w:val="1"/>
          <w:color w:val="FF7F32"/>
        </w:rPr>
        <w:t xml:space="preserve">2026 </w:t>
      </w:r>
      <w:r>
        <w:rPr>
          <w:rFonts w:ascii="Arial" w:cs="Arial" w:eastAsia="Arial" w:hAnsi="Arial"/>
          <w:sz w:val="12"/>
          <w:szCs w:val="12"/>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7" w:right="359" w:bottom="1440" w:gutter="0" w:footer="0" w:header="0"/>
          <w:type w:val="continuous"/>
        </w:sectPr>
      </w:pPr>
    </w:p>
    <w:bookmarkStart w:id="27" w:name="page28"/>
    <w:bookmarkEnd w:id="27"/>
    <w:p>
      <w:pPr>
        <w:jc w:val="right"/>
        <w:spacing w:after="0"/>
        <w:rPr>
          <w:sz w:val="20"/>
          <w:szCs w:val="20"/>
          <w:color w:val="auto"/>
        </w:rPr>
      </w:pPr>
      <w:r>
        <w:rPr>
          <w:rFonts w:ascii="Arial" w:cs="Arial" w:eastAsia="Arial" w:hAnsi="Arial"/>
          <w:sz w:val="13"/>
          <w:szCs w:val="13"/>
          <w:color w:val="202945"/>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7"/>
          <w:szCs w:val="27"/>
          <w:color w:val="202945"/>
        </w:rPr>
        <w:t>New Director Candidates</w:t>
      </w:r>
    </w:p>
    <w:p>
      <w:pPr>
        <w:spacing w:after="0" w:line="189" w:lineRule="exact"/>
        <w:rPr>
          <w:sz w:val="20"/>
          <w:szCs w:val="20"/>
          <w:color w:val="auto"/>
        </w:rPr>
      </w:pPr>
    </w:p>
    <w:p>
      <w:pPr>
        <w:jc w:val="both"/>
        <w:ind w:right="20"/>
        <w:spacing w:after="0" w:line="330" w:lineRule="auto"/>
        <w:rPr>
          <w:sz w:val="20"/>
          <w:szCs w:val="20"/>
          <w:color w:val="auto"/>
        </w:rPr>
      </w:pPr>
      <w:r>
        <w:rPr>
          <w:rFonts w:ascii="Arial" w:cs="Arial" w:eastAsia="Arial" w:hAnsi="Arial"/>
          <w:sz w:val="16"/>
          <w:szCs w:val="16"/>
          <w:color w:val="auto"/>
        </w:rPr>
        <w:t>The directors on the Company’s Nominating and Corporate Governance Committee use their available network of contacts when compiling a list of potential director candidates. The Nominating and Corporate Governance Committee also considers potential director candidates recommended by shareholders and other parties, including other directors, and all potential candidates are evaluated based upon the above criteria. The Nominating and Corporate Governance Committee makes no distinction in its evaluation of candidates based upon whether such candidates are recommended by shareholders or other parties.</w:t>
      </w:r>
    </w:p>
    <w:p>
      <w:pPr>
        <w:spacing w:after="0" w:line="68" w:lineRule="exact"/>
        <w:rPr>
          <w:sz w:val="20"/>
          <w:szCs w:val="20"/>
          <w:color w:val="auto"/>
        </w:rPr>
      </w:pPr>
    </w:p>
    <w:p>
      <w:pPr>
        <w:ind w:right="180"/>
        <w:spacing w:after="0" w:line="336" w:lineRule="auto"/>
        <w:rPr>
          <w:sz w:val="20"/>
          <w:szCs w:val="20"/>
          <w:color w:val="auto"/>
        </w:rPr>
      </w:pPr>
      <w:r>
        <w:rPr>
          <w:rFonts w:ascii="Arial" w:cs="Arial" w:eastAsia="Arial" w:hAnsi="Arial"/>
          <w:sz w:val="16"/>
          <w:szCs w:val="16"/>
          <w:color w:val="auto"/>
        </w:rPr>
        <w:t>Shareholders who wish to propose a potential director candidate may submit a recommendation in writing to the Secretary, Cantaloupe, Inc., 101 Lindenwood Drive, Suite 120, Malvern, Pennsylvania 19355, specifying the name of the candidate and stating in detail the qualifications of such person for consideration by the Nominating and Corporate Governance Committee. A written statement from the candidate consenting to be named as a candidate and, if nominated and elected, to serve as a director, should accompany any such recommendation.</w:t>
      </w:r>
    </w:p>
    <w:p>
      <w:pPr>
        <w:spacing w:after="0" w:line="63" w:lineRule="exact"/>
        <w:rPr>
          <w:sz w:val="20"/>
          <w:szCs w:val="20"/>
          <w:color w:val="auto"/>
        </w:rPr>
      </w:pPr>
    </w:p>
    <w:p>
      <w:pPr>
        <w:ind w:right="40"/>
        <w:spacing w:after="0" w:line="330" w:lineRule="auto"/>
        <w:rPr>
          <w:sz w:val="20"/>
          <w:szCs w:val="20"/>
          <w:color w:val="auto"/>
        </w:rPr>
      </w:pPr>
      <w:r>
        <w:rPr>
          <w:rFonts w:ascii="Arial" w:cs="Arial" w:eastAsia="Arial" w:hAnsi="Arial"/>
          <w:sz w:val="16"/>
          <w:szCs w:val="16"/>
          <w:color w:val="auto"/>
        </w:rPr>
        <w:t>Our bylaws also provide for proxy access, which enables eligible shareholders to include their nominees for election as directors in our proxy statement, as well as advance notice provisions, which require shareholders to provide timely notice and specific information when nominating directors or proposing other business to be brought before an annual meeting. For information regarding the eligibility requirements and process to utilize proxy access as well as our advance notice bylaws, see Sections 3.02 and 3.04 of our bylaws and page 84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78105</wp:posOffset>
            </wp:positionV>
            <wp:extent cx="925830" cy="2654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925830" cy="265430"/>
                    </a:xfrm>
                    <a:prstGeom prst="rect">
                      <a:avLst/>
                    </a:prstGeom>
                    <a:noFill/>
                  </pic:spPr>
                </pic:pic>
              </a:graphicData>
            </a:graphic>
          </wp:anchor>
        </w:drawing>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b w:val="1"/>
                <w:bCs w:val="1"/>
                <w:color w:val="FF7F32"/>
              </w:rPr>
              <w:t xml:space="preserve">2026 </w:t>
            </w:r>
            <w:r>
              <w:rPr>
                <w:rFonts w:ascii="Arial" w:cs="Arial" w:eastAsia="Arial" w:hAnsi="Arial"/>
                <w:sz w:val="13"/>
                <w:szCs w:val="13"/>
                <w:color w:val="000000"/>
              </w:rPr>
              <w:t>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auto"/>
              </w:rPr>
              <w:t>25</w:t>
            </w:r>
          </w:p>
        </w:tc>
      </w:tr>
      <w:tr>
        <w:trPr>
          <w:trHeight w:val="433"/>
        </w:trPr>
        <w:tc>
          <w:tcPr>
            <w:tcW w:w="618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8" w:name="page29"/>
    <w:bookmarkEnd w:id="28"/>
    <w:p>
      <w:pPr>
        <w:spacing w:after="0"/>
        <w:rPr>
          <w:sz w:val="20"/>
          <w:szCs w:val="20"/>
          <w:color w:val="auto"/>
        </w:rPr>
      </w:pPr>
      <w:r>
        <w:rPr>
          <w:rFonts w:ascii="Arial" w:cs="Arial" w:eastAsia="Arial" w:hAnsi="Arial"/>
          <w:sz w:val="13"/>
          <w:szCs w:val="13"/>
          <w:color w:val="202945"/>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9"/>
          <w:szCs w:val="29"/>
          <w:b w:val="1"/>
          <w:bCs w:val="1"/>
          <w:color w:val="FF7F32"/>
        </w:rPr>
        <w:t>Director Skills and Experience</w:t>
      </w:r>
    </w:p>
    <w:p>
      <w:pPr>
        <w:spacing w:after="0" w:line="267" w:lineRule="exact"/>
        <w:rPr>
          <w:sz w:val="20"/>
          <w:szCs w:val="20"/>
          <w:color w:val="auto"/>
        </w:rPr>
      </w:pPr>
    </w:p>
    <w:p>
      <w:pPr>
        <w:ind w:right="120"/>
        <w:spacing w:after="0" w:line="356" w:lineRule="auto"/>
        <w:rPr>
          <w:sz w:val="20"/>
          <w:szCs w:val="20"/>
          <w:color w:val="auto"/>
        </w:rPr>
      </w:pPr>
      <w:r>
        <w:rPr>
          <w:rFonts w:ascii="Arial" w:cs="Arial" w:eastAsia="Arial" w:hAnsi="Arial"/>
          <w:sz w:val="16"/>
          <w:szCs w:val="16"/>
          <w:color w:val="auto"/>
        </w:rPr>
        <w:t>The Board annually reviews directors’ skills and expertise to ensure the Board represents a diverse skill set oriented to the historical and emerging needs of the business. The Board has identified the following key qualifications and experience that are important to be represented on the Board as a whole.</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14"/>
        </w:trPr>
        <w:tc>
          <w:tcPr>
            <w:tcW w:w="5720" w:type="dxa"/>
            <w:vAlign w:val="bottom"/>
            <w:tcBorders>
              <w:bottom w:val="single" w:sz="8" w:color="FF7F32"/>
              <w:right w:val="single" w:sz="8" w:color="202945"/>
            </w:tcBorders>
          </w:tcPr>
          <w:p>
            <w:pPr>
              <w:ind w:left="20"/>
              <w:spacing w:after="0"/>
              <w:rPr>
                <w:sz w:val="20"/>
                <w:szCs w:val="20"/>
                <w:color w:val="auto"/>
              </w:rPr>
            </w:pPr>
            <w:r>
              <w:rPr>
                <w:rFonts w:ascii="Arial" w:cs="Arial" w:eastAsia="Arial" w:hAnsi="Arial"/>
                <w:sz w:val="18"/>
                <w:szCs w:val="18"/>
                <w:b w:val="1"/>
                <w:bCs w:val="1"/>
                <w:color w:val="404040"/>
              </w:rPr>
              <w:t>Qualification</w:t>
            </w:r>
          </w:p>
        </w:tc>
        <w:tc>
          <w:tcPr>
            <w:tcW w:w="560" w:type="dxa"/>
            <w:vAlign w:val="bottom"/>
            <w:tcBorders>
              <w:bottom w:val="single" w:sz="8" w:color="FF7F32"/>
              <w:right w:val="single" w:sz="8" w:color="202945"/>
            </w:tcBorders>
          </w:tcPr>
          <w:p>
            <w:pPr>
              <w:spacing w:after="0"/>
              <w:rPr>
                <w:sz w:val="24"/>
                <w:szCs w:val="24"/>
                <w:color w:val="auto"/>
              </w:rPr>
            </w:pPr>
          </w:p>
        </w:tc>
        <w:tc>
          <w:tcPr>
            <w:tcW w:w="560" w:type="dxa"/>
            <w:vAlign w:val="bottom"/>
            <w:tcBorders>
              <w:bottom w:val="single" w:sz="8" w:color="FF7F32"/>
              <w:right w:val="single" w:sz="8" w:color="202945"/>
            </w:tcBorders>
          </w:tcPr>
          <w:p>
            <w:pPr>
              <w:spacing w:after="0"/>
              <w:rPr>
                <w:sz w:val="24"/>
                <w:szCs w:val="24"/>
                <w:color w:val="auto"/>
              </w:rPr>
            </w:pPr>
          </w:p>
        </w:tc>
        <w:tc>
          <w:tcPr>
            <w:tcW w:w="540" w:type="dxa"/>
            <w:vAlign w:val="bottom"/>
            <w:tcBorders>
              <w:bottom w:val="single" w:sz="8" w:color="FF7F32"/>
              <w:right w:val="single" w:sz="8" w:color="202945"/>
            </w:tcBorders>
          </w:tcPr>
          <w:p>
            <w:pPr>
              <w:spacing w:after="0"/>
              <w:rPr>
                <w:sz w:val="24"/>
                <w:szCs w:val="24"/>
                <w:color w:val="auto"/>
              </w:rPr>
            </w:pPr>
          </w:p>
        </w:tc>
        <w:tc>
          <w:tcPr>
            <w:tcW w:w="560" w:type="dxa"/>
            <w:vAlign w:val="bottom"/>
            <w:tcBorders>
              <w:bottom w:val="single" w:sz="8" w:color="FF7F32"/>
              <w:right w:val="single" w:sz="8" w:color="202945"/>
            </w:tcBorders>
          </w:tcPr>
          <w:p>
            <w:pPr>
              <w:spacing w:after="0"/>
              <w:rPr>
                <w:sz w:val="24"/>
                <w:szCs w:val="24"/>
                <w:color w:val="auto"/>
              </w:rPr>
            </w:pPr>
          </w:p>
        </w:tc>
        <w:tc>
          <w:tcPr>
            <w:tcW w:w="560" w:type="dxa"/>
            <w:vAlign w:val="bottom"/>
            <w:tcBorders>
              <w:bottom w:val="single" w:sz="8" w:color="FF7F32"/>
              <w:right w:val="single" w:sz="8" w:color="202945"/>
            </w:tcBorders>
          </w:tcPr>
          <w:p>
            <w:pPr>
              <w:spacing w:after="0"/>
              <w:rPr>
                <w:sz w:val="24"/>
                <w:szCs w:val="24"/>
                <w:color w:val="auto"/>
              </w:rPr>
            </w:pPr>
          </w:p>
        </w:tc>
        <w:tc>
          <w:tcPr>
            <w:tcW w:w="540" w:type="dxa"/>
            <w:vAlign w:val="bottom"/>
            <w:tcBorders>
              <w:bottom w:val="single" w:sz="8" w:color="FF7F32"/>
              <w:right w:val="single" w:sz="8" w:color="202945"/>
            </w:tcBorders>
          </w:tcPr>
          <w:p>
            <w:pPr>
              <w:spacing w:after="0"/>
              <w:rPr>
                <w:sz w:val="24"/>
                <w:szCs w:val="24"/>
                <w:color w:val="auto"/>
              </w:rPr>
            </w:pPr>
          </w:p>
        </w:tc>
        <w:tc>
          <w:tcPr>
            <w:tcW w:w="560" w:type="dxa"/>
            <w:vAlign w:val="bottom"/>
            <w:tcBorders>
              <w:bottom w:val="single" w:sz="8" w:color="FF7F32"/>
              <w:right w:val="single" w:sz="8" w:color="202945"/>
            </w:tcBorders>
          </w:tcPr>
          <w:p>
            <w:pPr>
              <w:spacing w:after="0"/>
              <w:rPr>
                <w:sz w:val="24"/>
                <w:szCs w:val="24"/>
                <w:color w:val="auto"/>
              </w:rPr>
            </w:pPr>
          </w:p>
        </w:tc>
        <w:tc>
          <w:tcPr>
            <w:tcW w:w="560" w:type="dxa"/>
            <w:vAlign w:val="bottom"/>
            <w:tcBorders>
              <w:bottom w:val="single" w:sz="8" w:color="FF7F32"/>
              <w:right w:val="single" w:sz="8" w:color="202945"/>
            </w:tcBorders>
          </w:tcPr>
          <w:p>
            <w:pPr>
              <w:spacing w:after="0"/>
              <w:rPr>
                <w:sz w:val="24"/>
                <w:szCs w:val="24"/>
                <w:color w:val="auto"/>
              </w:rPr>
            </w:pPr>
          </w:p>
        </w:tc>
        <w:tc>
          <w:tcPr>
            <w:tcW w:w="540" w:type="dxa"/>
            <w:vAlign w:val="bottom"/>
            <w:tcBorders>
              <w:bottom w:val="single" w:sz="8" w:color="FF7F32"/>
              <w:right w:val="single" w:sz="8" w:color="202945"/>
            </w:tcBorders>
          </w:tcPr>
          <w:p>
            <w:pPr>
              <w:spacing w:after="0"/>
              <w:rPr>
                <w:sz w:val="24"/>
                <w:szCs w:val="24"/>
                <w:color w:val="auto"/>
              </w:rPr>
            </w:pPr>
          </w:p>
        </w:tc>
        <w:tc>
          <w:tcPr>
            <w:tcW w:w="560" w:type="dxa"/>
            <w:vAlign w:val="bottom"/>
            <w:tcBorders>
              <w:bottom w:val="single" w:sz="8" w:color="FF7F32"/>
              <w:right w:val="single" w:sz="8" w:color="202945"/>
            </w:tcBorders>
          </w:tcPr>
          <w:p>
            <w:pPr>
              <w:spacing w:after="0"/>
              <w:rPr>
                <w:sz w:val="24"/>
                <w:szCs w:val="24"/>
                <w:color w:val="auto"/>
              </w:rPr>
            </w:pPr>
          </w:p>
        </w:tc>
      </w:tr>
      <w:tr>
        <w:trPr>
          <w:trHeight w:val="383"/>
        </w:trPr>
        <w:tc>
          <w:tcPr>
            <w:tcW w:w="5720" w:type="dxa"/>
            <w:vAlign w:val="bottom"/>
            <w:tcBorders>
              <w:right w:val="single" w:sz="8" w:color="202945"/>
            </w:tcBorders>
          </w:tcPr>
          <w:p>
            <w:pPr>
              <w:ind w:left="900"/>
              <w:spacing w:after="0"/>
              <w:rPr>
                <w:sz w:val="20"/>
                <w:szCs w:val="20"/>
                <w:color w:val="auto"/>
              </w:rPr>
            </w:pPr>
            <w:r>
              <w:rPr>
                <w:rFonts w:ascii="Arial" w:cs="Arial" w:eastAsia="Arial" w:hAnsi="Arial"/>
                <w:sz w:val="18"/>
                <w:szCs w:val="18"/>
                <w:b w:val="1"/>
                <w:bCs w:val="1"/>
                <w:color w:val="FF7F32"/>
              </w:rPr>
              <w:t>Risk Management &amp; Compliance</w:t>
            </w:r>
          </w:p>
        </w:tc>
        <w:tc>
          <w:tcPr>
            <w:tcW w:w="560" w:type="dxa"/>
            <w:vAlign w:val="bottom"/>
            <w:tcBorders>
              <w:right w:val="single" w:sz="8" w:color="202945"/>
            </w:tcBorders>
          </w:tcPr>
          <w:p>
            <w:pPr>
              <w:spacing w:after="0"/>
              <w:rPr>
                <w:sz w:val="24"/>
                <w:szCs w:val="24"/>
                <w:color w:val="auto"/>
              </w:rPr>
            </w:pPr>
          </w:p>
        </w:tc>
        <w:tc>
          <w:tcPr>
            <w:tcW w:w="560" w:type="dxa"/>
            <w:vAlign w:val="bottom"/>
            <w:tcBorders>
              <w:right w:val="single" w:sz="8" w:color="202945"/>
            </w:tcBorders>
          </w:tcPr>
          <w:p>
            <w:pPr>
              <w:spacing w:after="0"/>
              <w:rPr>
                <w:sz w:val="24"/>
                <w:szCs w:val="24"/>
                <w:color w:val="auto"/>
              </w:rPr>
            </w:pPr>
          </w:p>
        </w:tc>
        <w:tc>
          <w:tcPr>
            <w:tcW w:w="540" w:type="dxa"/>
            <w:vAlign w:val="bottom"/>
            <w:tcBorders>
              <w:right w:val="single" w:sz="8" w:color="202945"/>
            </w:tcBorders>
          </w:tcPr>
          <w:p>
            <w:pPr>
              <w:spacing w:after="0"/>
              <w:rPr>
                <w:sz w:val="24"/>
                <w:szCs w:val="24"/>
                <w:color w:val="auto"/>
              </w:rPr>
            </w:pPr>
          </w:p>
        </w:tc>
        <w:tc>
          <w:tcPr>
            <w:tcW w:w="560" w:type="dxa"/>
            <w:vAlign w:val="bottom"/>
            <w:tcBorders>
              <w:right w:val="single" w:sz="8" w:color="202945"/>
            </w:tcBorders>
          </w:tcPr>
          <w:p>
            <w:pPr>
              <w:spacing w:after="0"/>
              <w:rPr>
                <w:sz w:val="24"/>
                <w:szCs w:val="24"/>
                <w:color w:val="auto"/>
              </w:rPr>
            </w:pPr>
          </w:p>
        </w:tc>
        <w:tc>
          <w:tcPr>
            <w:tcW w:w="560" w:type="dxa"/>
            <w:vAlign w:val="bottom"/>
            <w:tcBorders>
              <w:right w:val="single" w:sz="8" w:color="202945"/>
            </w:tcBorders>
          </w:tcPr>
          <w:p>
            <w:pPr>
              <w:spacing w:after="0"/>
              <w:rPr>
                <w:sz w:val="24"/>
                <w:szCs w:val="24"/>
                <w:color w:val="auto"/>
              </w:rPr>
            </w:pPr>
          </w:p>
        </w:tc>
        <w:tc>
          <w:tcPr>
            <w:tcW w:w="540" w:type="dxa"/>
            <w:vAlign w:val="bottom"/>
            <w:tcBorders>
              <w:right w:val="single" w:sz="8" w:color="202945"/>
            </w:tcBorders>
          </w:tcPr>
          <w:p>
            <w:pPr>
              <w:spacing w:after="0"/>
              <w:rPr>
                <w:sz w:val="24"/>
                <w:szCs w:val="24"/>
                <w:color w:val="auto"/>
              </w:rPr>
            </w:pPr>
          </w:p>
        </w:tc>
        <w:tc>
          <w:tcPr>
            <w:tcW w:w="560" w:type="dxa"/>
            <w:vAlign w:val="bottom"/>
            <w:tcBorders>
              <w:right w:val="single" w:sz="8" w:color="202945"/>
            </w:tcBorders>
          </w:tcPr>
          <w:p>
            <w:pPr>
              <w:spacing w:after="0"/>
              <w:rPr>
                <w:sz w:val="24"/>
                <w:szCs w:val="24"/>
                <w:color w:val="auto"/>
              </w:rPr>
            </w:pPr>
          </w:p>
        </w:tc>
        <w:tc>
          <w:tcPr>
            <w:tcW w:w="560" w:type="dxa"/>
            <w:vAlign w:val="bottom"/>
            <w:tcBorders>
              <w:right w:val="single" w:sz="8" w:color="202945"/>
            </w:tcBorders>
          </w:tcPr>
          <w:p>
            <w:pPr>
              <w:spacing w:after="0"/>
              <w:rPr>
                <w:sz w:val="24"/>
                <w:szCs w:val="24"/>
                <w:color w:val="auto"/>
              </w:rPr>
            </w:pPr>
          </w:p>
        </w:tc>
        <w:tc>
          <w:tcPr>
            <w:tcW w:w="540" w:type="dxa"/>
            <w:vAlign w:val="bottom"/>
            <w:tcBorders>
              <w:right w:val="single" w:sz="8" w:color="202945"/>
            </w:tcBorders>
          </w:tcPr>
          <w:p>
            <w:pPr>
              <w:spacing w:after="0"/>
              <w:rPr>
                <w:sz w:val="24"/>
                <w:szCs w:val="24"/>
                <w:color w:val="auto"/>
              </w:rPr>
            </w:pPr>
          </w:p>
        </w:tc>
        <w:tc>
          <w:tcPr>
            <w:tcW w:w="560" w:type="dxa"/>
            <w:vAlign w:val="bottom"/>
            <w:tcBorders>
              <w:right w:val="single" w:sz="8" w:color="202945"/>
            </w:tcBorders>
          </w:tcPr>
          <w:p>
            <w:pPr>
              <w:jc w:val="right"/>
              <w:ind w:right="159"/>
              <w:spacing w:after="0"/>
              <w:rPr>
                <w:sz w:val="20"/>
                <w:szCs w:val="20"/>
                <w:color w:val="auto"/>
              </w:rPr>
            </w:pPr>
            <w:r>
              <w:rPr>
                <w:rFonts w:ascii="Arial" w:cs="Arial" w:eastAsia="Arial" w:hAnsi="Arial"/>
                <w:sz w:val="16"/>
                <w:szCs w:val="16"/>
                <w:color w:val="auto"/>
              </w:rPr>
              <w:t>5</w:t>
            </w:r>
          </w:p>
        </w:tc>
      </w:tr>
      <w:tr>
        <w:trPr>
          <w:trHeight w:val="164"/>
        </w:trPr>
        <w:tc>
          <w:tcPr>
            <w:tcW w:w="5720" w:type="dxa"/>
            <w:vAlign w:val="bottom"/>
            <w:tcBorders>
              <w:bottom w:val="single" w:sz="8" w:color="D9D9D9"/>
              <w:right w:val="single" w:sz="8" w:color="202945"/>
            </w:tcBorders>
          </w:tcPr>
          <w:p>
            <w:pPr>
              <w:spacing w:after="0"/>
              <w:rPr>
                <w:sz w:val="14"/>
                <w:szCs w:val="14"/>
                <w:color w:val="auto"/>
              </w:rPr>
            </w:pPr>
          </w:p>
        </w:tc>
        <w:tc>
          <w:tcPr>
            <w:tcW w:w="560" w:type="dxa"/>
            <w:vAlign w:val="bottom"/>
            <w:tcBorders>
              <w:bottom w:val="single" w:sz="8" w:color="FF7F32"/>
              <w:right w:val="single" w:sz="8" w:color="202945"/>
            </w:tcBorders>
          </w:tcPr>
          <w:p>
            <w:pPr>
              <w:spacing w:after="0"/>
              <w:rPr>
                <w:sz w:val="14"/>
                <w:szCs w:val="14"/>
                <w:color w:val="auto"/>
              </w:rPr>
            </w:pPr>
          </w:p>
        </w:tc>
        <w:tc>
          <w:tcPr>
            <w:tcW w:w="560" w:type="dxa"/>
            <w:vAlign w:val="bottom"/>
            <w:tcBorders>
              <w:bottom w:val="single" w:sz="8" w:color="D9D9D9"/>
              <w:right w:val="single" w:sz="8" w:color="202945"/>
            </w:tcBorders>
          </w:tcPr>
          <w:p>
            <w:pPr>
              <w:spacing w:after="0"/>
              <w:rPr>
                <w:sz w:val="14"/>
                <w:szCs w:val="14"/>
                <w:color w:val="auto"/>
              </w:rPr>
            </w:pPr>
          </w:p>
        </w:tc>
        <w:tc>
          <w:tcPr>
            <w:tcW w:w="540" w:type="dxa"/>
            <w:vAlign w:val="bottom"/>
            <w:tcBorders>
              <w:bottom w:val="single" w:sz="8" w:color="FF7F32"/>
              <w:right w:val="single" w:sz="8" w:color="202945"/>
            </w:tcBorders>
          </w:tcPr>
          <w:p>
            <w:pPr>
              <w:spacing w:after="0"/>
              <w:rPr>
                <w:sz w:val="14"/>
                <w:szCs w:val="14"/>
                <w:color w:val="auto"/>
              </w:rPr>
            </w:pPr>
          </w:p>
        </w:tc>
        <w:tc>
          <w:tcPr>
            <w:tcW w:w="560" w:type="dxa"/>
            <w:vAlign w:val="bottom"/>
            <w:tcBorders>
              <w:bottom w:val="single" w:sz="8" w:color="FF7F32"/>
              <w:right w:val="single" w:sz="8" w:color="202945"/>
            </w:tcBorders>
          </w:tcPr>
          <w:p>
            <w:pPr>
              <w:spacing w:after="0"/>
              <w:rPr>
                <w:sz w:val="14"/>
                <w:szCs w:val="14"/>
                <w:color w:val="auto"/>
              </w:rPr>
            </w:pPr>
          </w:p>
        </w:tc>
        <w:tc>
          <w:tcPr>
            <w:tcW w:w="560" w:type="dxa"/>
            <w:vAlign w:val="bottom"/>
            <w:tcBorders>
              <w:bottom w:val="single" w:sz="8" w:color="FF7F32"/>
              <w:right w:val="single" w:sz="8" w:color="202945"/>
            </w:tcBorders>
          </w:tcPr>
          <w:p>
            <w:pPr>
              <w:spacing w:after="0"/>
              <w:rPr>
                <w:sz w:val="14"/>
                <w:szCs w:val="14"/>
                <w:color w:val="auto"/>
              </w:rPr>
            </w:pPr>
          </w:p>
        </w:tc>
        <w:tc>
          <w:tcPr>
            <w:tcW w:w="540" w:type="dxa"/>
            <w:vAlign w:val="bottom"/>
            <w:tcBorders>
              <w:bottom w:val="single" w:sz="8" w:color="FF7F32"/>
              <w:right w:val="single" w:sz="8" w:color="202945"/>
            </w:tcBorders>
          </w:tcPr>
          <w:p>
            <w:pPr>
              <w:spacing w:after="0"/>
              <w:rPr>
                <w:sz w:val="14"/>
                <w:szCs w:val="14"/>
                <w:color w:val="auto"/>
              </w:rPr>
            </w:pPr>
          </w:p>
        </w:tc>
        <w:tc>
          <w:tcPr>
            <w:tcW w:w="560" w:type="dxa"/>
            <w:vAlign w:val="bottom"/>
            <w:tcBorders>
              <w:bottom w:val="single" w:sz="8" w:color="FF7F32"/>
              <w:right w:val="single" w:sz="8" w:color="202945"/>
            </w:tcBorders>
          </w:tcPr>
          <w:p>
            <w:pPr>
              <w:spacing w:after="0"/>
              <w:rPr>
                <w:sz w:val="14"/>
                <w:szCs w:val="14"/>
                <w:color w:val="auto"/>
              </w:rPr>
            </w:pPr>
          </w:p>
        </w:tc>
        <w:tc>
          <w:tcPr>
            <w:tcW w:w="560" w:type="dxa"/>
            <w:vAlign w:val="bottom"/>
            <w:tcBorders>
              <w:bottom w:val="single" w:sz="8" w:color="FF7F32"/>
              <w:right w:val="single" w:sz="8" w:color="202945"/>
            </w:tcBorders>
          </w:tcPr>
          <w:p>
            <w:pPr>
              <w:spacing w:after="0"/>
              <w:rPr>
                <w:sz w:val="14"/>
                <w:szCs w:val="14"/>
                <w:color w:val="auto"/>
              </w:rPr>
            </w:pPr>
          </w:p>
        </w:tc>
        <w:tc>
          <w:tcPr>
            <w:tcW w:w="540" w:type="dxa"/>
            <w:vAlign w:val="bottom"/>
            <w:tcBorders>
              <w:bottom w:val="single" w:sz="8" w:color="D9D9D9"/>
              <w:right w:val="single" w:sz="8" w:color="202945"/>
            </w:tcBorders>
          </w:tcPr>
          <w:p>
            <w:pPr>
              <w:spacing w:after="0"/>
              <w:rPr>
                <w:sz w:val="14"/>
                <w:szCs w:val="14"/>
                <w:color w:val="auto"/>
              </w:rPr>
            </w:pPr>
          </w:p>
        </w:tc>
        <w:tc>
          <w:tcPr>
            <w:tcW w:w="560" w:type="dxa"/>
            <w:vAlign w:val="bottom"/>
            <w:tcBorders>
              <w:bottom w:val="single" w:sz="8" w:color="D9D9D9"/>
              <w:right w:val="single" w:sz="8" w:color="202945"/>
            </w:tcBorders>
          </w:tcPr>
          <w:p>
            <w:pPr>
              <w:spacing w:after="0"/>
              <w:rPr>
                <w:sz w:val="14"/>
                <w:szCs w:val="14"/>
                <w:color w:val="auto"/>
              </w:rPr>
            </w:pPr>
          </w:p>
        </w:tc>
      </w:tr>
      <w:tr>
        <w:trPr>
          <w:trHeight w:val="383"/>
        </w:trPr>
        <w:tc>
          <w:tcPr>
            <w:tcW w:w="5720" w:type="dxa"/>
            <w:vAlign w:val="bottom"/>
            <w:tcBorders>
              <w:right w:val="single" w:sz="8" w:color="202945"/>
            </w:tcBorders>
          </w:tcPr>
          <w:p>
            <w:pPr>
              <w:ind w:left="900"/>
              <w:spacing w:after="0"/>
              <w:rPr>
                <w:sz w:val="20"/>
                <w:szCs w:val="20"/>
                <w:color w:val="auto"/>
              </w:rPr>
            </w:pPr>
            <w:r>
              <w:rPr>
                <w:rFonts w:ascii="Arial" w:cs="Arial" w:eastAsia="Arial" w:hAnsi="Arial"/>
                <w:sz w:val="18"/>
                <w:szCs w:val="18"/>
                <w:b w:val="1"/>
                <w:bCs w:val="1"/>
                <w:color w:val="FF7F32"/>
              </w:rPr>
              <w:t>Mergers &amp; Acquisitions</w:t>
            </w:r>
          </w:p>
        </w:tc>
        <w:tc>
          <w:tcPr>
            <w:tcW w:w="560" w:type="dxa"/>
            <w:vAlign w:val="bottom"/>
            <w:tcBorders>
              <w:right w:val="single" w:sz="8" w:color="202945"/>
            </w:tcBorders>
          </w:tcPr>
          <w:p>
            <w:pPr>
              <w:spacing w:after="0"/>
              <w:rPr>
                <w:sz w:val="24"/>
                <w:szCs w:val="24"/>
                <w:color w:val="auto"/>
              </w:rPr>
            </w:pPr>
          </w:p>
        </w:tc>
        <w:tc>
          <w:tcPr>
            <w:tcW w:w="560" w:type="dxa"/>
            <w:vAlign w:val="bottom"/>
            <w:tcBorders>
              <w:right w:val="single" w:sz="8" w:color="202945"/>
            </w:tcBorders>
          </w:tcPr>
          <w:p>
            <w:pPr>
              <w:spacing w:after="0"/>
              <w:rPr>
                <w:sz w:val="24"/>
                <w:szCs w:val="24"/>
                <w:color w:val="auto"/>
              </w:rPr>
            </w:pPr>
          </w:p>
        </w:tc>
        <w:tc>
          <w:tcPr>
            <w:tcW w:w="540" w:type="dxa"/>
            <w:vAlign w:val="bottom"/>
            <w:tcBorders>
              <w:right w:val="single" w:sz="8" w:color="202945"/>
            </w:tcBorders>
          </w:tcPr>
          <w:p>
            <w:pPr>
              <w:spacing w:after="0"/>
              <w:rPr>
                <w:sz w:val="24"/>
                <w:szCs w:val="24"/>
                <w:color w:val="auto"/>
              </w:rPr>
            </w:pPr>
          </w:p>
        </w:tc>
        <w:tc>
          <w:tcPr>
            <w:tcW w:w="560" w:type="dxa"/>
            <w:vAlign w:val="bottom"/>
            <w:tcBorders>
              <w:right w:val="single" w:sz="8" w:color="202945"/>
            </w:tcBorders>
          </w:tcPr>
          <w:p>
            <w:pPr>
              <w:spacing w:after="0"/>
              <w:rPr>
                <w:sz w:val="24"/>
                <w:szCs w:val="24"/>
                <w:color w:val="auto"/>
              </w:rPr>
            </w:pPr>
          </w:p>
        </w:tc>
        <w:tc>
          <w:tcPr>
            <w:tcW w:w="560" w:type="dxa"/>
            <w:vAlign w:val="bottom"/>
            <w:tcBorders>
              <w:right w:val="single" w:sz="8" w:color="202945"/>
            </w:tcBorders>
          </w:tcPr>
          <w:p>
            <w:pPr>
              <w:spacing w:after="0"/>
              <w:rPr>
                <w:sz w:val="24"/>
                <w:szCs w:val="24"/>
                <w:color w:val="auto"/>
              </w:rPr>
            </w:pPr>
          </w:p>
        </w:tc>
        <w:tc>
          <w:tcPr>
            <w:tcW w:w="540" w:type="dxa"/>
            <w:vAlign w:val="bottom"/>
            <w:tcBorders>
              <w:right w:val="single" w:sz="8" w:color="202945"/>
            </w:tcBorders>
          </w:tcPr>
          <w:p>
            <w:pPr>
              <w:spacing w:after="0"/>
              <w:rPr>
                <w:sz w:val="24"/>
                <w:szCs w:val="24"/>
                <w:color w:val="auto"/>
              </w:rPr>
            </w:pPr>
          </w:p>
        </w:tc>
        <w:tc>
          <w:tcPr>
            <w:tcW w:w="560" w:type="dxa"/>
            <w:vAlign w:val="bottom"/>
            <w:tcBorders>
              <w:right w:val="single" w:sz="8" w:color="202945"/>
            </w:tcBorders>
          </w:tcPr>
          <w:p>
            <w:pPr>
              <w:spacing w:after="0"/>
              <w:rPr>
                <w:sz w:val="24"/>
                <w:szCs w:val="24"/>
                <w:color w:val="auto"/>
              </w:rPr>
            </w:pPr>
          </w:p>
        </w:tc>
        <w:tc>
          <w:tcPr>
            <w:tcW w:w="560" w:type="dxa"/>
            <w:vAlign w:val="bottom"/>
            <w:tcBorders>
              <w:right w:val="single" w:sz="8" w:color="202945"/>
            </w:tcBorders>
          </w:tcPr>
          <w:p>
            <w:pPr>
              <w:spacing w:after="0"/>
              <w:rPr>
                <w:sz w:val="24"/>
                <w:szCs w:val="24"/>
                <w:color w:val="auto"/>
              </w:rPr>
            </w:pPr>
          </w:p>
        </w:tc>
        <w:tc>
          <w:tcPr>
            <w:tcW w:w="540" w:type="dxa"/>
            <w:vAlign w:val="bottom"/>
            <w:tcBorders>
              <w:right w:val="single" w:sz="8" w:color="202945"/>
            </w:tcBorders>
          </w:tcPr>
          <w:p>
            <w:pPr>
              <w:spacing w:after="0"/>
              <w:rPr>
                <w:sz w:val="24"/>
                <w:szCs w:val="24"/>
                <w:color w:val="auto"/>
              </w:rPr>
            </w:pPr>
          </w:p>
        </w:tc>
        <w:tc>
          <w:tcPr>
            <w:tcW w:w="560" w:type="dxa"/>
            <w:vAlign w:val="bottom"/>
            <w:tcBorders>
              <w:right w:val="single" w:sz="8" w:color="202945"/>
            </w:tcBorders>
          </w:tcPr>
          <w:p>
            <w:pPr>
              <w:jc w:val="right"/>
              <w:ind w:right="159"/>
              <w:spacing w:after="0"/>
              <w:rPr>
                <w:sz w:val="20"/>
                <w:szCs w:val="20"/>
                <w:color w:val="auto"/>
              </w:rPr>
            </w:pPr>
            <w:r>
              <w:rPr>
                <w:rFonts w:ascii="Arial" w:cs="Arial" w:eastAsia="Arial" w:hAnsi="Arial"/>
                <w:sz w:val="16"/>
                <w:szCs w:val="16"/>
                <w:color w:val="auto"/>
              </w:rPr>
              <w:t>7</w:t>
            </w:r>
          </w:p>
        </w:tc>
      </w:tr>
      <w:tr>
        <w:trPr>
          <w:trHeight w:val="150"/>
        </w:trPr>
        <w:tc>
          <w:tcPr>
            <w:tcW w:w="5720" w:type="dxa"/>
            <w:vAlign w:val="bottom"/>
            <w:tcBorders>
              <w:bottom w:val="single" w:sz="8" w:color="D9D9D9"/>
              <w:right w:val="single" w:sz="8" w:color="202945"/>
            </w:tcBorders>
          </w:tcPr>
          <w:p>
            <w:pPr>
              <w:spacing w:after="0"/>
              <w:rPr>
                <w:sz w:val="13"/>
                <w:szCs w:val="13"/>
                <w:color w:val="auto"/>
              </w:rPr>
            </w:pPr>
          </w:p>
        </w:tc>
        <w:tc>
          <w:tcPr>
            <w:tcW w:w="560" w:type="dxa"/>
            <w:vAlign w:val="bottom"/>
            <w:tcBorders>
              <w:bottom w:val="single" w:sz="8" w:color="FF7F32"/>
              <w:right w:val="single" w:sz="8" w:color="202945"/>
            </w:tcBorders>
          </w:tcPr>
          <w:p>
            <w:pPr>
              <w:spacing w:after="0"/>
              <w:rPr>
                <w:sz w:val="13"/>
                <w:szCs w:val="13"/>
                <w:color w:val="auto"/>
              </w:rPr>
            </w:pPr>
          </w:p>
        </w:tc>
        <w:tc>
          <w:tcPr>
            <w:tcW w:w="560" w:type="dxa"/>
            <w:vAlign w:val="bottom"/>
            <w:tcBorders>
              <w:bottom w:val="single" w:sz="8" w:color="FF7F32"/>
              <w:right w:val="single" w:sz="8" w:color="202945"/>
            </w:tcBorders>
          </w:tcPr>
          <w:p>
            <w:pPr>
              <w:spacing w:after="0"/>
              <w:rPr>
                <w:sz w:val="13"/>
                <w:szCs w:val="13"/>
                <w:color w:val="auto"/>
              </w:rPr>
            </w:pPr>
          </w:p>
        </w:tc>
        <w:tc>
          <w:tcPr>
            <w:tcW w:w="540" w:type="dxa"/>
            <w:vAlign w:val="bottom"/>
            <w:tcBorders>
              <w:bottom w:val="single" w:sz="8" w:color="FF7F32"/>
              <w:right w:val="single" w:sz="8" w:color="202945"/>
            </w:tcBorders>
          </w:tcPr>
          <w:p>
            <w:pPr>
              <w:spacing w:after="0"/>
              <w:rPr>
                <w:sz w:val="13"/>
                <w:szCs w:val="13"/>
                <w:color w:val="auto"/>
              </w:rPr>
            </w:pPr>
          </w:p>
        </w:tc>
        <w:tc>
          <w:tcPr>
            <w:tcW w:w="560" w:type="dxa"/>
            <w:vAlign w:val="bottom"/>
            <w:tcBorders>
              <w:bottom w:val="single" w:sz="8" w:color="FF7F32"/>
              <w:right w:val="single" w:sz="8" w:color="202945"/>
            </w:tcBorders>
          </w:tcPr>
          <w:p>
            <w:pPr>
              <w:spacing w:after="0"/>
              <w:rPr>
                <w:sz w:val="13"/>
                <w:szCs w:val="13"/>
                <w:color w:val="auto"/>
              </w:rPr>
            </w:pPr>
          </w:p>
        </w:tc>
        <w:tc>
          <w:tcPr>
            <w:tcW w:w="560" w:type="dxa"/>
            <w:vAlign w:val="bottom"/>
            <w:tcBorders>
              <w:bottom w:val="single" w:sz="8" w:color="FF7F32"/>
              <w:right w:val="single" w:sz="8" w:color="202945"/>
            </w:tcBorders>
          </w:tcPr>
          <w:p>
            <w:pPr>
              <w:spacing w:after="0"/>
              <w:rPr>
                <w:sz w:val="13"/>
                <w:szCs w:val="13"/>
                <w:color w:val="auto"/>
              </w:rPr>
            </w:pPr>
          </w:p>
        </w:tc>
        <w:tc>
          <w:tcPr>
            <w:tcW w:w="540" w:type="dxa"/>
            <w:vAlign w:val="bottom"/>
            <w:tcBorders>
              <w:bottom w:val="single" w:sz="8" w:color="FF7F32"/>
              <w:right w:val="single" w:sz="8" w:color="202945"/>
            </w:tcBorders>
          </w:tcPr>
          <w:p>
            <w:pPr>
              <w:spacing w:after="0"/>
              <w:rPr>
                <w:sz w:val="13"/>
                <w:szCs w:val="13"/>
                <w:color w:val="auto"/>
              </w:rPr>
            </w:pPr>
          </w:p>
        </w:tc>
        <w:tc>
          <w:tcPr>
            <w:tcW w:w="560" w:type="dxa"/>
            <w:vAlign w:val="bottom"/>
            <w:tcBorders>
              <w:bottom w:val="single" w:sz="8" w:color="D9D9D9"/>
              <w:right w:val="single" w:sz="8" w:color="202945"/>
            </w:tcBorders>
          </w:tcPr>
          <w:p>
            <w:pPr>
              <w:spacing w:after="0"/>
              <w:rPr>
                <w:sz w:val="13"/>
                <w:szCs w:val="13"/>
                <w:color w:val="auto"/>
              </w:rPr>
            </w:pPr>
          </w:p>
        </w:tc>
        <w:tc>
          <w:tcPr>
            <w:tcW w:w="560" w:type="dxa"/>
            <w:vAlign w:val="bottom"/>
            <w:tcBorders>
              <w:bottom w:val="single" w:sz="8" w:color="FF7F32"/>
              <w:right w:val="single" w:sz="8" w:color="202945"/>
            </w:tcBorders>
          </w:tcPr>
          <w:p>
            <w:pPr>
              <w:spacing w:after="0"/>
              <w:rPr>
                <w:sz w:val="13"/>
                <w:szCs w:val="13"/>
                <w:color w:val="auto"/>
              </w:rPr>
            </w:pPr>
          </w:p>
        </w:tc>
        <w:tc>
          <w:tcPr>
            <w:tcW w:w="540" w:type="dxa"/>
            <w:vAlign w:val="bottom"/>
            <w:tcBorders>
              <w:bottom w:val="single" w:sz="8" w:color="FF7F32"/>
              <w:right w:val="single" w:sz="8" w:color="202945"/>
            </w:tcBorders>
          </w:tcPr>
          <w:p>
            <w:pPr>
              <w:spacing w:after="0"/>
              <w:rPr>
                <w:sz w:val="13"/>
                <w:szCs w:val="13"/>
                <w:color w:val="auto"/>
              </w:rPr>
            </w:pPr>
          </w:p>
        </w:tc>
        <w:tc>
          <w:tcPr>
            <w:tcW w:w="560" w:type="dxa"/>
            <w:vAlign w:val="bottom"/>
            <w:tcBorders>
              <w:bottom w:val="single" w:sz="8" w:color="D9D9D9"/>
              <w:right w:val="single" w:sz="8" w:color="202945"/>
            </w:tcBorders>
          </w:tcPr>
          <w:p>
            <w:pPr>
              <w:spacing w:after="0"/>
              <w:rPr>
                <w:sz w:val="13"/>
                <w:szCs w:val="13"/>
                <w:color w:val="auto"/>
              </w:rPr>
            </w:pPr>
          </w:p>
        </w:tc>
      </w:tr>
      <w:tr>
        <w:trPr>
          <w:trHeight w:val="356"/>
        </w:trPr>
        <w:tc>
          <w:tcPr>
            <w:tcW w:w="5720" w:type="dxa"/>
            <w:vAlign w:val="bottom"/>
            <w:tcBorders>
              <w:right w:val="single" w:sz="8" w:color="202945"/>
            </w:tcBorders>
          </w:tcPr>
          <w:p>
            <w:pPr>
              <w:ind w:left="900"/>
              <w:spacing w:after="0"/>
              <w:rPr>
                <w:sz w:val="20"/>
                <w:szCs w:val="20"/>
                <w:color w:val="auto"/>
              </w:rPr>
            </w:pPr>
            <w:r>
              <w:rPr>
                <w:rFonts w:ascii="Arial" w:cs="Arial" w:eastAsia="Arial" w:hAnsi="Arial"/>
                <w:sz w:val="18"/>
                <w:szCs w:val="18"/>
                <w:b w:val="1"/>
                <w:bCs w:val="1"/>
                <w:color w:val="FF7F32"/>
              </w:rPr>
              <w:t>Strategic Planning</w:t>
            </w:r>
          </w:p>
        </w:tc>
        <w:tc>
          <w:tcPr>
            <w:tcW w:w="560" w:type="dxa"/>
            <w:vAlign w:val="bottom"/>
            <w:tcBorders>
              <w:right w:val="single" w:sz="8" w:color="202945"/>
            </w:tcBorders>
          </w:tcPr>
          <w:p>
            <w:pPr>
              <w:spacing w:after="0"/>
              <w:rPr>
                <w:sz w:val="24"/>
                <w:szCs w:val="24"/>
                <w:color w:val="auto"/>
              </w:rPr>
            </w:pPr>
          </w:p>
        </w:tc>
        <w:tc>
          <w:tcPr>
            <w:tcW w:w="560" w:type="dxa"/>
            <w:vAlign w:val="bottom"/>
            <w:tcBorders>
              <w:right w:val="single" w:sz="8" w:color="202945"/>
            </w:tcBorders>
          </w:tcPr>
          <w:p>
            <w:pPr>
              <w:spacing w:after="0"/>
              <w:rPr>
                <w:sz w:val="24"/>
                <w:szCs w:val="24"/>
                <w:color w:val="auto"/>
              </w:rPr>
            </w:pPr>
          </w:p>
        </w:tc>
        <w:tc>
          <w:tcPr>
            <w:tcW w:w="540" w:type="dxa"/>
            <w:vAlign w:val="bottom"/>
            <w:tcBorders>
              <w:right w:val="single" w:sz="8" w:color="202945"/>
            </w:tcBorders>
          </w:tcPr>
          <w:p>
            <w:pPr>
              <w:spacing w:after="0"/>
              <w:rPr>
                <w:sz w:val="24"/>
                <w:szCs w:val="24"/>
                <w:color w:val="auto"/>
              </w:rPr>
            </w:pPr>
          </w:p>
        </w:tc>
        <w:tc>
          <w:tcPr>
            <w:tcW w:w="560" w:type="dxa"/>
            <w:vAlign w:val="bottom"/>
            <w:tcBorders>
              <w:right w:val="single" w:sz="8" w:color="202945"/>
            </w:tcBorders>
          </w:tcPr>
          <w:p>
            <w:pPr>
              <w:spacing w:after="0"/>
              <w:rPr>
                <w:sz w:val="24"/>
                <w:szCs w:val="24"/>
                <w:color w:val="auto"/>
              </w:rPr>
            </w:pPr>
          </w:p>
        </w:tc>
        <w:tc>
          <w:tcPr>
            <w:tcW w:w="560" w:type="dxa"/>
            <w:vAlign w:val="bottom"/>
            <w:tcBorders>
              <w:right w:val="single" w:sz="8" w:color="202945"/>
            </w:tcBorders>
          </w:tcPr>
          <w:p>
            <w:pPr>
              <w:spacing w:after="0"/>
              <w:rPr>
                <w:sz w:val="24"/>
                <w:szCs w:val="24"/>
                <w:color w:val="auto"/>
              </w:rPr>
            </w:pPr>
          </w:p>
        </w:tc>
        <w:tc>
          <w:tcPr>
            <w:tcW w:w="540" w:type="dxa"/>
            <w:vAlign w:val="bottom"/>
            <w:tcBorders>
              <w:right w:val="single" w:sz="8" w:color="202945"/>
            </w:tcBorders>
          </w:tcPr>
          <w:p>
            <w:pPr>
              <w:spacing w:after="0"/>
              <w:rPr>
                <w:sz w:val="24"/>
                <w:szCs w:val="24"/>
                <w:color w:val="auto"/>
              </w:rPr>
            </w:pPr>
          </w:p>
        </w:tc>
        <w:tc>
          <w:tcPr>
            <w:tcW w:w="560" w:type="dxa"/>
            <w:vAlign w:val="bottom"/>
            <w:tcBorders>
              <w:right w:val="single" w:sz="8" w:color="202945"/>
            </w:tcBorders>
          </w:tcPr>
          <w:p>
            <w:pPr>
              <w:spacing w:after="0"/>
              <w:rPr>
                <w:sz w:val="24"/>
                <w:szCs w:val="24"/>
                <w:color w:val="auto"/>
              </w:rPr>
            </w:pPr>
          </w:p>
        </w:tc>
        <w:tc>
          <w:tcPr>
            <w:tcW w:w="560" w:type="dxa"/>
            <w:vAlign w:val="bottom"/>
            <w:tcBorders>
              <w:right w:val="single" w:sz="8" w:color="202945"/>
            </w:tcBorders>
          </w:tcPr>
          <w:p>
            <w:pPr>
              <w:spacing w:after="0"/>
              <w:rPr>
                <w:sz w:val="24"/>
                <w:szCs w:val="24"/>
                <w:color w:val="auto"/>
              </w:rPr>
            </w:pPr>
          </w:p>
        </w:tc>
        <w:tc>
          <w:tcPr>
            <w:tcW w:w="540" w:type="dxa"/>
            <w:vAlign w:val="bottom"/>
            <w:tcBorders>
              <w:right w:val="single" w:sz="8" w:color="202945"/>
            </w:tcBorders>
          </w:tcPr>
          <w:p>
            <w:pPr>
              <w:spacing w:after="0"/>
              <w:rPr>
                <w:sz w:val="24"/>
                <w:szCs w:val="24"/>
                <w:color w:val="auto"/>
              </w:rPr>
            </w:pPr>
          </w:p>
        </w:tc>
        <w:tc>
          <w:tcPr>
            <w:tcW w:w="560" w:type="dxa"/>
            <w:vAlign w:val="bottom"/>
            <w:tcBorders>
              <w:right w:val="single" w:sz="8" w:color="202945"/>
            </w:tcBorders>
          </w:tcPr>
          <w:p>
            <w:pPr>
              <w:jc w:val="right"/>
              <w:ind w:right="159"/>
              <w:spacing w:after="0"/>
              <w:rPr>
                <w:sz w:val="20"/>
                <w:szCs w:val="20"/>
                <w:color w:val="auto"/>
              </w:rPr>
            </w:pPr>
            <w:r>
              <w:rPr>
                <w:rFonts w:ascii="Arial" w:cs="Arial" w:eastAsia="Arial" w:hAnsi="Arial"/>
                <w:sz w:val="16"/>
                <w:szCs w:val="16"/>
                <w:color w:val="auto"/>
              </w:rPr>
              <w:t>8</w:t>
            </w:r>
          </w:p>
        </w:tc>
      </w:tr>
      <w:tr>
        <w:trPr>
          <w:trHeight w:val="123"/>
        </w:trPr>
        <w:tc>
          <w:tcPr>
            <w:tcW w:w="5720" w:type="dxa"/>
            <w:vAlign w:val="bottom"/>
            <w:tcBorders>
              <w:bottom w:val="single" w:sz="8" w:color="D9D9D9"/>
              <w:right w:val="single" w:sz="8" w:color="202945"/>
            </w:tcBorders>
          </w:tcPr>
          <w:p>
            <w:pPr>
              <w:spacing w:after="0"/>
              <w:rPr>
                <w:sz w:val="10"/>
                <w:szCs w:val="10"/>
                <w:color w:val="auto"/>
              </w:rPr>
            </w:pPr>
          </w:p>
        </w:tc>
        <w:tc>
          <w:tcPr>
            <w:tcW w:w="560" w:type="dxa"/>
            <w:vAlign w:val="bottom"/>
            <w:tcBorders>
              <w:bottom w:val="single" w:sz="8" w:color="FF7F32"/>
              <w:right w:val="single" w:sz="8" w:color="202945"/>
            </w:tcBorders>
          </w:tcPr>
          <w:p>
            <w:pPr>
              <w:spacing w:after="0"/>
              <w:rPr>
                <w:sz w:val="10"/>
                <w:szCs w:val="10"/>
                <w:color w:val="auto"/>
              </w:rPr>
            </w:pPr>
          </w:p>
        </w:tc>
        <w:tc>
          <w:tcPr>
            <w:tcW w:w="560" w:type="dxa"/>
            <w:vAlign w:val="bottom"/>
            <w:tcBorders>
              <w:bottom w:val="single" w:sz="8" w:color="D9D9D9"/>
              <w:right w:val="single" w:sz="8" w:color="202945"/>
            </w:tcBorders>
          </w:tcPr>
          <w:p>
            <w:pPr>
              <w:spacing w:after="0"/>
              <w:rPr>
                <w:sz w:val="10"/>
                <w:szCs w:val="10"/>
                <w:color w:val="auto"/>
              </w:rPr>
            </w:pPr>
          </w:p>
        </w:tc>
        <w:tc>
          <w:tcPr>
            <w:tcW w:w="540" w:type="dxa"/>
            <w:vAlign w:val="bottom"/>
            <w:tcBorders>
              <w:bottom w:val="single" w:sz="8" w:color="FF7F32"/>
              <w:right w:val="single" w:sz="8" w:color="202945"/>
            </w:tcBorders>
          </w:tcPr>
          <w:p>
            <w:pPr>
              <w:spacing w:after="0"/>
              <w:rPr>
                <w:sz w:val="10"/>
                <w:szCs w:val="10"/>
                <w:color w:val="auto"/>
              </w:rPr>
            </w:pPr>
          </w:p>
        </w:tc>
        <w:tc>
          <w:tcPr>
            <w:tcW w:w="560" w:type="dxa"/>
            <w:vAlign w:val="bottom"/>
            <w:tcBorders>
              <w:bottom w:val="single" w:sz="8" w:color="D9D9D9"/>
              <w:right w:val="single" w:sz="8" w:color="202945"/>
            </w:tcBorders>
          </w:tcPr>
          <w:p>
            <w:pPr>
              <w:spacing w:after="0"/>
              <w:rPr>
                <w:sz w:val="10"/>
                <w:szCs w:val="10"/>
                <w:color w:val="auto"/>
              </w:rPr>
            </w:pPr>
          </w:p>
        </w:tc>
        <w:tc>
          <w:tcPr>
            <w:tcW w:w="560" w:type="dxa"/>
            <w:vAlign w:val="bottom"/>
            <w:tcBorders>
              <w:bottom w:val="single" w:sz="8" w:color="FF7F32"/>
              <w:right w:val="single" w:sz="8" w:color="202945"/>
            </w:tcBorders>
          </w:tcPr>
          <w:p>
            <w:pPr>
              <w:spacing w:after="0"/>
              <w:rPr>
                <w:sz w:val="10"/>
                <w:szCs w:val="10"/>
                <w:color w:val="auto"/>
              </w:rPr>
            </w:pPr>
          </w:p>
        </w:tc>
        <w:tc>
          <w:tcPr>
            <w:tcW w:w="540" w:type="dxa"/>
            <w:vAlign w:val="bottom"/>
            <w:tcBorders>
              <w:bottom w:val="single" w:sz="8" w:color="FF7F32"/>
              <w:right w:val="single" w:sz="8" w:color="202945"/>
            </w:tcBorders>
          </w:tcPr>
          <w:p>
            <w:pPr>
              <w:spacing w:after="0"/>
              <w:rPr>
                <w:sz w:val="10"/>
                <w:szCs w:val="10"/>
                <w:color w:val="auto"/>
              </w:rPr>
            </w:pPr>
          </w:p>
        </w:tc>
        <w:tc>
          <w:tcPr>
            <w:tcW w:w="560" w:type="dxa"/>
            <w:vAlign w:val="bottom"/>
            <w:tcBorders>
              <w:bottom w:val="single" w:sz="8" w:color="D9D9D9"/>
              <w:right w:val="single" w:sz="8" w:color="202945"/>
            </w:tcBorders>
          </w:tcPr>
          <w:p>
            <w:pPr>
              <w:spacing w:after="0"/>
              <w:rPr>
                <w:sz w:val="10"/>
                <w:szCs w:val="10"/>
                <w:color w:val="auto"/>
              </w:rPr>
            </w:pPr>
          </w:p>
        </w:tc>
        <w:tc>
          <w:tcPr>
            <w:tcW w:w="560" w:type="dxa"/>
            <w:vAlign w:val="bottom"/>
            <w:tcBorders>
              <w:bottom w:val="single" w:sz="8" w:color="FF7F32"/>
              <w:right w:val="single" w:sz="8" w:color="202945"/>
            </w:tcBorders>
          </w:tcPr>
          <w:p>
            <w:pPr>
              <w:spacing w:after="0"/>
              <w:rPr>
                <w:sz w:val="10"/>
                <w:szCs w:val="10"/>
                <w:color w:val="auto"/>
              </w:rPr>
            </w:pPr>
          </w:p>
        </w:tc>
        <w:tc>
          <w:tcPr>
            <w:tcW w:w="540" w:type="dxa"/>
            <w:vAlign w:val="bottom"/>
            <w:tcBorders>
              <w:bottom w:val="single" w:sz="8" w:color="FF7F32"/>
              <w:right w:val="single" w:sz="8" w:color="202945"/>
            </w:tcBorders>
          </w:tcPr>
          <w:p>
            <w:pPr>
              <w:spacing w:after="0"/>
              <w:rPr>
                <w:sz w:val="10"/>
                <w:szCs w:val="10"/>
                <w:color w:val="auto"/>
              </w:rPr>
            </w:pPr>
          </w:p>
        </w:tc>
        <w:tc>
          <w:tcPr>
            <w:tcW w:w="560" w:type="dxa"/>
            <w:vAlign w:val="bottom"/>
            <w:tcBorders>
              <w:bottom w:val="single" w:sz="8" w:color="D9D9D9"/>
              <w:right w:val="single" w:sz="8" w:color="202945"/>
            </w:tcBorders>
          </w:tcPr>
          <w:p>
            <w:pPr>
              <w:spacing w:after="0"/>
              <w:rPr>
                <w:sz w:val="10"/>
                <w:szCs w:val="10"/>
                <w:color w:val="auto"/>
              </w:rPr>
            </w:pPr>
          </w:p>
        </w:tc>
      </w:tr>
      <w:tr>
        <w:trPr>
          <w:trHeight w:val="383"/>
        </w:trPr>
        <w:tc>
          <w:tcPr>
            <w:tcW w:w="5720" w:type="dxa"/>
            <w:vAlign w:val="bottom"/>
            <w:tcBorders>
              <w:right w:val="single" w:sz="8" w:color="202945"/>
            </w:tcBorders>
          </w:tcPr>
          <w:p>
            <w:pPr>
              <w:ind w:left="900"/>
              <w:spacing w:after="0"/>
              <w:rPr>
                <w:sz w:val="20"/>
                <w:szCs w:val="20"/>
                <w:color w:val="auto"/>
              </w:rPr>
            </w:pPr>
            <w:r>
              <w:rPr>
                <w:rFonts w:ascii="Arial" w:cs="Arial" w:eastAsia="Arial" w:hAnsi="Arial"/>
                <w:sz w:val="18"/>
                <w:szCs w:val="18"/>
                <w:b w:val="1"/>
                <w:bCs w:val="1"/>
                <w:color w:val="FF7F32"/>
              </w:rPr>
              <w:t>Payments Industry</w:t>
            </w:r>
          </w:p>
        </w:tc>
        <w:tc>
          <w:tcPr>
            <w:tcW w:w="560" w:type="dxa"/>
            <w:vAlign w:val="bottom"/>
            <w:tcBorders>
              <w:right w:val="single" w:sz="8" w:color="202945"/>
            </w:tcBorders>
          </w:tcPr>
          <w:p>
            <w:pPr>
              <w:spacing w:after="0"/>
              <w:rPr>
                <w:sz w:val="24"/>
                <w:szCs w:val="24"/>
                <w:color w:val="auto"/>
              </w:rPr>
            </w:pPr>
          </w:p>
        </w:tc>
        <w:tc>
          <w:tcPr>
            <w:tcW w:w="560" w:type="dxa"/>
            <w:vAlign w:val="bottom"/>
            <w:tcBorders>
              <w:right w:val="single" w:sz="8" w:color="202945"/>
            </w:tcBorders>
          </w:tcPr>
          <w:p>
            <w:pPr>
              <w:spacing w:after="0"/>
              <w:rPr>
                <w:sz w:val="24"/>
                <w:szCs w:val="24"/>
                <w:color w:val="auto"/>
              </w:rPr>
            </w:pPr>
          </w:p>
        </w:tc>
        <w:tc>
          <w:tcPr>
            <w:tcW w:w="540" w:type="dxa"/>
            <w:vAlign w:val="bottom"/>
            <w:tcBorders>
              <w:right w:val="single" w:sz="8" w:color="202945"/>
            </w:tcBorders>
          </w:tcPr>
          <w:p>
            <w:pPr>
              <w:spacing w:after="0"/>
              <w:rPr>
                <w:sz w:val="24"/>
                <w:szCs w:val="24"/>
                <w:color w:val="auto"/>
              </w:rPr>
            </w:pPr>
          </w:p>
        </w:tc>
        <w:tc>
          <w:tcPr>
            <w:tcW w:w="560" w:type="dxa"/>
            <w:vAlign w:val="bottom"/>
            <w:tcBorders>
              <w:right w:val="single" w:sz="8" w:color="202945"/>
            </w:tcBorders>
          </w:tcPr>
          <w:p>
            <w:pPr>
              <w:spacing w:after="0"/>
              <w:rPr>
                <w:sz w:val="24"/>
                <w:szCs w:val="24"/>
                <w:color w:val="auto"/>
              </w:rPr>
            </w:pPr>
          </w:p>
        </w:tc>
        <w:tc>
          <w:tcPr>
            <w:tcW w:w="560" w:type="dxa"/>
            <w:vAlign w:val="bottom"/>
            <w:tcBorders>
              <w:right w:val="single" w:sz="8" w:color="202945"/>
            </w:tcBorders>
          </w:tcPr>
          <w:p>
            <w:pPr>
              <w:spacing w:after="0"/>
              <w:rPr>
                <w:sz w:val="24"/>
                <w:szCs w:val="24"/>
                <w:color w:val="auto"/>
              </w:rPr>
            </w:pPr>
          </w:p>
        </w:tc>
        <w:tc>
          <w:tcPr>
            <w:tcW w:w="540" w:type="dxa"/>
            <w:vAlign w:val="bottom"/>
            <w:tcBorders>
              <w:right w:val="single" w:sz="8" w:color="202945"/>
            </w:tcBorders>
          </w:tcPr>
          <w:p>
            <w:pPr>
              <w:spacing w:after="0"/>
              <w:rPr>
                <w:sz w:val="24"/>
                <w:szCs w:val="24"/>
                <w:color w:val="auto"/>
              </w:rPr>
            </w:pPr>
          </w:p>
        </w:tc>
        <w:tc>
          <w:tcPr>
            <w:tcW w:w="560" w:type="dxa"/>
            <w:vAlign w:val="bottom"/>
            <w:tcBorders>
              <w:right w:val="single" w:sz="8" w:color="202945"/>
            </w:tcBorders>
          </w:tcPr>
          <w:p>
            <w:pPr>
              <w:spacing w:after="0"/>
              <w:rPr>
                <w:sz w:val="24"/>
                <w:szCs w:val="24"/>
                <w:color w:val="auto"/>
              </w:rPr>
            </w:pPr>
          </w:p>
        </w:tc>
        <w:tc>
          <w:tcPr>
            <w:tcW w:w="560" w:type="dxa"/>
            <w:vAlign w:val="bottom"/>
            <w:tcBorders>
              <w:right w:val="single" w:sz="8" w:color="202945"/>
            </w:tcBorders>
          </w:tcPr>
          <w:p>
            <w:pPr>
              <w:spacing w:after="0"/>
              <w:rPr>
                <w:sz w:val="24"/>
                <w:szCs w:val="24"/>
                <w:color w:val="auto"/>
              </w:rPr>
            </w:pPr>
          </w:p>
        </w:tc>
        <w:tc>
          <w:tcPr>
            <w:tcW w:w="540" w:type="dxa"/>
            <w:vAlign w:val="bottom"/>
            <w:tcBorders>
              <w:right w:val="single" w:sz="8" w:color="202945"/>
            </w:tcBorders>
          </w:tcPr>
          <w:p>
            <w:pPr>
              <w:spacing w:after="0"/>
              <w:rPr>
                <w:sz w:val="24"/>
                <w:szCs w:val="24"/>
                <w:color w:val="auto"/>
              </w:rPr>
            </w:pPr>
          </w:p>
        </w:tc>
        <w:tc>
          <w:tcPr>
            <w:tcW w:w="560" w:type="dxa"/>
            <w:vAlign w:val="bottom"/>
            <w:tcBorders>
              <w:right w:val="single" w:sz="8" w:color="202945"/>
            </w:tcBorders>
          </w:tcPr>
          <w:p>
            <w:pPr>
              <w:jc w:val="right"/>
              <w:ind w:right="159"/>
              <w:spacing w:after="0"/>
              <w:rPr>
                <w:sz w:val="20"/>
                <w:szCs w:val="20"/>
                <w:color w:val="auto"/>
              </w:rPr>
            </w:pPr>
            <w:r>
              <w:rPr>
                <w:rFonts w:ascii="Arial" w:cs="Arial" w:eastAsia="Arial" w:hAnsi="Arial"/>
                <w:sz w:val="16"/>
                <w:szCs w:val="16"/>
                <w:color w:val="auto"/>
              </w:rPr>
              <w:t>6</w:t>
            </w:r>
          </w:p>
        </w:tc>
      </w:tr>
      <w:tr>
        <w:trPr>
          <w:trHeight w:val="150"/>
        </w:trPr>
        <w:tc>
          <w:tcPr>
            <w:tcW w:w="5720" w:type="dxa"/>
            <w:vAlign w:val="bottom"/>
            <w:tcBorders>
              <w:bottom w:val="single" w:sz="8" w:color="D9D9D9"/>
              <w:right w:val="single" w:sz="8" w:color="202945"/>
            </w:tcBorders>
          </w:tcPr>
          <w:p>
            <w:pPr>
              <w:spacing w:after="0"/>
              <w:rPr>
                <w:sz w:val="13"/>
                <w:szCs w:val="13"/>
                <w:color w:val="auto"/>
              </w:rPr>
            </w:pPr>
          </w:p>
        </w:tc>
        <w:tc>
          <w:tcPr>
            <w:tcW w:w="560" w:type="dxa"/>
            <w:vAlign w:val="bottom"/>
            <w:tcBorders>
              <w:bottom w:val="single" w:sz="8" w:color="FF7F32"/>
              <w:right w:val="single" w:sz="8" w:color="202945"/>
            </w:tcBorders>
          </w:tcPr>
          <w:p>
            <w:pPr>
              <w:spacing w:after="0"/>
              <w:rPr>
                <w:sz w:val="13"/>
                <w:szCs w:val="13"/>
                <w:color w:val="auto"/>
              </w:rPr>
            </w:pPr>
          </w:p>
        </w:tc>
        <w:tc>
          <w:tcPr>
            <w:tcW w:w="560" w:type="dxa"/>
            <w:vAlign w:val="bottom"/>
            <w:tcBorders>
              <w:bottom w:val="single" w:sz="8" w:color="FF7F32"/>
              <w:right w:val="single" w:sz="8" w:color="202945"/>
            </w:tcBorders>
          </w:tcPr>
          <w:p>
            <w:pPr>
              <w:spacing w:after="0"/>
              <w:rPr>
                <w:sz w:val="13"/>
                <w:szCs w:val="13"/>
                <w:color w:val="auto"/>
              </w:rPr>
            </w:pPr>
          </w:p>
        </w:tc>
        <w:tc>
          <w:tcPr>
            <w:tcW w:w="540" w:type="dxa"/>
            <w:vAlign w:val="bottom"/>
            <w:tcBorders>
              <w:bottom w:val="single" w:sz="8" w:color="FF7F32"/>
              <w:right w:val="single" w:sz="8" w:color="202945"/>
            </w:tcBorders>
          </w:tcPr>
          <w:p>
            <w:pPr>
              <w:spacing w:after="0"/>
              <w:rPr>
                <w:sz w:val="13"/>
                <w:szCs w:val="13"/>
                <w:color w:val="auto"/>
              </w:rPr>
            </w:pPr>
          </w:p>
        </w:tc>
        <w:tc>
          <w:tcPr>
            <w:tcW w:w="560" w:type="dxa"/>
            <w:vAlign w:val="bottom"/>
            <w:tcBorders>
              <w:bottom w:val="single" w:sz="8" w:color="FF7F32"/>
              <w:right w:val="single" w:sz="8" w:color="202945"/>
            </w:tcBorders>
          </w:tcPr>
          <w:p>
            <w:pPr>
              <w:spacing w:after="0"/>
              <w:rPr>
                <w:sz w:val="13"/>
                <w:szCs w:val="13"/>
                <w:color w:val="auto"/>
              </w:rPr>
            </w:pPr>
          </w:p>
        </w:tc>
        <w:tc>
          <w:tcPr>
            <w:tcW w:w="560" w:type="dxa"/>
            <w:vAlign w:val="bottom"/>
            <w:tcBorders>
              <w:bottom w:val="single" w:sz="8" w:color="FF7F32"/>
              <w:right w:val="single" w:sz="8" w:color="202945"/>
            </w:tcBorders>
          </w:tcPr>
          <w:p>
            <w:pPr>
              <w:spacing w:after="0"/>
              <w:rPr>
                <w:sz w:val="13"/>
                <w:szCs w:val="13"/>
                <w:color w:val="auto"/>
              </w:rPr>
            </w:pPr>
          </w:p>
        </w:tc>
        <w:tc>
          <w:tcPr>
            <w:tcW w:w="540" w:type="dxa"/>
            <w:vAlign w:val="bottom"/>
            <w:tcBorders>
              <w:bottom w:val="single" w:sz="8" w:color="FF7F32"/>
              <w:right w:val="single" w:sz="8" w:color="202945"/>
            </w:tcBorders>
          </w:tcPr>
          <w:p>
            <w:pPr>
              <w:spacing w:after="0"/>
              <w:rPr>
                <w:sz w:val="13"/>
                <w:szCs w:val="13"/>
                <w:color w:val="auto"/>
              </w:rPr>
            </w:pPr>
          </w:p>
        </w:tc>
        <w:tc>
          <w:tcPr>
            <w:tcW w:w="560" w:type="dxa"/>
            <w:vAlign w:val="bottom"/>
            <w:tcBorders>
              <w:bottom w:val="single" w:sz="8" w:color="FF7F32"/>
              <w:right w:val="single" w:sz="8" w:color="202945"/>
            </w:tcBorders>
          </w:tcPr>
          <w:p>
            <w:pPr>
              <w:spacing w:after="0"/>
              <w:rPr>
                <w:sz w:val="13"/>
                <w:szCs w:val="13"/>
                <w:color w:val="auto"/>
              </w:rPr>
            </w:pPr>
          </w:p>
        </w:tc>
        <w:tc>
          <w:tcPr>
            <w:tcW w:w="560" w:type="dxa"/>
            <w:vAlign w:val="bottom"/>
            <w:tcBorders>
              <w:bottom w:val="single" w:sz="8" w:color="FF7F32"/>
              <w:right w:val="single" w:sz="8" w:color="202945"/>
            </w:tcBorders>
          </w:tcPr>
          <w:p>
            <w:pPr>
              <w:spacing w:after="0"/>
              <w:rPr>
                <w:sz w:val="13"/>
                <w:szCs w:val="13"/>
                <w:color w:val="auto"/>
              </w:rPr>
            </w:pPr>
          </w:p>
        </w:tc>
        <w:tc>
          <w:tcPr>
            <w:tcW w:w="540" w:type="dxa"/>
            <w:vAlign w:val="bottom"/>
            <w:tcBorders>
              <w:bottom w:val="single" w:sz="8" w:color="FF7F32"/>
              <w:right w:val="single" w:sz="8" w:color="202945"/>
            </w:tcBorders>
          </w:tcPr>
          <w:p>
            <w:pPr>
              <w:spacing w:after="0"/>
              <w:rPr>
                <w:sz w:val="13"/>
                <w:szCs w:val="13"/>
                <w:color w:val="auto"/>
              </w:rPr>
            </w:pPr>
          </w:p>
        </w:tc>
        <w:tc>
          <w:tcPr>
            <w:tcW w:w="560" w:type="dxa"/>
            <w:vAlign w:val="bottom"/>
            <w:tcBorders>
              <w:bottom w:val="single" w:sz="8" w:color="D9D9D9"/>
              <w:right w:val="single" w:sz="8" w:color="202945"/>
            </w:tcBorders>
          </w:tcPr>
          <w:p>
            <w:pPr>
              <w:spacing w:after="0"/>
              <w:rPr>
                <w:sz w:val="13"/>
                <w:szCs w:val="13"/>
                <w:color w:val="auto"/>
              </w:rPr>
            </w:pPr>
          </w:p>
        </w:tc>
      </w:tr>
      <w:tr>
        <w:trPr>
          <w:trHeight w:val="384"/>
        </w:trPr>
        <w:tc>
          <w:tcPr>
            <w:tcW w:w="5720" w:type="dxa"/>
            <w:vAlign w:val="bottom"/>
            <w:tcBorders>
              <w:right w:val="single" w:sz="8" w:color="202945"/>
            </w:tcBorders>
          </w:tcPr>
          <w:p>
            <w:pPr>
              <w:ind w:left="900"/>
              <w:spacing w:after="0"/>
              <w:rPr>
                <w:sz w:val="20"/>
                <w:szCs w:val="20"/>
                <w:color w:val="auto"/>
              </w:rPr>
            </w:pPr>
            <w:r>
              <w:rPr>
                <w:rFonts w:ascii="Arial" w:cs="Arial" w:eastAsia="Arial" w:hAnsi="Arial"/>
                <w:sz w:val="18"/>
                <w:szCs w:val="18"/>
                <w:b w:val="1"/>
                <w:bCs w:val="1"/>
                <w:color w:val="FF7F32"/>
              </w:rPr>
              <w:t>Leadership &amp; Senior Management</w:t>
            </w:r>
          </w:p>
        </w:tc>
        <w:tc>
          <w:tcPr>
            <w:tcW w:w="560" w:type="dxa"/>
            <w:vAlign w:val="bottom"/>
            <w:tcBorders>
              <w:right w:val="single" w:sz="8" w:color="202945"/>
            </w:tcBorders>
          </w:tcPr>
          <w:p>
            <w:pPr>
              <w:spacing w:after="0"/>
              <w:rPr>
                <w:sz w:val="24"/>
                <w:szCs w:val="24"/>
                <w:color w:val="auto"/>
              </w:rPr>
            </w:pPr>
          </w:p>
        </w:tc>
        <w:tc>
          <w:tcPr>
            <w:tcW w:w="560" w:type="dxa"/>
            <w:vAlign w:val="bottom"/>
            <w:tcBorders>
              <w:right w:val="single" w:sz="8" w:color="202945"/>
            </w:tcBorders>
          </w:tcPr>
          <w:p>
            <w:pPr>
              <w:spacing w:after="0"/>
              <w:rPr>
                <w:sz w:val="24"/>
                <w:szCs w:val="24"/>
                <w:color w:val="auto"/>
              </w:rPr>
            </w:pPr>
          </w:p>
        </w:tc>
        <w:tc>
          <w:tcPr>
            <w:tcW w:w="540" w:type="dxa"/>
            <w:vAlign w:val="bottom"/>
            <w:tcBorders>
              <w:right w:val="single" w:sz="8" w:color="202945"/>
            </w:tcBorders>
          </w:tcPr>
          <w:p>
            <w:pPr>
              <w:spacing w:after="0"/>
              <w:rPr>
                <w:sz w:val="24"/>
                <w:szCs w:val="24"/>
                <w:color w:val="auto"/>
              </w:rPr>
            </w:pPr>
          </w:p>
        </w:tc>
        <w:tc>
          <w:tcPr>
            <w:tcW w:w="560" w:type="dxa"/>
            <w:vAlign w:val="bottom"/>
            <w:tcBorders>
              <w:right w:val="single" w:sz="8" w:color="202945"/>
            </w:tcBorders>
          </w:tcPr>
          <w:p>
            <w:pPr>
              <w:spacing w:after="0"/>
              <w:rPr>
                <w:sz w:val="24"/>
                <w:szCs w:val="24"/>
                <w:color w:val="auto"/>
              </w:rPr>
            </w:pPr>
          </w:p>
        </w:tc>
        <w:tc>
          <w:tcPr>
            <w:tcW w:w="560" w:type="dxa"/>
            <w:vAlign w:val="bottom"/>
            <w:tcBorders>
              <w:right w:val="single" w:sz="8" w:color="202945"/>
            </w:tcBorders>
          </w:tcPr>
          <w:p>
            <w:pPr>
              <w:spacing w:after="0"/>
              <w:rPr>
                <w:sz w:val="24"/>
                <w:szCs w:val="24"/>
                <w:color w:val="auto"/>
              </w:rPr>
            </w:pPr>
          </w:p>
        </w:tc>
        <w:tc>
          <w:tcPr>
            <w:tcW w:w="540" w:type="dxa"/>
            <w:vAlign w:val="bottom"/>
            <w:tcBorders>
              <w:right w:val="single" w:sz="8" w:color="202945"/>
            </w:tcBorders>
          </w:tcPr>
          <w:p>
            <w:pPr>
              <w:spacing w:after="0"/>
              <w:rPr>
                <w:sz w:val="24"/>
                <w:szCs w:val="24"/>
                <w:color w:val="auto"/>
              </w:rPr>
            </w:pPr>
          </w:p>
        </w:tc>
        <w:tc>
          <w:tcPr>
            <w:tcW w:w="560" w:type="dxa"/>
            <w:vAlign w:val="bottom"/>
            <w:tcBorders>
              <w:right w:val="single" w:sz="8" w:color="202945"/>
            </w:tcBorders>
          </w:tcPr>
          <w:p>
            <w:pPr>
              <w:spacing w:after="0"/>
              <w:rPr>
                <w:sz w:val="24"/>
                <w:szCs w:val="24"/>
                <w:color w:val="auto"/>
              </w:rPr>
            </w:pPr>
          </w:p>
        </w:tc>
        <w:tc>
          <w:tcPr>
            <w:tcW w:w="560" w:type="dxa"/>
            <w:vAlign w:val="bottom"/>
            <w:tcBorders>
              <w:right w:val="single" w:sz="8" w:color="202945"/>
            </w:tcBorders>
          </w:tcPr>
          <w:p>
            <w:pPr>
              <w:spacing w:after="0"/>
              <w:rPr>
                <w:sz w:val="24"/>
                <w:szCs w:val="24"/>
                <w:color w:val="auto"/>
              </w:rPr>
            </w:pPr>
          </w:p>
        </w:tc>
        <w:tc>
          <w:tcPr>
            <w:tcW w:w="540" w:type="dxa"/>
            <w:vAlign w:val="bottom"/>
            <w:tcBorders>
              <w:right w:val="single" w:sz="8" w:color="202945"/>
            </w:tcBorders>
          </w:tcPr>
          <w:p>
            <w:pPr>
              <w:spacing w:after="0"/>
              <w:rPr>
                <w:sz w:val="24"/>
                <w:szCs w:val="24"/>
                <w:color w:val="auto"/>
              </w:rPr>
            </w:pPr>
          </w:p>
        </w:tc>
        <w:tc>
          <w:tcPr>
            <w:tcW w:w="560" w:type="dxa"/>
            <w:vAlign w:val="bottom"/>
            <w:tcBorders>
              <w:right w:val="single" w:sz="8" w:color="202945"/>
            </w:tcBorders>
          </w:tcPr>
          <w:p>
            <w:pPr>
              <w:jc w:val="right"/>
              <w:ind w:right="159"/>
              <w:spacing w:after="0"/>
              <w:rPr>
                <w:sz w:val="20"/>
                <w:szCs w:val="20"/>
                <w:color w:val="auto"/>
              </w:rPr>
            </w:pPr>
            <w:r>
              <w:rPr>
                <w:rFonts w:ascii="Arial" w:cs="Arial" w:eastAsia="Arial" w:hAnsi="Arial"/>
                <w:sz w:val="16"/>
                <w:szCs w:val="16"/>
                <w:color w:val="auto"/>
              </w:rPr>
              <w:t>9</w:t>
            </w:r>
          </w:p>
        </w:tc>
      </w:tr>
      <w:tr>
        <w:trPr>
          <w:trHeight w:val="150"/>
        </w:trPr>
        <w:tc>
          <w:tcPr>
            <w:tcW w:w="5720" w:type="dxa"/>
            <w:vAlign w:val="bottom"/>
            <w:tcBorders>
              <w:bottom w:val="single" w:sz="8" w:color="D9D9D9"/>
              <w:right w:val="single" w:sz="8" w:color="202945"/>
            </w:tcBorders>
          </w:tcPr>
          <w:p>
            <w:pPr>
              <w:spacing w:after="0"/>
              <w:rPr>
                <w:sz w:val="13"/>
                <w:szCs w:val="13"/>
                <w:color w:val="auto"/>
              </w:rPr>
            </w:pPr>
          </w:p>
        </w:tc>
        <w:tc>
          <w:tcPr>
            <w:tcW w:w="560" w:type="dxa"/>
            <w:vAlign w:val="bottom"/>
            <w:tcBorders>
              <w:bottom w:val="single" w:sz="8" w:color="FF7F32"/>
              <w:right w:val="single" w:sz="8" w:color="202945"/>
            </w:tcBorders>
          </w:tcPr>
          <w:p>
            <w:pPr>
              <w:spacing w:after="0"/>
              <w:rPr>
                <w:sz w:val="13"/>
                <w:szCs w:val="13"/>
                <w:color w:val="auto"/>
              </w:rPr>
            </w:pPr>
          </w:p>
        </w:tc>
        <w:tc>
          <w:tcPr>
            <w:tcW w:w="560" w:type="dxa"/>
            <w:vAlign w:val="bottom"/>
            <w:tcBorders>
              <w:bottom w:val="single" w:sz="8" w:color="D9D9D9"/>
              <w:right w:val="single" w:sz="8" w:color="202945"/>
            </w:tcBorders>
          </w:tcPr>
          <w:p>
            <w:pPr>
              <w:spacing w:after="0"/>
              <w:rPr>
                <w:sz w:val="13"/>
                <w:szCs w:val="13"/>
                <w:color w:val="auto"/>
              </w:rPr>
            </w:pPr>
          </w:p>
        </w:tc>
        <w:tc>
          <w:tcPr>
            <w:tcW w:w="540" w:type="dxa"/>
            <w:vAlign w:val="bottom"/>
            <w:tcBorders>
              <w:bottom w:val="single" w:sz="8" w:color="FF7F32"/>
              <w:right w:val="single" w:sz="8" w:color="202945"/>
            </w:tcBorders>
          </w:tcPr>
          <w:p>
            <w:pPr>
              <w:spacing w:after="0"/>
              <w:rPr>
                <w:sz w:val="13"/>
                <w:szCs w:val="13"/>
                <w:color w:val="auto"/>
              </w:rPr>
            </w:pPr>
          </w:p>
        </w:tc>
        <w:tc>
          <w:tcPr>
            <w:tcW w:w="560" w:type="dxa"/>
            <w:vAlign w:val="bottom"/>
            <w:tcBorders>
              <w:bottom w:val="single" w:sz="8" w:color="FF7F32"/>
              <w:right w:val="single" w:sz="8" w:color="202945"/>
            </w:tcBorders>
          </w:tcPr>
          <w:p>
            <w:pPr>
              <w:spacing w:after="0"/>
              <w:rPr>
                <w:sz w:val="13"/>
                <w:szCs w:val="13"/>
                <w:color w:val="auto"/>
              </w:rPr>
            </w:pPr>
          </w:p>
        </w:tc>
        <w:tc>
          <w:tcPr>
            <w:tcW w:w="560" w:type="dxa"/>
            <w:vAlign w:val="bottom"/>
            <w:tcBorders>
              <w:bottom w:val="single" w:sz="8" w:color="D9D9D9"/>
              <w:right w:val="single" w:sz="8" w:color="202945"/>
            </w:tcBorders>
          </w:tcPr>
          <w:p>
            <w:pPr>
              <w:spacing w:after="0"/>
              <w:rPr>
                <w:sz w:val="13"/>
                <w:szCs w:val="13"/>
                <w:color w:val="auto"/>
              </w:rPr>
            </w:pPr>
          </w:p>
        </w:tc>
        <w:tc>
          <w:tcPr>
            <w:tcW w:w="540" w:type="dxa"/>
            <w:vAlign w:val="bottom"/>
            <w:tcBorders>
              <w:bottom w:val="single" w:sz="8" w:color="FF7F32"/>
              <w:right w:val="single" w:sz="8" w:color="202945"/>
            </w:tcBorders>
          </w:tcPr>
          <w:p>
            <w:pPr>
              <w:spacing w:after="0"/>
              <w:rPr>
                <w:sz w:val="13"/>
                <w:szCs w:val="13"/>
                <w:color w:val="auto"/>
              </w:rPr>
            </w:pPr>
          </w:p>
        </w:tc>
        <w:tc>
          <w:tcPr>
            <w:tcW w:w="560" w:type="dxa"/>
            <w:vAlign w:val="bottom"/>
            <w:tcBorders>
              <w:bottom w:val="single" w:sz="8" w:color="FF7F32"/>
              <w:right w:val="single" w:sz="8" w:color="202945"/>
            </w:tcBorders>
          </w:tcPr>
          <w:p>
            <w:pPr>
              <w:spacing w:after="0"/>
              <w:rPr>
                <w:sz w:val="13"/>
                <w:szCs w:val="13"/>
                <w:color w:val="auto"/>
              </w:rPr>
            </w:pPr>
          </w:p>
        </w:tc>
        <w:tc>
          <w:tcPr>
            <w:tcW w:w="560" w:type="dxa"/>
            <w:vAlign w:val="bottom"/>
            <w:tcBorders>
              <w:bottom w:val="single" w:sz="8" w:color="FF7F32"/>
              <w:right w:val="single" w:sz="8" w:color="202945"/>
            </w:tcBorders>
          </w:tcPr>
          <w:p>
            <w:pPr>
              <w:spacing w:after="0"/>
              <w:rPr>
                <w:sz w:val="13"/>
                <w:szCs w:val="13"/>
                <w:color w:val="auto"/>
              </w:rPr>
            </w:pPr>
          </w:p>
        </w:tc>
        <w:tc>
          <w:tcPr>
            <w:tcW w:w="540" w:type="dxa"/>
            <w:vAlign w:val="bottom"/>
            <w:tcBorders>
              <w:bottom w:val="single" w:sz="8" w:color="FF7F32"/>
              <w:right w:val="single" w:sz="8" w:color="202945"/>
            </w:tcBorders>
          </w:tcPr>
          <w:p>
            <w:pPr>
              <w:spacing w:after="0"/>
              <w:rPr>
                <w:sz w:val="13"/>
                <w:szCs w:val="13"/>
                <w:color w:val="auto"/>
              </w:rPr>
            </w:pPr>
          </w:p>
        </w:tc>
        <w:tc>
          <w:tcPr>
            <w:tcW w:w="560" w:type="dxa"/>
            <w:vAlign w:val="bottom"/>
            <w:tcBorders>
              <w:bottom w:val="single" w:sz="8" w:color="D9D9D9"/>
              <w:right w:val="single" w:sz="8" w:color="202945"/>
            </w:tcBorders>
          </w:tcPr>
          <w:p>
            <w:pPr>
              <w:spacing w:after="0"/>
              <w:rPr>
                <w:sz w:val="13"/>
                <w:szCs w:val="13"/>
                <w:color w:val="auto"/>
              </w:rPr>
            </w:pPr>
          </w:p>
        </w:tc>
      </w:tr>
      <w:tr>
        <w:trPr>
          <w:trHeight w:val="383"/>
        </w:trPr>
        <w:tc>
          <w:tcPr>
            <w:tcW w:w="5720" w:type="dxa"/>
            <w:vAlign w:val="bottom"/>
            <w:tcBorders>
              <w:right w:val="single" w:sz="8" w:color="202945"/>
            </w:tcBorders>
          </w:tcPr>
          <w:p>
            <w:pPr>
              <w:ind w:left="900"/>
              <w:spacing w:after="0"/>
              <w:rPr>
                <w:sz w:val="20"/>
                <w:szCs w:val="20"/>
                <w:color w:val="auto"/>
              </w:rPr>
            </w:pPr>
            <w:r>
              <w:rPr>
                <w:rFonts w:ascii="Arial" w:cs="Arial" w:eastAsia="Arial" w:hAnsi="Arial"/>
                <w:sz w:val="18"/>
                <w:szCs w:val="18"/>
                <w:b w:val="1"/>
                <w:bCs w:val="1"/>
                <w:color w:val="FF7F32"/>
              </w:rPr>
              <w:t>Accounting &amp; Finance</w:t>
            </w:r>
          </w:p>
        </w:tc>
        <w:tc>
          <w:tcPr>
            <w:tcW w:w="560" w:type="dxa"/>
            <w:vAlign w:val="bottom"/>
            <w:tcBorders>
              <w:right w:val="single" w:sz="8" w:color="202945"/>
            </w:tcBorders>
          </w:tcPr>
          <w:p>
            <w:pPr>
              <w:spacing w:after="0"/>
              <w:rPr>
                <w:sz w:val="24"/>
                <w:szCs w:val="24"/>
                <w:color w:val="auto"/>
              </w:rPr>
            </w:pPr>
          </w:p>
        </w:tc>
        <w:tc>
          <w:tcPr>
            <w:tcW w:w="560" w:type="dxa"/>
            <w:vAlign w:val="bottom"/>
            <w:tcBorders>
              <w:right w:val="single" w:sz="8" w:color="202945"/>
            </w:tcBorders>
          </w:tcPr>
          <w:p>
            <w:pPr>
              <w:spacing w:after="0"/>
              <w:rPr>
                <w:sz w:val="24"/>
                <w:szCs w:val="24"/>
                <w:color w:val="auto"/>
              </w:rPr>
            </w:pPr>
          </w:p>
        </w:tc>
        <w:tc>
          <w:tcPr>
            <w:tcW w:w="540" w:type="dxa"/>
            <w:vAlign w:val="bottom"/>
            <w:tcBorders>
              <w:right w:val="single" w:sz="8" w:color="202945"/>
            </w:tcBorders>
          </w:tcPr>
          <w:p>
            <w:pPr>
              <w:spacing w:after="0"/>
              <w:rPr>
                <w:sz w:val="24"/>
                <w:szCs w:val="24"/>
                <w:color w:val="auto"/>
              </w:rPr>
            </w:pPr>
          </w:p>
        </w:tc>
        <w:tc>
          <w:tcPr>
            <w:tcW w:w="560" w:type="dxa"/>
            <w:vAlign w:val="bottom"/>
            <w:tcBorders>
              <w:right w:val="single" w:sz="8" w:color="202945"/>
            </w:tcBorders>
          </w:tcPr>
          <w:p>
            <w:pPr>
              <w:spacing w:after="0"/>
              <w:rPr>
                <w:sz w:val="24"/>
                <w:szCs w:val="24"/>
                <w:color w:val="auto"/>
              </w:rPr>
            </w:pPr>
          </w:p>
        </w:tc>
        <w:tc>
          <w:tcPr>
            <w:tcW w:w="560" w:type="dxa"/>
            <w:vAlign w:val="bottom"/>
            <w:tcBorders>
              <w:right w:val="single" w:sz="8" w:color="202945"/>
            </w:tcBorders>
          </w:tcPr>
          <w:p>
            <w:pPr>
              <w:spacing w:after="0"/>
              <w:rPr>
                <w:sz w:val="24"/>
                <w:szCs w:val="24"/>
                <w:color w:val="auto"/>
              </w:rPr>
            </w:pPr>
          </w:p>
        </w:tc>
        <w:tc>
          <w:tcPr>
            <w:tcW w:w="540" w:type="dxa"/>
            <w:vAlign w:val="bottom"/>
            <w:tcBorders>
              <w:right w:val="single" w:sz="8" w:color="202945"/>
            </w:tcBorders>
          </w:tcPr>
          <w:p>
            <w:pPr>
              <w:spacing w:after="0"/>
              <w:rPr>
                <w:sz w:val="24"/>
                <w:szCs w:val="24"/>
                <w:color w:val="auto"/>
              </w:rPr>
            </w:pPr>
          </w:p>
        </w:tc>
        <w:tc>
          <w:tcPr>
            <w:tcW w:w="560" w:type="dxa"/>
            <w:vAlign w:val="bottom"/>
            <w:tcBorders>
              <w:right w:val="single" w:sz="8" w:color="202945"/>
            </w:tcBorders>
          </w:tcPr>
          <w:p>
            <w:pPr>
              <w:spacing w:after="0"/>
              <w:rPr>
                <w:sz w:val="24"/>
                <w:szCs w:val="24"/>
                <w:color w:val="auto"/>
              </w:rPr>
            </w:pPr>
          </w:p>
        </w:tc>
        <w:tc>
          <w:tcPr>
            <w:tcW w:w="560" w:type="dxa"/>
            <w:vAlign w:val="bottom"/>
            <w:tcBorders>
              <w:right w:val="single" w:sz="8" w:color="202945"/>
            </w:tcBorders>
          </w:tcPr>
          <w:p>
            <w:pPr>
              <w:spacing w:after="0"/>
              <w:rPr>
                <w:sz w:val="24"/>
                <w:szCs w:val="24"/>
                <w:color w:val="auto"/>
              </w:rPr>
            </w:pPr>
          </w:p>
        </w:tc>
        <w:tc>
          <w:tcPr>
            <w:tcW w:w="540" w:type="dxa"/>
            <w:vAlign w:val="bottom"/>
            <w:tcBorders>
              <w:right w:val="single" w:sz="8" w:color="202945"/>
            </w:tcBorders>
          </w:tcPr>
          <w:p>
            <w:pPr>
              <w:spacing w:after="0"/>
              <w:rPr>
                <w:sz w:val="24"/>
                <w:szCs w:val="24"/>
                <w:color w:val="auto"/>
              </w:rPr>
            </w:pPr>
          </w:p>
        </w:tc>
        <w:tc>
          <w:tcPr>
            <w:tcW w:w="560" w:type="dxa"/>
            <w:vAlign w:val="bottom"/>
            <w:tcBorders>
              <w:right w:val="single" w:sz="8" w:color="202945"/>
            </w:tcBorders>
          </w:tcPr>
          <w:p>
            <w:pPr>
              <w:jc w:val="right"/>
              <w:ind w:right="159"/>
              <w:spacing w:after="0"/>
              <w:rPr>
                <w:sz w:val="20"/>
                <w:szCs w:val="20"/>
                <w:color w:val="auto"/>
              </w:rPr>
            </w:pPr>
            <w:r>
              <w:rPr>
                <w:rFonts w:ascii="Arial" w:cs="Arial" w:eastAsia="Arial" w:hAnsi="Arial"/>
                <w:sz w:val="16"/>
                <w:szCs w:val="16"/>
                <w:color w:val="auto"/>
              </w:rPr>
              <w:t>7</w:t>
            </w:r>
          </w:p>
        </w:tc>
      </w:tr>
      <w:tr>
        <w:trPr>
          <w:trHeight w:val="150"/>
        </w:trPr>
        <w:tc>
          <w:tcPr>
            <w:tcW w:w="5720" w:type="dxa"/>
            <w:vAlign w:val="bottom"/>
            <w:tcBorders>
              <w:bottom w:val="single" w:sz="8" w:color="D9D9D9"/>
              <w:right w:val="single" w:sz="8" w:color="202945"/>
            </w:tcBorders>
          </w:tcPr>
          <w:p>
            <w:pPr>
              <w:spacing w:after="0"/>
              <w:rPr>
                <w:sz w:val="13"/>
                <w:szCs w:val="13"/>
                <w:color w:val="auto"/>
              </w:rPr>
            </w:pPr>
          </w:p>
        </w:tc>
        <w:tc>
          <w:tcPr>
            <w:tcW w:w="560" w:type="dxa"/>
            <w:vAlign w:val="bottom"/>
            <w:tcBorders>
              <w:bottom w:val="single" w:sz="8" w:color="D9D9D9"/>
              <w:right w:val="single" w:sz="8" w:color="202945"/>
            </w:tcBorders>
          </w:tcPr>
          <w:p>
            <w:pPr>
              <w:spacing w:after="0"/>
              <w:rPr>
                <w:sz w:val="13"/>
                <w:szCs w:val="13"/>
                <w:color w:val="auto"/>
              </w:rPr>
            </w:pPr>
          </w:p>
        </w:tc>
        <w:tc>
          <w:tcPr>
            <w:tcW w:w="560" w:type="dxa"/>
            <w:vAlign w:val="bottom"/>
            <w:tcBorders>
              <w:bottom w:val="single" w:sz="8" w:color="D9D9D9"/>
              <w:right w:val="single" w:sz="8" w:color="202945"/>
            </w:tcBorders>
          </w:tcPr>
          <w:p>
            <w:pPr>
              <w:spacing w:after="0"/>
              <w:rPr>
                <w:sz w:val="13"/>
                <w:szCs w:val="13"/>
                <w:color w:val="auto"/>
              </w:rPr>
            </w:pPr>
          </w:p>
        </w:tc>
        <w:tc>
          <w:tcPr>
            <w:tcW w:w="540" w:type="dxa"/>
            <w:vAlign w:val="bottom"/>
            <w:tcBorders>
              <w:bottom w:val="single" w:sz="8" w:color="D9D9D9"/>
              <w:right w:val="single" w:sz="8" w:color="202945"/>
            </w:tcBorders>
          </w:tcPr>
          <w:p>
            <w:pPr>
              <w:spacing w:after="0"/>
              <w:rPr>
                <w:sz w:val="13"/>
                <w:szCs w:val="13"/>
                <w:color w:val="auto"/>
              </w:rPr>
            </w:pPr>
          </w:p>
        </w:tc>
        <w:tc>
          <w:tcPr>
            <w:tcW w:w="560" w:type="dxa"/>
            <w:vAlign w:val="bottom"/>
            <w:tcBorders>
              <w:bottom w:val="single" w:sz="8" w:color="FF7F32"/>
              <w:right w:val="single" w:sz="8" w:color="202945"/>
            </w:tcBorders>
          </w:tcPr>
          <w:p>
            <w:pPr>
              <w:spacing w:after="0"/>
              <w:rPr>
                <w:sz w:val="13"/>
                <w:szCs w:val="13"/>
                <w:color w:val="auto"/>
              </w:rPr>
            </w:pPr>
          </w:p>
        </w:tc>
        <w:tc>
          <w:tcPr>
            <w:tcW w:w="560" w:type="dxa"/>
            <w:vAlign w:val="bottom"/>
            <w:tcBorders>
              <w:bottom w:val="single" w:sz="8" w:color="D9D9D9"/>
              <w:right w:val="single" w:sz="8" w:color="202945"/>
            </w:tcBorders>
          </w:tcPr>
          <w:p>
            <w:pPr>
              <w:spacing w:after="0"/>
              <w:rPr>
                <w:sz w:val="13"/>
                <w:szCs w:val="13"/>
                <w:color w:val="auto"/>
              </w:rPr>
            </w:pPr>
          </w:p>
        </w:tc>
        <w:tc>
          <w:tcPr>
            <w:tcW w:w="540" w:type="dxa"/>
            <w:vAlign w:val="bottom"/>
            <w:tcBorders>
              <w:bottom w:val="single" w:sz="8" w:color="FF7F32"/>
              <w:right w:val="single" w:sz="8" w:color="202945"/>
            </w:tcBorders>
          </w:tcPr>
          <w:p>
            <w:pPr>
              <w:spacing w:after="0"/>
              <w:rPr>
                <w:sz w:val="13"/>
                <w:szCs w:val="13"/>
                <w:color w:val="auto"/>
              </w:rPr>
            </w:pPr>
          </w:p>
        </w:tc>
        <w:tc>
          <w:tcPr>
            <w:tcW w:w="560" w:type="dxa"/>
            <w:vAlign w:val="bottom"/>
            <w:tcBorders>
              <w:bottom w:val="single" w:sz="8" w:color="FF7F32"/>
              <w:right w:val="single" w:sz="8" w:color="202945"/>
            </w:tcBorders>
          </w:tcPr>
          <w:p>
            <w:pPr>
              <w:spacing w:after="0"/>
              <w:rPr>
                <w:sz w:val="13"/>
                <w:szCs w:val="13"/>
                <w:color w:val="auto"/>
              </w:rPr>
            </w:pPr>
          </w:p>
        </w:tc>
        <w:tc>
          <w:tcPr>
            <w:tcW w:w="560" w:type="dxa"/>
            <w:vAlign w:val="bottom"/>
            <w:tcBorders>
              <w:bottom w:val="single" w:sz="8" w:color="FF7F32"/>
              <w:right w:val="single" w:sz="8" w:color="202945"/>
            </w:tcBorders>
          </w:tcPr>
          <w:p>
            <w:pPr>
              <w:spacing w:after="0"/>
              <w:rPr>
                <w:sz w:val="13"/>
                <w:szCs w:val="13"/>
                <w:color w:val="auto"/>
              </w:rPr>
            </w:pPr>
          </w:p>
        </w:tc>
        <w:tc>
          <w:tcPr>
            <w:tcW w:w="540" w:type="dxa"/>
            <w:vAlign w:val="bottom"/>
            <w:tcBorders>
              <w:bottom w:val="single" w:sz="8" w:color="FF7F32"/>
              <w:right w:val="single" w:sz="8" w:color="202945"/>
            </w:tcBorders>
          </w:tcPr>
          <w:p>
            <w:pPr>
              <w:spacing w:after="0"/>
              <w:rPr>
                <w:sz w:val="13"/>
                <w:szCs w:val="13"/>
                <w:color w:val="auto"/>
              </w:rPr>
            </w:pPr>
          </w:p>
        </w:tc>
        <w:tc>
          <w:tcPr>
            <w:tcW w:w="560" w:type="dxa"/>
            <w:vAlign w:val="bottom"/>
            <w:tcBorders>
              <w:bottom w:val="single" w:sz="8" w:color="D9D9D9"/>
              <w:right w:val="single" w:sz="8" w:color="202945"/>
            </w:tcBorders>
          </w:tcPr>
          <w:p>
            <w:pPr>
              <w:spacing w:after="0"/>
              <w:rPr>
                <w:sz w:val="13"/>
                <w:szCs w:val="13"/>
                <w:color w:val="auto"/>
              </w:rPr>
            </w:pPr>
          </w:p>
        </w:tc>
      </w:tr>
      <w:tr>
        <w:trPr>
          <w:trHeight w:val="383"/>
        </w:trPr>
        <w:tc>
          <w:tcPr>
            <w:tcW w:w="5720" w:type="dxa"/>
            <w:vAlign w:val="bottom"/>
            <w:tcBorders>
              <w:right w:val="single" w:sz="8" w:color="202945"/>
            </w:tcBorders>
          </w:tcPr>
          <w:p>
            <w:pPr>
              <w:ind w:left="900"/>
              <w:spacing w:after="0"/>
              <w:rPr>
                <w:sz w:val="20"/>
                <w:szCs w:val="20"/>
                <w:color w:val="auto"/>
              </w:rPr>
            </w:pPr>
            <w:r>
              <w:rPr>
                <w:rFonts w:ascii="Arial" w:cs="Arial" w:eastAsia="Arial" w:hAnsi="Arial"/>
                <w:sz w:val="18"/>
                <w:szCs w:val="18"/>
                <w:b w:val="1"/>
                <w:bCs w:val="1"/>
                <w:color w:val="FF7F32"/>
              </w:rPr>
              <w:t>Technology &amp; Cybersecurity</w:t>
            </w:r>
          </w:p>
        </w:tc>
        <w:tc>
          <w:tcPr>
            <w:tcW w:w="560" w:type="dxa"/>
            <w:vAlign w:val="bottom"/>
            <w:tcBorders>
              <w:right w:val="single" w:sz="8" w:color="202945"/>
            </w:tcBorders>
          </w:tcPr>
          <w:p>
            <w:pPr>
              <w:spacing w:after="0"/>
              <w:rPr>
                <w:sz w:val="24"/>
                <w:szCs w:val="24"/>
                <w:color w:val="auto"/>
              </w:rPr>
            </w:pPr>
          </w:p>
        </w:tc>
        <w:tc>
          <w:tcPr>
            <w:tcW w:w="560" w:type="dxa"/>
            <w:vAlign w:val="bottom"/>
            <w:tcBorders>
              <w:right w:val="single" w:sz="8" w:color="202945"/>
            </w:tcBorders>
          </w:tcPr>
          <w:p>
            <w:pPr>
              <w:spacing w:after="0"/>
              <w:rPr>
                <w:sz w:val="24"/>
                <w:szCs w:val="24"/>
                <w:color w:val="auto"/>
              </w:rPr>
            </w:pPr>
          </w:p>
        </w:tc>
        <w:tc>
          <w:tcPr>
            <w:tcW w:w="540" w:type="dxa"/>
            <w:vAlign w:val="bottom"/>
            <w:tcBorders>
              <w:right w:val="single" w:sz="8" w:color="202945"/>
            </w:tcBorders>
          </w:tcPr>
          <w:p>
            <w:pPr>
              <w:spacing w:after="0"/>
              <w:rPr>
                <w:sz w:val="24"/>
                <w:szCs w:val="24"/>
                <w:color w:val="auto"/>
              </w:rPr>
            </w:pPr>
          </w:p>
        </w:tc>
        <w:tc>
          <w:tcPr>
            <w:tcW w:w="560" w:type="dxa"/>
            <w:vAlign w:val="bottom"/>
            <w:tcBorders>
              <w:right w:val="single" w:sz="8" w:color="202945"/>
            </w:tcBorders>
          </w:tcPr>
          <w:p>
            <w:pPr>
              <w:spacing w:after="0"/>
              <w:rPr>
                <w:sz w:val="24"/>
                <w:szCs w:val="24"/>
                <w:color w:val="auto"/>
              </w:rPr>
            </w:pPr>
          </w:p>
        </w:tc>
        <w:tc>
          <w:tcPr>
            <w:tcW w:w="560" w:type="dxa"/>
            <w:vAlign w:val="bottom"/>
            <w:tcBorders>
              <w:right w:val="single" w:sz="8" w:color="202945"/>
            </w:tcBorders>
          </w:tcPr>
          <w:p>
            <w:pPr>
              <w:spacing w:after="0"/>
              <w:rPr>
                <w:sz w:val="24"/>
                <w:szCs w:val="24"/>
                <w:color w:val="auto"/>
              </w:rPr>
            </w:pPr>
          </w:p>
        </w:tc>
        <w:tc>
          <w:tcPr>
            <w:tcW w:w="540" w:type="dxa"/>
            <w:vAlign w:val="bottom"/>
            <w:tcBorders>
              <w:right w:val="single" w:sz="8" w:color="202945"/>
            </w:tcBorders>
          </w:tcPr>
          <w:p>
            <w:pPr>
              <w:spacing w:after="0"/>
              <w:rPr>
                <w:sz w:val="24"/>
                <w:szCs w:val="24"/>
                <w:color w:val="auto"/>
              </w:rPr>
            </w:pPr>
          </w:p>
        </w:tc>
        <w:tc>
          <w:tcPr>
            <w:tcW w:w="560" w:type="dxa"/>
            <w:vAlign w:val="bottom"/>
            <w:tcBorders>
              <w:right w:val="single" w:sz="8" w:color="202945"/>
            </w:tcBorders>
          </w:tcPr>
          <w:p>
            <w:pPr>
              <w:spacing w:after="0"/>
              <w:rPr>
                <w:sz w:val="24"/>
                <w:szCs w:val="24"/>
                <w:color w:val="auto"/>
              </w:rPr>
            </w:pPr>
          </w:p>
        </w:tc>
        <w:tc>
          <w:tcPr>
            <w:tcW w:w="560" w:type="dxa"/>
            <w:vAlign w:val="bottom"/>
            <w:tcBorders>
              <w:right w:val="single" w:sz="8" w:color="202945"/>
            </w:tcBorders>
          </w:tcPr>
          <w:p>
            <w:pPr>
              <w:spacing w:after="0"/>
              <w:rPr>
                <w:sz w:val="24"/>
                <w:szCs w:val="24"/>
                <w:color w:val="auto"/>
              </w:rPr>
            </w:pPr>
          </w:p>
        </w:tc>
        <w:tc>
          <w:tcPr>
            <w:tcW w:w="540" w:type="dxa"/>
            <w:vAlign w:val="bottom"/>
            <w:tcBorders>
              <w:right w:val="single" w:sz="8" w:color="202945"/>
            </w:tcBorders>
          </w:tcPr>
          <w:p>
            <w:pPr>
              <w:spacing w:after="0"/>
              <w:rPr>
                <w:sz w:val="24"/>
                <w:szCs w:val="24"/>
                <w:color w:val="auto"/>
              </w:rPr>
            </w:pPr>
          </w:p>
        </w:tc>
        <w:tc>
          <w:tcPr>
            <w:tcW w:w="560" w:type="dxa"/>
            <w:vAlign w:val="bottom"/>
            <w:tcBorders>
              <w:right w:val="single" w:sz="8" w:color="202945"/>
            </w:tcBorders>
          </w:tcPr>
          <w:p>
            <w:pPr>
              <w:jc w:val="right"/>
              <w:ind w:right="159"/>
              <w:spacing w:after="0"/>
              <w:rPr>
                <w:sz w:val="20"/>
                <w:szCs w:val="20"/>
                <w:color w:val="auto"/>
              </w:rPr>
            </w:pPr>
            <w:r>
              <w:rPr>
                <w:rFonts w:ascii="Arial" w:cs="Arial" w:eastAsia="Arial" w:hAnsi="Arial"/>
                <w:sz w:val="16"/>
                <w:szCs w:val="16"/>
                <w:color w:val="auto"/>
              </w:rPr>
              <w:t>5</w:t>
            </w:r>
          </w:p>
        </w:tc>
      </w:tr>
      <w:tr>
        <w:trPr>
          <w:trHeight w:val="150"/>
        </w:trPr>
        <w:tc>
          <w:tcPr>
            <w:tcW w:w="5720" w:type="dxa"/>
            <w:vAlign w:val="bottom"/>
            <w:tcBorders>
              <w:bottom w:val="single" w:sz="8" w:color="FF7F32"/>
              <w:right w:val="single" w:sz="8" w:color="202945"/>
            </w:tcBorders>
          </w:tcPr>
          <w:p>
            <w:pPr>
              <w:spacing w:after="0"/>
              <w:rPr>
                <w:sz w:val="13"/>
                <w:szCs w:val="13"/>
                <w:color w:val="auto"/>
              </w:rPr>
            </w:pPr>
          </w:p>
        </w:tc>
        <w:tc>
          <w:tcPr>
            <w:tcW w:w="560" w:type="dxa"/>
            <w:vAlign w:val="bottom"/>
            <w:tcBorders>
              <w:bottom w:val="single" w:sz="8" w:color="FF7F32"/>
              <w:right w:val="single" w:sz="8" w:color="202945"/>
            </w:tcBorders>
          </w:tcPr>
          <w:p>
            <w:pPr>
              <w:spacing w:after="0"/>
              <w:rPr>
                <w:sz w:val="13"/>
                <w:szCs w:val="13"/>
                <w:color w:val="auto"/>
              </w:rPr>
            </w:pPr>
          </w:p>
        </w:tc>
        <w:tc>
          <w:tcPr>
            <w:tcW w:w="560" w:type="dxa"/>
            <w:vAlign w:val="bottom"/>
            <w:tcBorders>
              <w:bottom w:val="single" w:sz="8" w:color="FF7F32"/>
              <w:right w:val="single" w:sz="8" w:color="202945"/>
            </w:tcBorders>
          </w:tcPr>
          <w:p>
            <w:pPr>
              <w:spacing w:after="0"/>
              <w:rPr>
                <w:sz w:val="13"/>
                <w:szCs w:val="13"/>
                <w:color w:val="auto"/>
              </w:rPr>
            </w:pPr>
          </w:p>
        </w:tc>
        <w:tc>
          <w:tcPr>
            <w:tcW w:w="540" w:type="dxa"/>
            <w:vAlign w:val="bottom"/>
            <w:tcBorders>
              <w:bottom w:val="single" w:sz="8" w:color="FF7F32"/>
              <w:right w:val="single" w:sz="8" w:color="202945"/>
            </w:tcBorders>
          </w:tcPr>
          <w:p>
            <w:pPr>
              <w:spacing w:after="0"/>
              <w:rPr>
                <w:sz w:val="13"/>
                <w:szCs w:val="13"/>
                <w:color w:val="auto"/>
              </w:rPr>
            </w:pPr>
          </w:p>
        </w:tc>
        <w:tc>
          <w:tcPr>
            <w:tcW w:w="560" w:type="dxa"/>
            <w:vAlign w:val="bottom"/>
            <w:tcBorders>
              <w:bottom w:val="single" w:sz="8" w:color="D9D9D9"/>
              <w:right w:val="single" w:sz="8" w:color="202945"/>
            </w:tcBorders>
          </w:tcPr>
          <w:p>
            <w:pPr>
              <w:spacing w:after="0"/>
              <w:rPr>
                <w:sz w:val="13"/>
                <w:szCs w:val="13"/>
                <w:color w:val="auto"/>
              </w:rPr>
            </w:pPr>
          </w:p>
        </w:tc>
        <w:tc>
          <w:tcPr>
            <w:tcW w:w="560" w:type="dxa"/>
            <w:vAlign w:val="bottom"/>
            <w:tcBorders>
              <w:bottom w:val="single" w:sz="8" w:color="FF7F32"/>
              <w:right w:val="single" w:sz="8" w:color="202945"/>
            </w:tcBorders>
          </w:tcPr>
          <w:p>
            <w:pPr>
              <w:spacing w:after="0"/>
              <w:rPr>
                <w:sz w:val="13"/>
                <w:szCs w:val="13"/>
                <w:color w:val="auto"/>
              </w:rPr>
            </w:pPr>
          </w:p>
        </w:tc>
        <w:tc>
          <w:tcPr>
            <w:tcW w:w="540" w:type="dxa"/>
            <w:vAlign w:val="bottom"/>
            <w:tcBorders>
              <w:bottom w:val="single" w:sz="8" w:color="D9D9D9"/>
              <w:right w:val="single" w:sz="8" w:color="202945"/>
            </w:tcBorders>
          </w:tcPr>
          <w:p>
            <w:pPr>
              <w:spacing w:after="0"/>
              <w:rPr>
                <w:sz w:val="13"/>
                <w:szCs w:val="13"/>
                <w:color w:val="auto"/>
              </w:rPr>
            </w:pPr>
          </w:p>
        </w:tc>
        <w:tc>
          <w:tcPr>
            <w:tcW w:w="560" w:type="dxa"/>
            <w:vAlign w:val="bottom"/>
            <w:tcBorders>
              <w:bottom w:val="single" w:sz="8" w:color="D9D9D9"/>
              <w:right w:val="single" w:sz="8" w:color="202945"/>
            </w:tcBorders>
          </w:tcPr>
          <w:p>
            <w:pPr>
              <w:spacing w:after="0"/>
              <w:rPr>
                <w:sz w:val="13"/>
                <w:szCs w:val="13"/>
                <w:color w:val="auto"/>
              </w:rPr>
            </w:pPr>
          </w:p>
        </w:tc>
        <w:tc>
          <w:tcPr>
            <w:tcW w:w="560" w:type="dxa"/>
            <w:vAlign w:val="bottom"/>
            <w:tcBorders>
              <w:bottom w:val="single" w:sz="8" w:color="D9D9D9"/>
              <w:right w:val="single" w:sz="8" w:color="202945"/>
            </w:tcBorders>
          </w:tcPr>
          <w:p>
            <w:pPr>
              <w:spacing w:after="0"/>
              <w:rPr>
                <w:sz w:val="13"/>
                <w:szCs w:val="13"/>
                <w:color w:val="auto"/>
              </w:rPr>
            </w:pPr>
          </w:p>
        </w:tc>
        <w:tc>
          <w:tcPr>
            <w:tcW w:w="540" w:type="dxa"/>
            <w:vAlign w:val="bottom"/>
            <w:tcBorders>
              <w:bottom w:val="single" w:sz="8" w:color="D9D9D9"/>
              <w:right w:val="single" w:sz="8" w:color="202945"/>
            </w:tcBorders>
          </w:tcPr>
          <w:p>
            <w:pPr>
              <w:spacing w:after="0"/>
              <w:rPr>
                <w:sz w:val="13"/>
                <w:szCs w:val="13"/>
                <w:color w:val="auto"/>
              </w:rPr>
            </w:pPr>
          </w:p>
        </w:tc>
        <w:tc>
          <w:tcPr>
            <w:tcW w:w="560" w:type="dxa"/>
            <w:vAlign w:val="bottom"/>
            <w:tcBorders>
              <w:bottom w:val="single" w:sz="8" w:color="FF7F32"/>
              <w:right w:val="single" w:sz="8" w:color="202945"/>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-3505835</wp:posOffset>
            </wp:positionV>
            <wp:extent cx="94615" cy="99441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94615" cy="99441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-3102610</wp:posOffset>
            </wp:positionV>
            <wp:extent cx="77470" cy="5918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7470" cy="59182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-2991485</wp:posOffset>
            </wp:positionV>
            <wp:extent cx="77470" cy="4800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7470" cy="48006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-3180080</wp:posOffset>
            </wp:positionV>
            <wp:extent cx="76835" cy="6686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6835" cy="6686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-3445510</wp:posOffset>
            </wp:positionV>
            <wp:extent cx="76835" cy="9347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6835" cy="93472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-3094355</wp:posOffset>
            </wp:positionV>
            <wp:extent cx="93980" cy="5829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93980" cy="58293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-3342640</wp:posOffset>
            </wp:positionV>
            <wp:extent cx="93980" cy="8312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93980" cy="83121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-3334385</wp:posOffset>
            </wp:positionV>
            <wp:extent cx="77470" cy="82296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7470" cy="82296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-3394075</wp:posOffset>
            </wp:positionV>
            <wp:extent cx="68580" cy="8832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8328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-2768600</wp:posOffset>
            </wp:positionV>
            <wp:extent cx="76835" cy="25717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6835" cy="25717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-2416810</wp:posOffset>
            </wp:positionV>
            <wp:extent cx="248285" cy="25717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48285" cy="25717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-2382520</wp:posOffset>
            </wp:positionV>
            <wp:extent cx="188595" cy="18859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-2382520</wp:posOffset>
            </wp:positionV>
            <wp:extent cx="188595" cy="18859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-2382520</wp:posOffset>
            </wp:positionV>
            <wp:extent cx="188595" cy="18859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-2382520</wp:posOffset>
            </wp:positionV>
            <wp:extent cx="188595" cy="18859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-2382520</wp:posOffset>
            </wp:positionV>
            <wp:extent cx="188595" cy="18859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-2056765</wp:posOffset>
            </wp:positionV>
            <wp:extent cx="222885" cy="2489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22885" cy="24892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-2031365</wp:posOffset>
            </wp:positionV>
            <wp:extent cx="188595" cy="18859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-2031365</wp:posOffset>
            </wp:positionV>
            <wp:extent cx="188595" cy="18859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-2031365</wp:posOffset>
            </wp:positionV>
            <wp:extent cx="188595" cy="18859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-2031365</wp:posOffset>
            </wp:positionV>
            <wp:extent cx="188595" cy="18859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-2031365</wp:posOffset>
            </wp:positionV>
            <wp:extent cx="188595" cy="18859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-2031365</wp:posOffset>
            </wp:positionV>
            <wp:extent cx="188595" cy="18859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-2031365</wp:posOffset>
            </wp:positionV>
            <wp:extent cx="188595" cy="18859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-1705610</wp:posOffset>
            </wp:positionV>
            <wp:extent cx="248285" cy="21463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48285" cy="21463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-1696720</wp:posOffset>
            </wp:positionV>
            <wp:extent cx="188595" cy="18859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-1696720</wp:posOffset>
            </wp:positionV>
            <wp:extent cx="188595" cy="18859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-1696720</wp:posOffset>
            </wp:positionV>
            <wp:extent cx="188595" cy="18859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-1696720</wp:posOffset>
            </wp:positionV>
            <wp:extent cx="188595" cy="18859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-1696720</wp:posOffset>
            </wp:positionV>
            <wp:extent cx="188595" cy="18859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-1696720</wp:posOffset>
            </wp:positionV>
            <wp:extent cx="188595" cy="18859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-1696720</wp:posOffset>
            </wp:positionV>
            <wp:extent cx="188595" cy="18859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-1696720</wp:posOffset>
            </wp:positionV>
            <wp:extent cx="188595" cy="18859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-1388110</wp:posOffset>
            </wp:positionV>
            <wp:extent cx="213995" cy="2489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13995" cy="24892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-1362710</wp:posOffset>
            </wp:positionV>
            <wp:extent cx="188595" cy="18859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-1362710</wp:posOffset>
            </wp:positionV>
            <wp:extent cx="188595" cy="18859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-1362710</wp:posOffset>
            </wp:positionV>
            <wp:extent cx="188595" cy="18859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-1362710</wp:posOffset>
            </wp:positionV>
            <wp:extent cx="188595" cy="18859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-1362710</wp:posOffset>
            </wp:positionV>
            <wp:extent cx="188595" cy="18859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-1362710</wp:posOffset>
            </wp:positionV>
            <wp:extent cx="188595" cy="18859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-1036955</wp:posOffset>
            </wp:positionV>
            <wp:extent cx="188595" cy="2489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88595" cy="24892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-1010920</wp:posOffset>
            </wp:positionV>
            <wp:extent cx="188595" cy="18859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-1010920</wp:posOffset>
            </wp:positionV>
            <wp:extent cx="188595" cy="18859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-1010920</wp:posOffset>
            </wp:positionV>
            <wp:extent cx="188595" cy="18859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-1010920</wp:posOffset>
            </wp:positionV>
            <wp:extent cx="188595" cy="18859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-1010920</wp:posOffset>
            </wp:positionV>
            <wp:extent cx="188595" cy="18859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-1010920</wp:posOffset>
            </wp:positionV>
            <wp:extent cx="188595" cy="18859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-1010920</wp:posOffset>
            </wp:positionV>
            <wp:extent cx="188595" cy="18859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-1010920</wp:posOffset>
            </wp:positionV>
            <wp:extent cx="188595" cy="18859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-1010920</wp:posOffset>
            </wp:positionV>
            <wp:extent cx="188595" cy="18859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-685165</wp:posOffset>
            </wp:positionV>
            <wp:extent cx="308610" cy="24828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08610" cy="24828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-659765</wp:posOffset>
            </wp:positionV>
            <wp:extent cx="188595" cy="18859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-659765</wp:posOffset>
            </wp:positionV>
            <wp:extent cx="188595" cy="18859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-659765</wp:posOffset>
            </wp:positionV>
            <wp:extent cx="188595" cy="18859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-659765</wp:posOffset>
            </wp:positionV>
            <wp:extent cx="188595" cy="18859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-659765</wp:posOffset>
            </wp:positionV>
            <wp:extent cx="188595" cy="18859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-659765</wp:posOffset>
            </wp:positionV>
            <wp:extent cx="188595" cy="18859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-659765</wp:posOffset>
            </wp:positionV>
            <wp:extent cx="188595" cy="18859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-334010</wp:posOffset>
            </wp:positionV>
            <wp:extent cx="171450" cy="2489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71450" cy="24892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-307975</wp:posOffset>
            </wp:positionV>
            <wp:extent cx="188595" cy="18859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-307975</wp:posOffset>
            </wp:positionV>
            <wp:extent cx="188595" cy="18859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-307975</wp:posOffset>
            </wp:positionV>
            <wp:extent cx="188595" cy="18859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-307975</wp:posOffset>
            </wp:positionV>
            <wp:extent cx="188595" cy="18859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-307975</wp:posOffset>
            </wp:positionV>
            <wp:extent cx="188595" cy="18859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8859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32"/>
          <w:szCs w:val="32"/>
          <w:b w:val="1"/>
          <w:bCs w:val="1"/>
          <w:color w:val="202945"/>
        </w:rPr>
        <w:t>Director Majority Voting Policy</w:t>
      </w:r>
    </w:p>
    <w:p>
      <w:pPr>
        <w:spacing w:after="0" w:line="269" w:lineRule="exact"/>
        <w:rPr>
          <w:sz w:val="20"/>
          <w:szCs w:val="20"/>
          <w:color w:val="auto"/>
        </w:rPr>
      </w:pPr>
    </w:p>
    <w:p>
      <w:pPr>
        <w:ind w:right="40"/>
        <w:spacing w:after="0" w:line="321" w:lineRule="auto"/>
        <w:rPr>
          <w:sz w:val="20"/>
          <w:szCs w:val="20"/>
          <w:color w:val="auto"/>
        </w:rPr>
      </w:pPr>
      <w:r>
        <w:rPr>
          <w:rFonts w:ascii="Arial" w:cs="Arial" w:eastAsia="Arial" w:hAnsi="Arial"/>
          <w:sz w:val="16"/>
          <w:szCs w:val="16"/>
          <w:color w:val="auto"/>
        </w:rPr>
        <w:t xml:space="preserve">In addition to our Bylaws that provide for a majority vote standard for director elections, the Board has also adopted a Director Majority Voting Policy. Pursuant to the policy, any nominee for director in an uncontested election who receives a greater number of votes “against” his or her election than votes “for” such election shall promptly submit to the Board a letter of resignation to the Secretary of the Company. The Nominating and Corporate Governance Committee will promptly consider the resignation and recommend to the Board whether to accept the tendered resignation or reject it. In considering whether to accept or reject the resignation, the Nominating and Corporate Governance Committee would consider relevant factors such as the underlying reasons for the majority against vote, the length of service and qualifications of the director whose resignation is tendered, the director’s contributions to the Company, and compliance with listing standards. The Nominating and Corporate Governance Committee would then consider the resignation and make a recommendation to the Board. The Board would then act on the Nominating and Corporate Governance Committee’s recommendation, which may include acceptance or rejection of the tendered resignation. The text of the policy is posted on our website at </w:t>
      </w:r>
      <w:r>
        <w:rPr>
          <w:rFonts w:ascii="Arial" w:cs="Arial" w:eastAsia="Arial" w:hAnsi="Arial"/>
          <w:sz w:val="16"/>
          <w:szCs w:val="16"/>
          <w:i w:val="1"/>
          <w:iCs w:val="1"/>
          <w:color w:val="auto"/>
        </w:rPr>
        <w:t>www.cantaloupe.com</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154305</wp:posOffset>
            </wp:positionV>
            <wp:extent cx="925830" cy="26543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925830" cy="265430"/>
                    </a:xfrm>
                    <a:prstGeom prst="rect">
                      <a:avLst/>
                    </a:prstGeom>
                    <a:noFill/>
                  </pic:spPr>
                </pic:pic>
              </a:graphicData>
            </a:graphic>
          </wp:anchor>
        </w:drawing>
      </w:r>
    </w:p>
    <w:p>
      <w:pPr>
        <w:spacing w:after="0" w:line="367"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auto"/>
        </w:rPr>
        <w:t>26</w:t>
      </w:r>
      <w:r>
        <w:rPr>
          <w:sz w:val="20"/>
          <w:szCs w:val="20"/>
          <w:color w:val="auto"/>
        </w:rPr>
        <w:tab/>
      </w:r>
      <w:r>
        <w:rPr>
          <w:rFonts w:ascii="Arial" w:cs="Arial" w:eastAsia="Arial" w:hAnsi="Arial"/>
          <w:sz w:val="12"/>
          <w:szCs w:val="12"/>
          <w:b w:val="1"/>
          <w:bCs w:val="1"/>
          <w:color w:val="FF7F32"/>
        </w:rPr>
        <w:t xml:space="preserve">2026 </w:t>
      </w:r>
      <w:r>
        <w:rPr>
          <w:rFonts w:ascii="Arial" w:cs="Arial" w:eastAsia="Arial" w:hAnsi="Arial"/>
          <w:sz w:val="12"/>
          <w:szCs w:val="12"/>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288290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57" w:right="319" w:bottom="1440" w:gutter="0" w:footer="0" w:header="0"/>
        </w:sectPr>
      </w:pPr>
    </w:p>
    <w:bookmarkStart w:id="29" w:name="page30"/>
    <w:bookmarkEnd w:id="29"/>
    <w:p>
      <w:pPr>
        <w:spacing w:after="0"/>
        <w:rPr>
          <w:sz w:val="20"/>
          <w:szCs w:val="20"/>
          <w:color w:val="auto"/>
        </w:rPr>
      </w:pPr>
      <w:r>
        <w:rPr>
          <w:rFonts w:ascii="Arial" w:cs="Arial" w:eastAsia="Arial" w:hAnsi="Arial"/>
          <w:sz w:val="50"/>
          <w:szCs w:val="50"/>
          <w:b w:val="1"/>
          <w:bCs w:val="1"/>
          <w:color w:val="FF7F32"/>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60"/>
        <w:spacing w:after="0" w:line="331" w:lineRule="auto"/>
        <w:rPr>
          <w:sz w:val="20"/>
          <w:szCs w:val="20"/>
          <w:color w:val="auto"/>
        </w:rPr>
      </w:pPr>
      <w:r>
        <w:rPr>
          <w:rFonts w:ascii="Arial" w:cs="Arial" w:eastAsia="Arial" w:hAnsi="Arial"/>
          <w:sz w:val="16"/>
          <w:szCs w:val="16"/>
          <w:color w:val="auto"/>
        </w:rPr>
        <w:t>The Company is organized under the laws of the Commonwealth of Pennsylvania and is governed by the Board. The Board is committed to sound business practices, transparency in financial reporting, effective corporate governance and compliance. The Board has adopted a number of governance guidelines and policies which are available on the Corporate Governance page in the “Investors” section of the Company’s corporate website (</w:t>
      </w:r>
      <w:r>
        <w:rPr>
          <w:rFonts w:ascii="Arial" w:cs="Arial" w:eastAsia="Arial" w:hAnsi="Arial"/>
          <w:sz w:val="16"/>
          <w:szCs w:val="16"/>
          <w:i w:val="1"/>
          <w:iCs w:val="1"/>
          <w:color w:val="auto"/>
        </w:rPr>
        <w:t>www.cantaloupe.com</w:t>
      </w:r>
      <w:r>
        <w:rPr>
          <w:rFonts w:ascii="Arial" w:cs="Arial" w:eastAsia="Arial" w:hAnsi="Arial"/>
          <w:sz w:val="16"/>
          <w:szCs w:val="16"/>
          <w:color w:val="auto"/>
        </w:rPr>
        <w:t>). The Board has determined that all of the currently serving members of the Board other than Mr. Venkatesan (our CEO) are independent in accordance with the applicable listing standards of Nasdaq.</w:t>
      </w:r>
    </w:p>
    <w:p>
      <w:pPr>
        <w:spacing w:after="0" w:line="281" w:lineRule="exact"/>
        <w:rPr>
          <w:sz w:val="20"/>
          <w:szCs w:val="20"/>
          <w:color w:val="auto"/>
        </w:rPr>
      </w:pPr>
    </w:p>
    <w:p>
      <w:pPr>
        <w:spacing w:after="0"/>
        <w:rPr>
          <w:sz w:val="20"/>
          <w:szCs w:val="20"/>
          <w:color w:val="auto"/>
        </w:rPr>
      </w:pPr>
      <w:r>
        <w:rPr>
          <w:rFonts w:ascii="Arial" w:cs="Arial" w:eastAsia="Arial" w:hAnsi="Arial"/>
          <w:sz w:val="32"/>
          <w:szCs w:val="32"/>
          <w:b w:val="1"/>
          <w:bCs w:val="1"/>
          <w:color w:val="202945"/>
        </w:rPr>
        <w:t>Board 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054850" cy="32575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054850"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7700"/>
        <w:spacing w:after="0"/>
        <w:rPr>
          <w:sz w:val="20"/>
          <w:szCs w:val="20"/>
          <w:color w:val="auto"/>
        </w:rPr>
      </w:pPr>
      <w:r>
        <w:rPr>
          <w:rFonts w:ascii="Arial" w:cs="Arial" w:eastAsia="Arial" w:hAnsi="Arial"/>
          <w:sz w:val="27"/>
          <w:szCs w:val="27"/>
          <w:b w:val="1"/>
          <w:bCs w:val="1"/>
          <w:color w:val="202945"/>
        </w:rPr>
        <w:t>Independent</w:t>
      </w:r>
    </w:p>
    <w:p>
      <w:pPr>
        <w:spacing w:after="0" w:line="62"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FF7F32"/>
        </w:rPr>
        <w:t>Committee Chairs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6000"/>
        <w:spacing w:after="0"/>
        <w:rPr>
          <w:sz w:val="20"/>
          <w:szCs w:val="20"/>
          <w:color w:val="auto"/>
        </w:rPr>
      </w:pPr>
      <w:r>
        <w:rPr>
          <w:rFonts w:ascii="Arial" w:cs="Arial" w:eastAsia="Arial" w:hAnsi="Arial"/>
          <w:sz w:val="20"/>
          <w:szCs w:val="20"/>
          <w:b w:val="1"/>
          <w:bCs w:val="1"/>
          <w:color w:val="202945"/>
        </w:rPr>
        <w:t>Douglas G. Bergeron</w:t>
      </w:r>
    </w:p>
    <w:p>
      <w:pPr>
        <w:spacing w:after="0" w:line="68" w:lineRule="exact"/>
        <w:rPr>
          <w:sz w:val="20"/>
          <w:szCs w:val="20"/>
          <w:color w:val="auto"/>
        </w:rPr>
      </w:pPr>
    </w:p>
    <w:p>
      <w:pPr>
        <w:ind w:left="1520"/>
        <w:spacing w:after="0"/>
        <w:rPr>
          <w:sz w:val="20"/>
          <w:szCs w:val="20"/>
          <w:color w:val="auto"/>
        </w:rPr>
      </w:pPr>
      <w:r>
        <w:rPr>
          <w:rFonts w:ascii="Arial" w:cs="Arial" w:eastAsia="Arial" w:hAnsi="Arial"/>
          <w:sz w:val="14"/>
          <w:szCs w:val="14"/>
          <w:color w:val="auto"/>
        </w:rPr>
        <w:t>Independent, Non-Executive Chair</w:t>
      </w:r>
    </w:p>
    <w:p>
      <w:pPr>
        <w:spacing w:after="0" w:line="41" w:lineRule="exact"/>
        <w:rPr>
          <w:sz w:val="20"/>
          <w:szCs w:val="20"/>
          <w:color w:val="auto"/>
        </w:rPr>
      </w:pPr>
    </w:p>
    <w:tbl>
      <w:tblPr>
        <w:tblLayout w:type="fixed"/>
        <w:tblInd w:w="6300" w:type="dxa"/>
        <w:tblCellMar>
          <w:top w:w="0" w:type="dxa"/>
          <w:left w:w="0" w:type="dxa"/>
          <w:bottom w:w="0" w:type="dxa"/>
          <w:right w:w="0" w:type="dxa"/>
        </w:tblCellMar>
      </w:tblPr>
      <w:tr>
        <w:trPr>
          <w:trHeight w:val="273"/>
        </w:trPr>
        <w:tc>
          <w:tcPr>
            <w:tcW w:w="2220" w:type="dxa"/>
            <w:vAlign w:val="bottom"/>
          </w:tcPr>
          <w:p>
            <w:pPr>
              <w:jc w:val="center"/>
              <w:ind w:right="315"/>
              <w:spacing w:after="0"/>
              <w:rPr>
                <w:sz w:val="20"/>
                <w:szCs w:val="20"/>
                <w:color w:val="auto"/>
              </w:rPr>
            </w:pPr>
            <w:r>
              <w:rPr>
                <w:rFonts w:ascii="Arial" w:cs="Arial" w:eastAsia="Arial" w:hAnsi="Arial"/>
                <w:sz w:val="20"/>
                <w:szCs w:val="20"/>
                <w:b w:val="1"/>
                <w:bCs w:val="1"/>
                <w:color w:val="FF7F32"/>
                <w:w w:val="98"/>
              </w:rPr>
              <w:t>Shannon S. Warren</w:t>
            </w:r>
          </w:p>
        </w:tc>
        <w:tc>
          <w:tcPr>
            <w:tcW w:w="2180" w:type="dxa"/>
            <w:vAlign w:val="bottom"/>
          </w:tcPr>
          <w:p>
            <w:pPr>
              <w:jc w:val="center"/>
              <w:ind w:left="315"/>
              <w:spacing w:after="0"/>
              <w:rPr>
                <w:sz w:val="20"/>
                <w:szCs w:val="20"/>
                <w:color w:val="auto"/>
              </w:rPr>
            </w:pPr>
            <w:r>
              <w:rPr>
                <w:rFonts w:ascii="Arial" w:cs="Arial" w:eastAsia="Arial" w:hAnsi="Arial"/>
                <w:sz w:val="20"/>
                <w:szCs w:val="20"/>
                <w:b w:val="1"/>
                <w:bCs w:val="1"/>
                <w:color w:val="FF7F32"/>
                <w:w w:val="99"/>
              </w:rPr>
              <w:t>Michael K. Passilla</w:t>
            </w:r>
          </w:p>
        </w:tc>
      </w:tr>
      <w:tr>
        <w:trPr>
          <w:trHeight w:val="215"/>
        </w:trPr>
        <w:tc>
          <w:tcPr>
            <w:tcW w:w="2220" w:type="dxa"/>
            <w:vAlign w:val="bottom"/>
          </w:tcPr>
          <w:p>
            <w:pPr>
              <w:jc w:val="center"/>
              <w:ind w:right="315"/>
              <w:spacing w:after="0"/>
              <w:rPr>
                <w:sz w:val="20"/>
                <w:szCs w:val="20"/>
                <w:color w:val="auto"/>
              </w:rPr>
            </w:pPr>
            <w:r>
              <w:rPr>
                <w:rFonts w:ascii="Arial" w:cs="Arial" w:eastAsia="Arial" w:hAnsi="Arial"/>
                <w:sz w:val="14"/>
                <w:szCs w:val="14"/>
                <w:color w:val="auto"/>
              </w:rPr>
              <w:t>Audit and Risk Committee</w:t>
            </w:r>
          </w:p>
        </w:tc>
        <w:tc>
          <w:tcPr>
            <w:tcW w:w="2180" w:type="dxa"/>
            <w:vAlign w:val="bottom"/>
          </w:tcPr>
          <w:p>
            <w:pPr>
              <w:jc w:val="center"/>
              <w:ind w:left="315"/>
              <w:spacing w:after="0"/>
              <w:rPr>
                <w:sz w:val="20"/>
                <w:szCs w:val="20"/>
                <w:color w:val="auto"/>
              </w:rPr>
            </w:pPr>
            <w:r>
              <w:rPr>
                <w:rFonts w:ascii="Arial" w:cs="Arial" w:eastAsia="Arial" w:hAnsi="Arial"/>
                <w:sz w:val="14"/>
                <w:szCs w:val="14"/>
                <w:color w:val="auto"/>
              </w:rPr>
              <w:t>Compensation Committee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3308985" cy="15170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308985" cy="1517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3308985" cy="15170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308985" cy="1517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1840" w:type="dxa"/>
        <w:tblCellMar>
          <w:top w:w="0" w:type="dxa"/>
          <w:left w:w="0" w:type="dxa"/>
          <w:bottom w:w="0" w:type="dxa"/>
          <w:right w:w="0" w:type="dxa"/>
        </w:tblCellMar>
      </w:tblPr>
      <w:tr>
        <w:trPr>
          <w:trHeight w:val="273"/>
        </w:trPr>
        <w:tc>
          <w:tcPr>
            <w:tcW w:w="3040" w:type="dxa"/>
            <w:vAlign w:val="bottom"/>
            <w:vMerge w:val="restart"/>
          </w:tcPr>
          <w:p>
            <w:pPr>
              <w:jc w:val="center"/>
              <w:ind w:right="1395"/>
              <w:spacing w:after="0"/>
              <w:rPr>
                <w:sz w:val="20"/>
                <w:szCs w:val="20"/>
                <w:color w:val="auto"/>
              </w:rPr>
            </w:pPr>
            <w:r>
              <w:rPr>
                <w:rFonts w:ascii="Arial" w:cs="Arial" w:eastAsia="Arial" w:hAnsi="Arial"/>
                <w:sz w:val="20"/>
                <w:szCs w:val="20"/>
                <w:b w:val="1"/>
                <w:bCs w:val="1"/>
                <w:color w:val="202945"/>
                <w:w w:val="98"/>
              </w:rPr>
              <w:t>Ravi Venkatesan</w:t>
            </w:r>
          </w:p>
        </w:tc>
        <w:tc>
          <w:tcPr>
            <w:tcW w:w="3740" w:type="dxa"/>
            <w:vAlign w:val="bottom"/>
            <w:vMerge w:val="restart"/>
          </w:tcPr>
          <w:p>
            <w:pPr>
              <w:ind w:left="1500"/>
              <w:spacing w:after="0"/>
              <w:rPr>
                <w:sz w:val="20"/>
                <w:szCs w:val="20"/>
                <w:color w:val="auto"/>
              </w:rPr>
            </w:pPr>
            <w:r>
              <w:rPr>
                <w:rFonts w:ascii="Arial" w:cs="Arial" w:eastAsia="Arial" w:hAnsi="Arial"/>
                <w:sz w:val="20"/>
                <w:szCs w:val="20"/>
                <w:b w:val="1"/>
                <w:bCs w:val="1"/>
                <w:color w:val="FF7F32"/>
              </w:rPr>
              <w:t>Anne M. Smalling</w:t>
            </w:r>
          </w:p>
        </w:tc>
        <w:tc>
          <w:tcPr>
            <w:tcW w:w="1820" w:type="dxa"/>
            <w:vAlign w:val="bottom"/>
          </w:tcPr>
          <w:p>
            <w:pPr>
              <w:ind w:left="600"/>
              <w:spacing w:after="0"/>
              <w:rPr>
                <w:sz w:val="20"/>
                <w:szCs w:val="20"/>
                <w:color w:val="auto"/>
              </w:rPr>
            </w:pPr>
            <w:r>
              <w:rPr>
                <w:rFonts w:ascii="Arial" w:cs="Arial" w:eastAsia="Arial" w:hAnsi="Arial"/>
                <w:sz w:val="20"/>
                <w:szCs w:val="20"/>
                <w:b w:val="1"/>
                <w:bCs w:val="1"/>
                <w:color w:val="FF7F32"/>
                <w:w w:val="98"/>
              </w:rPr>
              <w:t>Jacob Lamm</w:t>
            </w:r>
          </w:p>
        </w:tc>
        <w:tc>
          <w:tcPr>
            <w:tcW w:w="0" w:type="dxa"/>
            <w:vAlign w:val="bottom"/>
          </w:tcPr>
          <w:p>
            <w:pPr>
              <w:spacing w:after="0"/>
              <w:rPr>
                <w:sz w:val="1"/>
                <w:szCs w:val="1"/>
                <w:color w:val="auto"/>
              </w:rPr>
            </w:pPr>
          </w:p>
        </w:tc>
      </w:tr>
      <w:tr>
        <w:trPr>
          <w:trHeight w:val="169"/>
        </w:trPr>
        <w:tc>
          <w:tcPr>
            <w:tcW w:w="3040" w:type="dxa"/>
            <w:vAlign w:val="bottom"/>
            <w:vMerge w:val="continue"/>
          </w:tcPr>
          <w:p>
            <w:pPr>
              <w:spacing w:after="0"/>
              <w:rPr>
                <w:sz w:val="14"/>
                <w:szCs w:val="14"/>
                <w:color w:val="auto"/>
              </w:rPr>
            </w:pPr>
          </w:p>
        </w:tc>
        <w:tc>
          <w:tcPr>
            <w:tcW w:w="3740" w:type="dxa"/>
            <w:vAlign w:val="bottom"/>
            <w:vMerge w:val="continue"/>
          </w:tcPr>
          <w:p>
            <w:pPr>
              <w:spacing w:after="0"/>
              <w:rPr>
                <w:sz w:val="14"/>
                <w:szCs w:val="14"/>
                <w:color w:val="auto"/>
              </w:rPr>
            </w:pPr>
          </w:p>
        </w:tc>
        <w:tc>
          <w:tcPr>
            <w:tcW w:w="1820" w:type="dxa"/>
            <w:vAlign w:val="bottom"/>
          </w:tcPr>
          <w:p>
            <w:pPr>
              <w:ind w:left="580"/>
              <w:spacing w:after="0"/>
              <w:rPr>
                <w:sz w:val="20"/>
                <w:szCs w:val="20"/>
                <w:color w:val="auto"/>
              </w:rPr>
            </w:pPr>
            <w:r>
              <w:rPr>
                <w:rFonts w:ascii="Arial" w:cs="Arial" w:eastAsia="Arial" w:hAnsi="Arial"/>
                <w:sz w:val="14"/>
                <w:szCs w:val="14"/>
                <w:color w:val="auto"/>
              </w:rPr>
              <w:t>Finance Committee</w:t>
            </w:r>
          </w:p>
        </w:tc>
        <w:tc>
          <w:tcPr>
            <w:tcW w:w="0" w:type="dxa"/>
            <w:vAlign w:val="bottom"/>
          </w:tcPr>
          <w:p>
            <w:pPr>
              <w:spacing w:after="0"/>
              <w:rPr>
                <w:sz w:val="1"/>
                <w:szCs w:val="1"/>
                <w:color w:val="auto"/>
              </w:rPr>
            </w:pPr>
          </w:p>
        </w:tc>
      </w:tr>
      <w:tr>
        <w:trPr>
          <w:trHeight w:val="194"/>
        </w:trPr>
        <w:tc>
          <w:tcPr>
            <w:tcW w:w="3040" w:type="dxa"/>
            <w:vAlign w:val="bottom"/>
          </w:tcPr>
          <w:p>
            <w:pPr>
              <w:jc w:val="center"/>
              <w:ind w:right="1415"/>
              <w:spacing w:after="0"/>
              <w:rPr>
                <w:sz w:val="20"/>
                <w:szCs w:val="20"/>
                <w:color w:val="auto"/>
              </w:rPr>
            </w:pPr>
            <w:r>
              <w:rPr>
                <w:rFonts w:ascii="Arial" w:cs="Arial" w:eastAsia="Arial" w:hAnsi="Arial"/>
                <w:sz w:val="14"/>
                <w:szCs w:val="14"/>
                <w:color w:val="auto"/>
              </w:rPr>
              <w:t>Chief Executive Officer</w:t>
            </w:r>
          </w:p>
        </w:tc>
        <w:tc>
          <w:tcPr>
            <w:tcW w:w="3740" w:type="dxa"/>
            <w:vAlign w:val="bottom"/>
          </w:tcPr>
          <w:p>
            <w:pPr>
              <w:ind w:left="1480"/>
              <w:spacing w:after="0"/>
              <w:rPr>
                <w:sz w:val="20"/>
                <w:szCs w:val="20"/>
                <w:color w:val="auto"/>
              </w:rPr>
            </w:pPr>
            <w:r>
              <w:rPr>
                <w:rFonts w:ascii="Arial" w:cs="Arial" w:eastAsia="Arial" w:hAnsi="Arial"/>
                <w:sz w:val="14"/>
                <w:szCs w:val="14"/>
                <w:color w:val="auto"/>
              </w:rPr>
              <w:t>Nominating and Corporate</w:t>
            </w: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440"/>
        <w:spacing w:after="0"/>
        <w:rPr>
          <w:sz w:val="20"/>
          <w:szCs w:val="20"/>
          <w:color w:val="auto"/>
        </w:rPr>
      </w:pPr>
      <w:r>
        <w:rPr>
          <w:rFonts w:ascii="Arial" w:cs="Arial" w:eastAsia="Arial" w:hAnsi="Arial"/>
          <w:sz w:val="14"/>
          <w:szCs w:val="14"/>
          <w:color w:val="auto"/>
        </w:rPr>
        <w:t>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1969135</wp:posOffset>
            </wp:positionV>
            <wp:extent cx="925830" cy="26606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925830"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auto"/>
        </w:rPr>
        <w:t>27</w:t>
      </w:r>
      <w:r>
        <w:rPr>
          <w:sz w:val="20"/>
          <w:szCs w:val="20"/>
          <w:color w:val="auto"/>
        </w:rPr>
        <w:tab/>
      </w:r>
      <w:r>
        <w:rPr>
          <w:rFonts w:ascii="Arial" w:cs="Arial" w:eastAsia="Arial" w:hAnsi="Arial"/>
          <w:sz w:val="12"/>
          <w:szCs w:val="12"/>
          <w:b w:val="1"/>
          <w:bCs w:val="1"/>
          <w:color w:val="FF7F32"/>
        </w:rPr>
        <w:t xml:space="preserve">2026 </w:t>
      </w:r>
      <w:r>
        <w:rPr>
          <w:rFonts w:ascii="Arial" w:cs="Arial" w:eastAsia="Arial" w:hAnsi="Arial"/>
          <w:sz w:val="12"/>
          <w:szCs w:val="12"/>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425450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30" w:name="page31"/>
    <w:bookmarkEnd w:id="30"/>
    <w:p>
      <w:pPr>
        <w:spacing w:after="0"/>
        <w:rPr>
          <w:sz w:val="20"/>
          <w:szCs w:val="20"/>
          <w:color w:val="auto"/>
        </w:rPr>
      </w:pPr>
      <w:r>
        <w:rPr>
          <w:rFonts w:ascii="Arial" w:cs="Arial" w:eastAsia="Arial" w:hAnsi="Arial"/>
          <w:sz w:val="13"/>
          <w:szCs w:val="13"/>
          <w:color w:val="202945"/>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440"/>
        <w:spacing w:after="0" w:line="339" w:lineRule="auto"/>
        <w:rPr>
          <w:sz w:val="20"/>
          <w:szCs w:val="20"/>
          <w:color w:val="auto"/>
        </w:rPr>
      </w:pPr>
      <w:r>
        <w:rPr>
          <w:rFonts w:ascii="Arial" w:cs="Arial" w:eastAsia="Arial" w:hAnsi="Arial"/>
          <w:sz w:val="16"/>
          <w:szCs w:val="16"/>
          <w:color w:val="auto"/>
        </w:rPr>
        <w:t>The full Board considers periodic rotation of Committee members and chairs, taking into account the desirability of rotation of Committee members and chairs, the benefits of continuity and experience, and applicable legal, regulatory and stock exchange listing requirements.</w:t>
      </w:r>
    </w:p>
    <w:p>
      <w:pPr>
        <w:spacing w:after="0" w:line="34"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color w:val="auto"/>
        </w:rPr>
        <w:t>Our Board currently separates the offices of Chair of our Board and CEO by appointing an independent, non-executive chair. Our Board believes that an independent Board Chair (the “Non-Executive Chair”) is appropriate at this time because it allows our CEO to focus on managing the business and allows the Non-Executive Chair to provide independent leadership for the Board. The arrangement also facilitates our Board’s independent oversight of our executive officers’ management of strategic direction, operational execution, and business risk, thereby better protecting shareholder value. On an annual basis, the Nominating and Corporate Governance Committee recommends, and the majority of the independent directors elect, the Non-Executive Chair. Mr. Bergeron currently serves as our Non-Executive Chair.</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The Non-Executive Chair performs the duties and responsibilities set forth in the Charter of the Non-Executive Chair, including the following:</w:t>
      </w:r>
    </w:p>
    <w:p>
      <w:pPr>
        <w:spacing w:after="0" w:line="154" w:lineRule="exact"/>
        <w:rPr>
          <w:sz w:val="20"/>
          <w:szCs w:val="20"/>
          <w:color w:val="auto"/>
        </w:rPr>
      </w:pPr>
    </w:p>
    <w:p>
      <w:pPr>
        <w:ind w:left="200" w:right="420" w:hanging="192"/>
        <w:spacing w:after="0" w:line="290" w:lineRule="auto"/>
        <w:tabs>
          <w:tab w:leader="none" w:pos="184" w:val="left"/>
        </w:tabs>
        <w:numPr>
          <w:ilvl w:val="0"/>
          <w:numId w:val="38"/>
        </w:numPr>
        <w:rPr>
          <w:rFonts w:ascii="Arial" w:cs="Arial" w:eastAsia="Arial" w:hAnsi="Arial"/>
          <w:sz w:val="16"/>
          <w:szCs w:val="16"/>
          <w:b w:val="1"/>
          <w:bCs w:val="1"/>
          <w:color w:val="FF7F32"/>
        </w:rPr>
      </w:pPr>
      <w:r>
        <w:rPr>
          <w:rFonts w:ascii="Arial" w:cs="Arial" w:eastAsia="Arial" w:hAnsi="Arial"/>
          <w:sz w:val="16"/>
          <w:szCs w:val="16"/>
          <w:color w:val="auto"/>
        </w:rPr>
        <w:t>assist each of the Chairs of the Audit, Compensation, Nominating and Corporate Governance, Finance and Compliance Committees to appropriately execute the functions and responsibilities set forth in each of the Committee’s charters;</w:t>
      </w:r>
    </w:p>
    <w:p>
      <w:pPr>
        <w:ind w:left="180" w:hanging="172"/>
        <w:spacing w:after="0"/>
        <w:tabs>
          <w:tab w:leader="none" w:pos="180" w:val="left"/>
        </w:tabs>
        <w:numPr>
          <w:ilvl w:val="0"/>
          <w:numId w:val="38"/>
        </w:numPr>
        <w:rPr>
          <w:rFonts w:ascii="Arial" w:cs="Arial" w:eastAsia="Arial" w:hAnsi="Arial"/>
          <w:sz w:val="16"/>
          <w:szCs w:val="16"/>
          <w:b w:val="1"/>
          <w:bCs w:val="1"/>
          <w:color w:val="FF7F32"/>
        </w:rPr>
      </w:pPr>
      <w:r>
        <w:rPr>
          <w:rFonts w:ascii="Arial" w:cs="Arial" w:eastAsia="Arial" w:hAnsi="Arial"/>
          <w:sz w:val="16"/>
          <w:szCs w:val="16"/>
          <w:color w:val="auto"/>
        </w:rPr>
        <w:t>preside at all meetings of the Board, and at executive sessions of the independent Directors;</w:t>
      </w:r>
    </w:p>
    <w:p>
      <w:pPr>
        <w:spacing w:after="0" w:line="45" w:lineRule="exact"/>
        <w:rPr>
          <w:rFonts w:ascii="Arial" w:cs="Arial" w:eastAsia="Arial" w:hAnsi="Arial"/>
          <w:sz w:val="16"/>
          <w:szCs w:val="16"/>
          <w:b w:val="1"/>
          <w:bCs w:val="1"/>
          <w:color w:val="FF7F32"/>
        </w:rPr>
      </w:pPr>
    </w:p>
    <w:p>
      <w:pPr>
        <w:ind w:left="200" w:right="100" w:hanging="192"/>
        <w:spacing w:after="0" w:line="290" w:lineRule="auto"/>
        <w:tabs>
          <w:tab w:leader="none" w:pos="184" w:val="left"/>
        </w:tabs>
        <w:numPr>
          <w:ilvl w:val="0"/>
          <w:numId w:val="38"/>
        </w:numPr>
        <w:rPr>
          <w:rFonts w:ascii="Arial" w:cs="Arial" w:eastAsia="Arial" w:hAnsi="Arial"/>
          <w:sz w:val="16"/>
          <w:szCs w:val="16"/>
          <w:b w:val="1"/>
          <w:bCs w:val="1"/>
          <w:color w:val="FF7F32"/>
        </w:rPr>
      </w:pPr>
      <w:r>
        <w:rPr>
          <w:rFonts w:ascii="Arial" w:cs="Arial" w:eastAsia="Arial" w:hAnsi="Arial"/>
          <w:sz w:val="16"/>
          <w:szCs w:val="16"/>
          <w:color w:val="auto"/>
        </w:rPr>
        <w:t>coordinate with the CEO to develop an annual schedule for Board meetings, the agenda for each Board meeting, and the distribution of advance meeting materials;</w:t>
      </w:r>
    </w:p>
    <w:p>
      <w:pPr>
        <w:ind w:left="180" w:hanging="172"/>
        <w:spacing w:after="0"/>
        <w:tabs>
          <w:tab w:leader="none" w:pos="180" w:val="left"/>
        </w:tabs>
        <w:numPr>
          <w:ilvl w:val="0"/>
          <w:numId w:val="38"/>
        </w:numPr>
        <w:rPr>
          <w:rFonts w:ascii="Arial" w:cs="Arial" w:eastAsia="Arial" w:hAnsi="Arial"/>
          <w:sz w:val="16"/>
          <w:szCs w:val="16"/>
          <w:b w:val="1"/>
          <w:bCs w:val="1"/>
          <w:color w:val="FF7F32"/>
        </w:rPr>
      </w:pPr>
      <w:r>
        <w:rPr>
          <w:rFonts w:ascii="Arial" w:cs="Arial" w:eastAsia="Arial" w:hAnsi="Arial"/>
          <w:sz w:val="16"/>
          <w:szCs w:val="16"/>
          <w:color w:val="auto"/>
        </w:rPr>
        <w:t>collaborate with Committee Chairs to facilitate updates to the Board on the activities of their respective Committees;</w:t>
      </w:r>
    </w:p>
    <w:p>
      <w:pPr>
        <w:spacing w:after="0" w:line="45" w:lineRule="exact"/>
        <w:rPr>
          <w:rFonts w:ascii="Arial" w:cs="Arial" w:eastAsia="Arial" w:hAnsi="Arial"/>
          <w:sz w:val="16"/>
          <w:szCs w:val="16"/>
          <w:b w:val="1"/>
          <w:bCs w:val="1"/>
          <w:color w:val="FF7F32"/>
        </w:rPr>
      </w:pPr>
    </w:p>
    <w:p>
      <w:pPr>
        <w:ind w:left="180" w:hanging="172"/>
        <w:spacing w:after="0"/>
        <w:tabs>
          <w:tab w:leader="none" w:pos="180" w:val="left"/>
        </w:tabs>
        <w:numPr>
          <w:ilvl w:val="0"/>
          <w:numId w:val="38"/>
        </w:numPr>
        <w:rPr>
          <w:rFonts w:ascii="Arial" w:cs="Arial" w:eastAsia="Arial" w:hAnsi="Arial"/>
          <w:sz w:val="16"/>
          <w:szCs w:val="16"/>
          <w:b w:val="1"/>
          <w:bCs w:val="1"/>
          <w:color w:val="FF7F32"/>
        </w:rPr>
      </w:pPr>
      <w:r>
        <w:rPr>
          <w:rFonts w:ascii="Arial" w:cs="Arial" w:eastAsia="Arial" w:hAnsi="Arial"/>
          <w:sz w:val="16"/>
          <w:szCs w:val="16"/>
          <w:color w:val="auto"/>
        </w:rPr>
        <w:t>encourage and facilitate free and open communication among all Directors;</w:t>
      </w:r>
    </w:p>
    <w:p>
      <w:pPr>
        <w:spacing w:after="0" w:line="45" w:lineRule="exact"/>
        <w:rPr>
          <w:rFonts w:ascii="Arial" w:cs="Arial" w:eastAsia="Arial" w:hAnsi="Arial"/>
          <w:sz w:val="16"/>
          <w:szCs w:val="16"/>
          <w:b w:val="1"/>
          <w:bCs w:val="1"/>
          <w:color w:val="FF7F32"/>
        </w:rPr>
      </w:pPr>
    </w:p>
    <w:p>
      <w:pPr>
        <w:ind w:left="200" w:right="360" w:hanging="192"/>
        <w:spacing w:after="0" w:line="290" w:lineRule="auto"/>
        <w:tabs>
          <w:tab w:leader="none" w:pos="184" w:val="left"/>
        </w:tabs>
        <w:numPr>
          <w:ilvl w:val="0"/>
          <w:numId w:val="38"/>
        </w:numPr>
        <w:rPr>
          <w:rFonts w:ascii="Arial" w:cs="Arial" w:eastAsia="Arial" w:hAnsi="Arial"/>
          <w:sz w:val="16"/>
          <w:szCs w:val="16"/>
          <w:b w:val="1"/>
          <w:bCs w:val="1"/>
          <w:color w:val="FF7F32"/>
        </w:rPr>
      </w:pPr>
      <w:r>
        <w:rPr>
          <w:rFonts w:ascii="Arial" w:cs="Arial" w:eastAsia="Arial" w:hAnsi="Arial"/>
          <w:sz w:val="16"/>
          <w:szCs w:val="16"/>
          <w:color w:val="auto"/>
        </w:rPr>
        <w:t>coordinate with the CEO to facilitate communications between the executive officers of the Company and the independent Directors, including regular reporting of financial, operational and other performance metrics;</w:t>
      </w:r>
    </w:p>
    <w:p>
      <w:pPr>
        <w:ind w:left="180" w:hanging="172"/>
        <w:spacing w:after="0"/>
        <w:tabs>
          <w:tab w:leader="none" w:pos="180" w:val="left"/>
        </w:tabs>
        <w:numPr>
          <w:ilvl w:val="0"/>
          <w:numId w:val="38"/>
        </w:numPr>
        <w:rPr>
          <w:rFonts w:ascii="Arial" w:cs="Arial" w:eastAsia="Arial" w:hAnsi="Arial"/>
          <w:sz w:val="16"/>
          <w:szCs w:val="16"/>
          <w:b w:val="1"/>
          <w:bCs w:val="1"/>
          <w:color w:val="FF7F32"/>
        </w:rPr>
      </w:pPr>
      <w:r>
        <w:rPr>
          <w:rFonts w:ascii="Arial" w:cs="Arial" w:eastAsia="Arial" w:hAnsi="Arial"/>
          <w:sz w:val="16"/>
          <w:szCs w:val="16"/>
          <w:color w:val="auto"/>
        </w:rPr>
        <w:t>conduct periodic one-on-one discussions with the independent Directors regarding Board operations and other pertinent issues; and</w:t>
      </w:r>
    </w:p>
    <w:p>
      <w:pPr>
        <w:spacing w:after="0" w:line="45" w:lineRule="exact"/>
        <w:rPr>
          <w:rFonts w:ascii="Arial" w:cs="Arial" w:eastAsia="Arial" w:hAnsi="Arial"/>
          <w:sz w:val="16"/>
          <w:szCs w:val="16"/>
          <w:b w:val="1"/>
          <w:bCs w:val="1"/>
          <w:color w:val="FF7F32"/>
        </w:rPr>
      </w:pPr>
    </w:p>
    <w:p>
      <w:pPr>
        <w:ind w:left="200" w:right="60" w:hanging="192"/>
        <w:spacing w:after="0" w:line="321" w:lineRule="auto"/>
        <w:tabs>
          <w:tab w:leader="none" w:pos="184" w:val="left"/>
        </w:tabs>
        <w:numPr>
          <w:ilvl w:val="0"/>
          <w:numId w:val="38"/>
        </w:numPr>
        <w:rPr>
          <w:rFonts w:ascii="Arial" w:cs="Arial" w:eastAsia="Arial" w:hAnsi="Arial"/>
          <w:sz w:val="16"/>
          <w:szCs w:val="16"/>
          <w:b w:val="1"/>
          <w:bCs w:val="1"/>
          <w:color w:val="FF7F32"/>
        </w:rPr>
      </w:pPr>
      <w:r>
        <w:rPr>
          <w:rFonts w:ascii="Arial" w:cs="Arial" w:eastAsia="Arial" w:hAnsi="Arial"/>
          <w:sz w:val="16"/>
          <w:szCs w:val="16"/>
          <w:color w:val="auto"/>
        </w:rPr>
        <w:t>ensure timely communication to the CEO of appropriate feedback from executive sessions including recommended actions and issues or concerns raised by independent Directors.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text of the Charter of the Non-Executive Chair, which was most recently amended on August 6, 2021, is posted on our website at </w:t>
      </w:r>
      <w:r>
        <w:rPr>
          <w:rFonts w:ascii="Arial" w:cs="Arial" w:eastAsia="Arial" w:hAnsi="Arial"/>
          <w:sz w:val="16"/>
          <w:szCs w:val="16"/>
          <w:i w:val="1"/>
          <w:iCs w:val="1"/>
          <w:color w:val="auto"/>
        </w:rPr>
        <w:t>www.cantaloupe.com</w:t>
      </w:r>
      <w:r>
        <w:rPr>
          <w:rFonts w:ascii="Arial" w:cs="Arial" w:eastAsia="Arial" w:hAnsi="Arial"/>
          <w:sz w:val="16"/>
          <w:szCs w:val="16"/>
          <w:color w:val="auto"/>
        </w:rPr>
        <w:t>.</w:t>
      </w:r>
    </w:p>
    <w:p>
      <w:pPr>
        <w:spacing w:after="0" w:line="380" w:lineRule="exact"/>
        <w:rPr>
          <w:sz w:val="20"/>
          <w:szCs w:val="20"/>
          <w:color w:val="auto"/>
        </w:rPr>
      </w:pPr>
    </w:p>
    <w:p>
      <w:pPr>
        <w:spacing w:after="0"/>
        <w:rPr>
          <w:sz w:val="20"/>
          <w:szCs w:val="20"/>
          <w:color w:val="auto"/>
        </w:rPr>
      </w:pPr>
      <w:r>
        <w:rPr>
          <w:rFonts w:ascii="Arial" w:cs="Arial" w:eastAsia="Arial" w:hAnsi="Arial"/>
          <w:sz w:val="32"/>
          <w:szCs w:val="32"/>
          <w:b w:val="1"/>
          <w:bCs w:val="1"/>
          <w:color w:val="202945"/>
        </w:rPr>
        <w:t>Board Committees</w:t>
      </w:r>
    </w:p>
    <w:p>
      <w:pPr>
        <w:spacing w:after="0" w:line="7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As permitted under Pennsylvania law and the Company’s Articles of Incorporation and Bylaws, the Board has established and delegated certain authority and responsibility to four standing committees: the Audit and Risk Committee, Compensation Committee, Nominating and Corporate Governance Committee and Finance Committee (each, a “Committee”). The Board annually reviews the membership of, and the authority and responsibility delegated to,</w:t>
      </w:r>
    </w:p>
    <w:p>
      <w:pPr>
        <w:spacing w:after="0"/>
        <w:rPr>
          <w:sz w:val="20"/>
          <w:szCs w:val="20"/>
          <w:color w:val="auto"/>
        </w:rPr>
      </w:pPr>
      <w:r>
        <w:rPr>
          <w:rFonts w:ascii="Arial" w:cs="Arial" w:eastAsia="Arial" w:hAnsi="Arial"/>
          <w:sz w:val="16"/>
          <w:szCs w:val="16"/>
          <w:color w:val="auto"/>
        </w:rPr>
        <w:t>each committee.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shows the chairs and members of each Committee.</w:t>
      </w:r>
    </w:p>
    <w:p>
      <w:pPr>
        <w:sectPr>
          <w:pgSz w:w="11900" w:h="16838" w:orient="portrait"/>
          <w:cols w:equalWidth="0" w:num="1">
            <w:col w:w="11240"/>
          </w:cols>
          <w:pgMar w:left="320" w:top="257" w:right="339" w:bottom="1440" w:gutter="0" w:footer="0" w:header="0"/>
        </w:sectPr>
      </w:pPr>
    </w:p>
    <w:p>
      <w:pPr>
        <w:spacing w:after="0" w:line="355" w:lineRule="exact"/>
        <w:rPr>
          <w:sz w:val="20"/>
          <w:szCs w:val="20"/>
          <w:color w:val="auto"/>
        </w:rPr>
      </w:pPr>
    </w:p>
    <w:p>
      <w:pPr>
        <w:jc w:val="center"/>
        <w:ind w:left="2500"/>
        <w:spacing w:after="0"/>
        <w:rPr>
          <w:sz w:val="20"/>
          <w:szCs w:val="20"/>
          <w:color w:val="auto"/>
        </w:rPr>
      </w:pPr>
      <w:r>
        <w:rPr>
          <w:rFonts w:ascii="Arial" w:cs="Arial" w:eastAsia="Arial" w:hAnsi="Arial"/>
          <w:sz w:val="13"/>
          <w:szCs w:val="13"/>
          <w:b w:val="1"/>
          <w:bCs w:val="1"/>
          <w:color w:val="404040"/>
        </w:rPr>
        <w:t>Douglas G.</w:t>
      </w:r>
    </w:p>
    <w:p>
      <w:pPr>
        <w:spacing w:after="0" w:line="40" w:lineRule="exact"/>
        <w:rPr>
          <w:sz w:val="20"/>
          <w:szCs w:val="20"/>
          <w:color w:val="auto"/>
        </w:rPr>
      </w:pPr>
    </w:p>
    <w:p>
      <w:pPr>
        <w:jc w:val="center"/>
        <w:ind w:left="2500"/>
        <w:spacing w:after="0"/>
        <w:rPr>
          <w:sz w:val="20"/>
          <w:szCs w:val="20"/>
          <w:color w:val="auto"/>
        </w:rPr>
      </w:pPr>
      <w:r>
        <w:rPr>
          <w:rFonts w:ascii="Arial" w:cs="Arial" w:eastAsia="Arial" w:hAnsi="Arial"/>
          <w:sz w:val="13"/>
          <w:szCs w:val="13"/>
          <w:b w:val="1"/>
          <w:bCs w:val="1"/>
          <w:color w:val="404040"/>
        </w:rPr>
        <w:t>Bergeron</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rPr>
          <w:sz w:val="20"/>
          <w:szCs w:val="20"/>
          <w:color w:val="auto"/>
        </w:rPr>
      </w:pPr>
      <w:r>
        <w:rPr>
          <w:rFonts w:ascii="Arial" w:cs="Arial" w:eastAsia="Arial" w:hAnsi="Arial"/>
          <w:sz w:val="13"/>
          <w:szCs w:val="13"/>
          <w:b w:val="1"/>
          <w:bCs w:val="1"/>
          <w:color w:val="404040"/>
        </w:rPr>
        <w:t>Lisa P.</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404040"/>
        </w:rPr>
        <w:t>Baird</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404040"/>
        </w:rPr>
        <w:t>Ian</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404040"/>
        </w:rPr>
        <w:t>Harris</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rPr>
          <w:sz w:val="20"/>
          <w:szCs w:val="20"/>
          <w:color w:val="auto"/>
        </w:rPr>
      </w:pPr>
      <w:r>
        <w:rPr>
          <w:rFonts w:ascii="Arial" w:cs="Arial" w:eastAsia="Arial" w:hAnsi="Arial"/>
          <w:sz w:val="13"/>
          <w:szCs w:val="13"/>
          <w:b w:val="1"/>
          <w:bCs w:val="1"/>
          <w:color w:val="404040"/>
        </w:rPr>
        <w:t>Jacob</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b w:val="1"/>
          <w:bCs w:val="1"/>
          <w:color w:val="404040"/>
        </w:rPr>
        <w:t>Lamm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60325</wp:posOffset>
            </wp:positionV>
            <wp:extent cx="712343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404040"/>
        </w:rPr>
        <w:t>Michael K.</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404040"/>
        </w:rPr>
        <w:t>Passilla</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404040"/>
        </w:rPr>
        <w:t>Ellen</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404040"/>
        </w:rPr>
        <w:t>Richey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85725</wp:posOffset>
            </wp:positionV>
            <wp:extent cx="85725" cy="8572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404040"/>
        </w:rPr>
        <w:t>Anne M.</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b w:val="1"/>
          <w:bCs w:val="1"/>
          <w:color w:val="404040"/>
        </w:rPr>
        <w:t>Smalling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85725" cy="8572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404040"/>
        </w:rPr>
        <w:t>Ravi</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404040"/>
        </w:rPr>
        <w:t>Venkatesan**</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rPr>
          <w:sz w:val="20"/>
          <w:szCs w:val="20"/>
          <w:color w:val="auto"/>
        </w:rPr>
      </w:pPr>
      <w:r>
        <w:rPr>
          <w:rFonts w:ascii="Arial" w:cs="Arial" w:eastAsia="Arial" w:hAnsi="Arial"/>
          <w:sz w:val="13"/>
          <w:szCs w:val="13"/>
          <w:b w:val="1"/>
          <w:bCs w:val="1"/>
          <w:color w:val="404040"/>
        </w:rPr>
        <w:t>Shannon</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404040"/>
        </w:rPr>
        <w:t>Warren^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85725</wp:posOffset>
            </wp:positionV>
            <wp:extent cx="85725" cy="8572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153" w:lineRule="exact"/>
        <w:rPr>
          <w:sz w:val="20"/>
          <w:szCs w:val="20"/>
          <w:color w:val="auto"/>
        </w:rPr>
      </w:pPr>
    </w:p>
    <w:p>
      <w:pPr>
        <w:sectPr>
          <w:pgSz w:w="11900" w:h="16838" w:orient="portrait"/>
          <w:cols w:equalWidth="0" w:num="9">
            <w:col w:w="3220" w:space="400"/>
            <w:col w:w="420" w:space="520"/>
            <w:col w:w="380" w:space="520"/>
            <w:col w:w="400" w:space="400"/>
            <w:col w:w="680" w:space="380"/>
            <w:col w:w="440" w:space="420"/>
            <w:col w:w="560" w:space="380"/>
            <w:col w:w="860" w:space="440"/>
            <w:col w:w="820"/>
          </w:cols>
          <w:pgMar w:left="320" w:top="257" w:right="339" w:bottom="1440" w:gutter="0" w:footer="0" w:header="0"/>
          <w:type w:val="continuous"/>
        </w:sectPr>
      </w:pPr>
    </w:p>
    <w:p>
      <w:pPr>
        <w:ind w:left="20"/>
        <w:spacing w:after="0"/>
        <w:rPr>
          <w:sz w:val="20"/>
          <w:szCs w:val="20"/>
          <w:color w:val="auto"/>
        </w:rPr>
      </w:pPr>
      <w:r>
        <w:rPr>
          <w:rFonts w:ascii="Arial" w:cs="Arial" w:eastAsia="Arial" w:hAnsi="Arial"/>
          <w:sz w:val="14"/>
          <w:szCs w:val="14"/>
          <w:color w:val="auto"/>
        </w:rPr>
        <w:t>Audit and Risk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2343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74930</wp:posOffset>
            </wp:positionV>
            <wp:extent cx="85725" cy="8572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74930</wp:posOffset>
            </wp:positionV>
            <wp:extent cx="76835" cy="7747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74930</wp:posOffset>
            </wp:positionV>
            <wp:extent cx="77470" cy="7747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7470" cy="7747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74930</wp:posOffset>
            </wp:positionV>
            <wp:extent cx="85725" cy="8572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2343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4"/>
          <w:szCs w:val="14"/>
          <w:color w:val="auto"/>
        </w:rPr>
        <w:t>Nominating and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-44450</wp:posOffset>
            </wp:positionV>
            <wp:extent cx="76835" cy="768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6835" cy="7683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-44450</wp:posOffset>
            </wp:positionV>
            <wp:extent cx="76835" cy="768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6835" cy="7683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-52705</wp:posOffset>
            </wp:positionV>
            <wp:extent cx="85725" cy="8572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22" w:lineRule="exact"/>
        <w:rPr>
          <w:sz w:val="20"/>
          <w:szCs w:val="20"/>
          <w:color w:val="auto"/>
        </w:rPr>
      </w:pPr>
    </w:p>
    <w:p>
      <w:pPr>
        <w:ind w:left="20" w:right="9700"/>
        <w:spacing w:after="0" w:line="466" w:lineRule="auto"/>
        <w:rPr>
          <w:sz w:val="20"/>
          <w:szCs w:val="20"/>
          <w:color w:val="auto"/>
        </w:rPr>
      </w:pPr>
      <w:r>
        <w:rPr>
          <w:rFonts w:ascii="Arial" w:cs="Arial" w:eastAsia="Arial" w:hAnsi="Arial"/>
          <w:sz w:val="14"/>
          <w:szCs w:val="14"/>
          <w:color w:val="auto"/>
        </w:rPr>
        <w:t>Governance Committee Finance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2343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-253365</wp:posOffset>
            </wp:positionV>
            <wp:extent cx="712343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-227330</wp:posOffset>
            </wp:positionV>
            <wp:extent cx="85725" cy="8572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-227330</wp:posOffset>
            </wp:positionV>
            <wp:extent cx="85725" cy="8572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-227330</wp:posOffset>
            </wp:positionV>
            <wp:extent cx="85725" cy="8572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-227330</wp:posOffset>
            </wp:positionV>
            <wp:extent cx="85725" cy="8572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29210</wp:posOffset>
            </wp:positionV>
            <wp:extent cx="85725" cy="8572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990600</wp:posOffset>
            </wp:positionH>
            <wp:positionV relativeFrom="paragraph">
              <wp:posOffset>29210</wp:posOffset>
            </wp:positionV>
            <wp:extent cx="85725" cy="8572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420" w:type="dxa"/>
            <w:vAlign w:val="bottom"/>
          </w:tcPr>
          <w:p>
            <w:pPr>
              <w:jc w:val="right"/>
              <w:ind w:right="408"/>
              <w:spacing w:after="0"/>
              <w:rPr>
                <w:sz w:val="20"/>
                <w:szCs w:val="20"/>
                <w:color w:val="auto"/>
              </w:rPr>
            </w:pPr>
            <w:r>
              <w:rPr>
                <w:rFonts w:ascii="Arial" w:cs="Arial" w:eastAsia="Arial" w:hAnsi="Arial"/>
                <w:sz w:val="16"/>
                <w:szCs w:val="16"/>
                <w:color w:val="auto"/>
              </w:rPr>
              <w:t>Member</w:t>
            </w:r>
          </w:p>
        </w:tc>
        <w:tc>
          <w:tcPr>
            <w:tcW w:w="1160" w:type="dxa"/>
            <w:vAlign w:val="bottom"/>
          </w:tcPr>
          <w:p>
            <w:pPr>
              <w:ind w:left="480"/>
              <w:spacing w:after="0"/>
              <w:rPr>
                <w:sz w:val="20"/>
                <w:szCs w:val="20"/>
                <w:color w:val="auto"/>
              </w:rPr>
            </w:pPr>
            <w:r>
              <w:rPr>
                <w:rFonts w:ascii="Arial" w:cs="Arial" w:eastAsia="Arial" w:hAnsi="Arial"/>
                <w:sz w:val="16"/>
                <w:szCs w:val="16"/>
                <w:color w:val="auto"/>
              </w:rPr>
              <w:t>Chair</w:t>
            </w:r>
          </w:p>
        </w:tc>
        <w:tc>
          <w:tcPr>
            <w:tcW w:w="2960" w:type="dxa"/>
            <w:vAlign w:val="bottom"/>
          </w:tcPr>
          <w:p>
            <w:pPr>
              <w:ind w:left="280"/>
              <w:spacing w:after="0"/>
              <w:rPr>
                <w:sz w:val="20"/>
                <w:szCs w:val="20"/>
                <w:color w:val="auto"/>
              </w:rPr>
            </w:pPr>
            <w:r>
              <w:rPr>
                <w:rFonts w:ascii="Arial" w:cs="Arial" w:eastAsia="Arial" w:hAnsi="Arial"/>
                <w:sz w:val="13"/>
                <w:szCs w:val="13"/>
                <w:color w:val="202945"/>
              </w:rPr>
              <w:t xml:space="preserve">**   </w:t>
            </w:r>
            <w:r>
              <w:rPr>
                <w:rFonts w:ascii="Arial" w:cs="Arial" w:eastAsia="Arial" w:hAnsi="Arial"/>
                <w:sz w:val="16"/>
                <w:szCs w:val="16"/>
                <w:color w:val="000000"/>
              </w:rPr>
              <w:t>Non-Independent Director</w:t>
            </w:r>
          </w:p>
        </w:tc>
        <w:tc>
          <w:tcPr>
            <w:tcW w:w="5700" w:type="dxa"/>
            <w:vAlign w:val="bottom"/>
          </w:tcPr>
          <w:p>
            <w:pPr>
              <w:ind w:left="520"/>
              <w:spacing w:after="0"/>
              <w:rPr>
                <w:sz w:val="20"/>
                <w:szCs w:val="20"/>
                <w:color w:val="auto"/>
              </w:rPr>
            </w:pPr>
            <w:r>
              <w:rPr>
                <w:rFonts w:ascii="Arial" w:cs="Arial" w:eastAsia="Arial" w:hAnsi="Arial"/>
                <w:sz w:val="13"/>
                <w:szCs w:val="13"/>
                <w:color w:val="202945"/>
              </w:rPr>
              <w:t xml:space="preserve">^  </w:t>
            </w:r>
            <w:r>
              <w:rPr>
                <w:rFonts w:ascii="Arial" w:cs="Arial" w:eastAsia="Arial" w:hAnsi="Arial"/>
                <w:sz w:val="16"/>
                <w:szCs w:val="16"/>
                <w:color w:val="000000"/>
              </w:rPr>
              <w:t>Financial Expert</w:t>
            </w:r>
          </w:p>
        </w:tc>
      </w:tr>
      <w:tr>
        <w:trPr>
          <w:trHeight w:val="858"/>
        </w:trPr>
        <w:tc>
          <w:tcPr>
            <w:tcW w:w="1420" w:type="dxa"/>
            <w:vAlign w:val="bottom"/>
          </w:tcPr>
          <w:p>
            <w:pPr>
              <w:jc w:val="right"/>
              <w:ind w:right="1188"/>
              <w:spacing w:after="0"/>
              <w:rPr>
                <w:sz w:val="20"/>
                <w:szCs w:val="20"/>
                <w:color w:val="auto"/>
              </w:rPr>
            </w:pPr>
            <w:r>
              <w:rPr>
                <w:rFonts w:ascii="Arial" w:cs="Arial" w:eastAsia="Arial" w:hAnsi="Arial"/>
                <w:sz w:val="13"/>
                <w:szCs w:val="13"/>
                <w:b w:val="1"/>
                <w:bCs w:val="1"/>
                <w:color w:val="auto"/>
                <w:w w:val="96"/>
              </w:rPr>
              <w:t>28</w:t>
            </w:r>
          </w:p>
        </w:tc>
        <w:tc>
          <w:tcPr>
            <w:tcW w:w="11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5700" w:type="dxa"/>
            <w:vAlign w:val="bottom"/>
          </w:tcPr>
          <w:p>
            <w:pPr>
              <w:ind w:left="4440"/>
              <w:spacing w:after="0"/>
              <w:rPr>
                <w:sz w:val="20"/>
                <w:szCs w:val="20"/>
                <w:color w:val="auto"/>
              </w:rPr>
            </w:pPr>
            <w:r>
              <w:rPr>
                <w:rFonts w:ascii="Arial" w:cs="Arial" w:eastAsia="Arial" w:hAnsi="Arial"/>
                <w:sz w:val="13"/>
                <w:szCs w:val="13"/>
                <w:b w:val="1"/>
                <w:bCs w:val="1"/>
                <w:color w:val="FF7F32"/>
                <w:w w:val="96"/>
              </w:rPr>
              <w:t xml:space="preserve">2026 </w:t>
            </w:r>
            <w:r>
              <w:rPr>
                <w:rFonts w:ascii="Arial" w:cs="Arial" w:eastAsia="Arial" w:hAnsi="Arial"/>
                <w:sz w:val="13"/>
                <w:szCs w:val="13"/>
                <w:color w:val="000000"/>
                <w:w w:val="96"/>
              </w:rPr>
              <w:t>Proxy Statement</w:t>
            </w:r>
          </w:p>
        </w:tc>
      </w:tr>
      <w:tr>
        <w:trPr>
          <w:trHeight w:val="434"/>
        </w:trPr>
        <w:tc>
          <w:tcPr>
            <w:tcW w:w="14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5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-496570</wp:posOffset>
            </wp:positionV>
            <wp:extent cx="925830" cy="26606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925830" cy="26606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type w:val="continuous"/>
        </w:sectPr>
      </w:pPr>
    </w:p>
    <w:bookmarkStart w:id="31" w:name="page32"/>
    <w:bookmarkEnd w:id="3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820"/>
        <w:spacing w:after="0" w:line="350" w:lineRule="auto"/>
        <w:rPr>
          <w:sz w:val="20"/>
          <w:szCs w:val="20"/>
          <w:color w:val="auto"/>
        </w:rPr>
      </w:pPr>
      <w:r>
        <w:rPr>
          <w:rFonts w:ascii="Arial" w:cs="Arial" w:eastAsia="Arial" w:hAnsi="Arial"/>
          <w:sz w:val="27"/>
          <w:szCs w:val="27"/>
          <w:b w:val="1"/>
          <w:bCs w:val="1"/>
          <w:color w:val="202945"/>
        </w:rPr>
        <w:t>Audit and Risk Committee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97790</wp:posOffset>
            </wp:positionV>
            <wp:extent cx="659765" cy="65976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59765"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color w:val="FF7F32"/>
        </w:rPr>
        <w:t>Shannon S. Warren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97790</wp:posOffset>
            </wp:positionV>
            <wp:extent cx="659765" cy="660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5976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color w:val="FF7F32"/>
        </w:rPr>
        <w:t>Ellen Richey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97790</wp:posOffset>
            </wp:positionV>
            <wp:extent cx="659765" cy="660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5976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color w:val="FF7F32"/>
        </w:rPr>
        <w:t>Anne M. Smalling</w:t>
      </w:r>
    </w:p>
    <w:p>
      <w:pPr>
        <w:spacing w:after="0" w:line="167" w:lineRule="exact"/>
        <w:rPr>
          <w:sz w:val="20"/>
          <w:szCs w:val="20"/>
          <w:color w:val="auto"/>
        </w:rPr>
      </w:pPr>
    </w:p>
    <w:p>
      <w:pPr>
        <w:ind w:right="320"/>
        <w:spacing w:after="0" w:line="356" w:lineRule="auto"/>
        <w:rPr>
          <w:sz w:val="20"/>
          <w:szCs w:val="20"/>
          <w:color w:val="auto"/>
        </w:rPr>
      </w:pPr>
      <w:r>
        <w:rPr>
          <w:rFonts w:ascii="Arial" w:cs="Arial" w:eastAsia="Arial" w:hAnsi="Arial"/>
          <w:sz w:val="16"/>
          <w:szCs w:val="16"/>
          <w:color w:val="auto"/>
        </w:rPr>
        <w:t>Number of meetings held in fiscal year 2025:</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Audit </w:t>
      </w:r>
      <w:r>
        <w:rPr>
          <w:rFonts w:ascii="Arial" w:cs="Arial" w:eastAsia="Arial" w:hAnsi="Arial"/>
          <w:sz w:val="16"/>
          <w:szCs w:val="16"/>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3"/>
          <w:szCs w:val="13"/>
          <w:b w:val="1"/>
          <w:bCs w:val="1"/>
          <w:color w:val="FF7F32"/>
        </w:rPr>
        <w:t xml:space="preserve">2026 </w:t>
      </w:r>
      <w:r>
        <w:rPr>
          <w:rFonts w:ascii="Arial" w:cs="Arial" w:eastAsia="Arial" w:hAnsi="Arial"/>
          <w:sz w:val="13"/>
          <w:szCs w:val="13"/>
          <w:color w:val="000000"/>
        </w:rPr>
        <w:t>Proxy Statement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3"/>
          <w:szCs w:val="13"/>
          <w:color w:val="202945"/>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601980</wp:posOffset>
            </wp:positionV>
            <wp:extent cx="8890" cy="58293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890" cy="5829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200"/>
        <w:spacing w:after="0" w:line="359" w:lineRule="auto"/>
        <w:rPr>
          <w:sz w:val="20"/>
          <w:szCs w:val="20"/>
          <w:color w:val="auto"/>
        </w:rPr>
      </w:pPr>
      <w:r>
        <w:rPr>
          <w:rFonts w:ascii="Arial" w:cs="Arial" w:eastAsia="Arial" w:hAnsi="Arial"/>
          <w:sz w:val="18"/>
          <w:szCs w:val="18"/>
          <w:b w:val="1"/>
          <w:bCs w:val="1"/>
          <w:color w:val="202945"/>
        </w:rPr>
        <w:t>The Audit and Risk Committee engages the Company’s independent accountants, and is primarily responsible for:</w:t>
      </w:r>
    </w:p>
    <w:p>
      <w:pPr>
        <w:spacing w:after="0" w:line="34" w:lineRule="exact"/>
        <w:rPr>
          <w:sz w:val="20"/>
          <w:szCs w:val="20"/>
          <w:color w:val="auto"/>
        </w:rPr>
      </w:pPr>
    </w:p>
    <w:p>
      <w:pPr>
        <w:ind w:left="180" w:hanging="179"/>
        <w:spacing w:after="0"/>
        <w:tabs>
          <w:tab w:leader="none" w:pos="180" w:val="left"/>
        </w:tabs>
        <w:numPr>
          <w:ilvl w:val="0"/>
          <w:numId w:val="39"/>
        </w:numPr>
        <w:rPr>
          <w:rFonts w:ascii="Arial" w:cs="Arial" w:eastAsia="Arial" w:hAnsi="Arial"/>
          <w:sz w:val="16"/>
          <w:szCs w:val="16"/>
          <w:b w:val="1"/>
          <w:bCs w:val="1"/>
          <w:color w:val="FF7F32"/>
        </w:rPr>
      </w:pPr>
      <w:r>
        <w:rPr>
          <w:rFonts w:ascii="Arial" w:cs="Arial" w:eastAsia="Arial" w:hAnsi="Arial"/>
          <w:sz w:val="16"/>
          <w:szCs w:val="16"/>
          <w:color w:val="auto"/>
        </w:rPr>
        <w:t>appointing, retaining and replacing the Company’s independent auditor</w:t>
      </w:r>
    </w:p>
    <w:p>
      <w:pPr>
        <w:spacing w:after="0" w:line="140" w:lineRule="exact"/>
        <w:rPr>
          <w:rFonts w:ascii="Arial" w:cs="Arial" w:eastAsia="Arial" w:hAnsi="Arial"/>
          <w:sz w:val="16"/>
          <w:szCs w:val="16"/>
          <w:b w:val="1"/>
          <w:bCs w:val="1"/>
          <w:color w:val="FF7F32"/>
        </w:rPr>
      </w:pPr>
    </w:p>
    <w:p>
      <w:pPr>
        <w:ind w:left="180" w:hanging="179"/>
        <w:spacing w:after="0"/>
        <w:tabs>
          <w:tab w:leader="none" w:pos="180" w:val="left"/>
        </w:tabs>
        <w:numPr>
          <w:ilvl w:val="0"/>
          <w:numId w:val="39"/>
        </w:numPr>
        <w:rPr>
          <w:rFonts w:ascii="Arial" w:cs="Arial" w:eastAsia="Arial" w:hAnsi="Arial"/>
          <w:sz w:val="16"/>
          <w:szCs w:val="16"/>
          <w:b w:val="1"/>
          <w:bCs w:val="1"/>
          <w:color w:val="FF7F32"/>
        </w:rPr>
      </w:pPr>
      <w:r>
        <w:rPr>
          <w:rFonts w:ascii="Arial" w:cs="Arial" w:eastAsia="Arial" w:hAnsi="Arial"/>
          <w:sz w:val="16"/>
          <w:szCs w:val="16"/>
          <w:color w:val="auto"/>
        </w:rPr>
        <w:t>approving the services performed by, and compensation paid to, the Company’s independent auditor</w:t>
      </w:r>
    </w:p>
    <w:p>
      <w:pPr>
        <w:spacing w:after="0" w:line="126" w:lineRule="exact"/>
        <w:rPr>
          <w:rFonts w:ascii="Arial" w:cs="Arial" w:eastAsia="Arial" w:hAnsi="Arial"/>
          <w:sz w:val="16"/>
          <w:szCs w:val="16"/>
          <w:b w:val="1"/>
          <w:bCs w:val="1"/>
          <w:color w:val="FF7F32"/>
        </w:rPr>
      </w:pPr>
    </w:p>
    <w:p>
      <w:pPr>
        <w:ind w:left="200" w:right="160" w:hanging="199"/>
        <w:spacing w:after="0" w:line="356" w:lineRule="auto"/>
        <w:tabs>
          <w:tab w:leader="none" w:pos="184" w:val="left"/>
        </w:tabs>
        <w:numPr>
          <w:ilvl w:val="0"/>
          <w:numId w:val="39"/>
        </w:numPr>
        <w:rPr>
          <w:rFonts w:ascii="Arial" w:cs="Arial" w:eastAsia="Arial" w:hAnsi="Arial"/>
          <w:sz w:val="16"/>
          <w:szCs w:val="16"/>
          <w:b w:val="1"/>
          <w:bCs w:val="1"/>
          <w:color w:val="FF7F32"/>
        </w:rPr>
      </w:pPr>
      <w:r>
        <w:rPr>
          <w:rFonts w:ascii="Arial" w:cs="Arial" w:eastAsia="Arial" w:hAnsi="Arial"/>
          <w:sz w:val="16"/>
          <w:szCs w:val="16"/>
          <w:color w:val="auto"/>
        </w:rPr>
        <w:t>pre-approving any non-audit services (and related fees) to be performed by the Company’s independent auditor</w:t>
      </w:r>
    </w:p>
    <w:p>
      <w:pPr>
        <w:spacing w:after="0" w:line="21" w:lineRule="exact"/>
        <w:rPr>
          <w:rFonts w:ascii="Arial" w:cs="Arial" w:eastAsia="Arial" w:hAnsi="Arial"/>
          <w:sz w:val="16"/>
          <w:szCs w:val="16"/>
          <w:b w:val="1"/>
          <w:bCs w:val="1"/>
          <w:color w:val="FF7F32"/>
        </w:rPr>
      </w:pPr>
    </w:p>
    <w:p>
      <w:pPr>
        <w:ind w:left="200" w:right="100" w:hanging="199"/>
        <w:spacing w:after="0" w:line="356" w:lineRule="auto"/>
        <w:tabs>
          <w:tab w:leader="none" w:pos="184" w:val="left"/>
        </w:tabs>
        <w:numPr>
          <w:ilvl w:val="0"/>
          <w:numId w:val="39"/>
        </w:numPr>
        <w:rPr>
          <w:rFonts w:ascii="Arial" w:cs="Arial" w:eastAsia="Arial" w:hAnsi="Arial"/>
          <w:sz w:val="16"/>
          <w:szCs w:val="16"/>
          <w:b w:val="1"/>
          <w:bCs w:val="1"/>
          <w:color w:val="FF7F32"/>
        </w:rPr>
      </w:pPr>
      <w:r>
        <w:rPr>
          <w:rFonts w:ascii="Arial" w:cs="Arial" w:eastAsia="Arial" w:hAnsi="Arial"/>
          <w:sz w:val="16"/>
          <w:szCs w:val="16"/>
          <w:color w:val="auto"/>
        </w:rPr>
        <w:t>pre-approving any prospective transactions with officers, directors, holders of more than 5% of our securities, and any member of the immediate family of or entity affiliated with any of the forgoing persons</w:t>
      </w:r>
    </w:p>
    <w:p>
      <w:pPr>
        <w:spacing w:after="0" w:line="7" w:lineRule="exact"/>
        <w:rPr>
          <w:rFonts w:ascii="Arial" w:cs="Arial" w:eastAsia="Arial" w:hAnsi="Arial"/>
          <w:sz w:val="16"/>
          <w:szCs w:val="16"/>
          <w:b w:val="1"/>
          <w:bCs w:val="1"/>
          <w:color w:val="FF7F32"/>
        </w:rPr>
      </w:pPr>
    </w:p>
    <w:p>
      <w:pPr>
        <w:ind w:left="180" w:hanging="179"/>
        <w:spacing w:after="0"/>
        <w:tabs>
          <w:tab w:leader="none" w:pos="180" w:val="left"/>
        </w:tabs>
        <w:numPr>
          <w:ilvl w:val="0"/>
          <w:numId w:val="39"/>
        </w:numPr>
        <w:rPr>
          <w:rFonts w:ascii="Arial" w:cs="Arial" w:eastAsia="Arial" w:hAnsi="Arial"/>
          <w:sz w:val="16"/>
          <w:szCs w:val="16"/>
          <w:b w:val="1"/>
          <w:bCs w:val="1"/>
          <w:color w:val="FF7F32"/>
        </w:rPr>
      </w:pPr>
      <w:r>
        <w:rPr>
          <w:rFonts w:ascii="Arial" w:cs="Arial" w:eastAsia="Arial" w:hAnsi="Arial"/>
          <w:sz w:val="16"/>
          <w:szCs w:val="16"/>
          <w:color w:val="auto"/>
        </w:rPr>
        <w:t>reviewing and discussing the Company’s accounting principles</w:t>
      </w:r>
    </w:p>
    <w:p>
      <w:pPr>
        <w:spacing w:after="0" w:line="140" w:lineRule="exact"/>
        <w:rPr>
          <w:rFonts w:ascii="Arial" w:cs="Arial" w:eastAsia="Arial" w:hAnsi="Arial"/>
          <w:sz w:val="16"/>
          <w:szCs w:val="16"/>
          <w:b w:val="1"/>
          <w:bCs w:val="1"/>
          <w:color w:val="FF7F32"/>
        </w:rPr>
      </w:pPr>
    </w:p>
    <w:p>
      <w:pPr>
        <w:ind w:left="180" w:hanging="179"/>
        <w:spacing w:after="0"/>
        <w:tabs>
          <w:tab w:leader="none" w:pos="180" w:val="left"/>
        </w:tabs>
        <w:numPr>
          <w:ilvl w:val="0"/>
          <w:numId w:val="39"/>
        </w:numPr>
        <w:rPr>
          <w:rFonts w:ascii="Arial" w:cs="Arial" w:eastAsia="Arial" w:hAnsi="Arial"/>
          <w:sz w:val="16"/>
          <w:szCs w:val="16"/>
          <w:b w:val="1"/>
          <w:bCs w:val="1"/>
          <w:color w:val="FF7F32"/>
        </w:rPr>
      </w:pPr>
      <w:r>
        <w:rPr>
          <w:rFonts w:ascii="Arial" w:cs="Arial" w:eastAsia="Arial" w:hAnsi="Arial"/>
          <w:sz w:val="16"/>
          <w:szCs w:val="16"/>
          <w:color w:val="auto"/>
        </w:rPr>
        <w:t>oversee the Company’s internal audit function</w:t>
      </w:r>
    </w:p>
    <w:p>
      <w:pPr>
        <w:spacing w:after="0" w:line="126" w:lineRule="exact"/>
        <w:rPr>
          <w:rFonts w:ascii="Arial" w:cs="Arial" w:eastAsia="Arial" w:hAnsi="Arial"/>
          <w:sz w:val="16"/>
          <w:szCs w:val="16"/>
          <w:b w:val="1"/>
          <w:bCs w:val="1"/>
          <w:color w:val="FF7F32"/>
        </w:rPr>
      </w:pPr>
    </w:p>
    <w:p>
      <w:pPr>
        <w:ind w:left="180" w:hanging="179"/>
        <w:spacing w:after="0"/>
        <w:tabs>
          <w:tab w:leader="none" w:pos="180" w:val="left"/>
        </w:tabs>
        <w:numPr>
          <w:ilvl w:val="0"/>
          <w:numId w:val="39"/>
        </w:numPr>
        <w:rPr>
          <w:rFonts w:ascii="Arial" w:cs="Arial" w:eastAsia="Arial" w:hAnsi="Arial"/>
          <w:sz w:val="16"/>
          <w:szCs w:val="16"/>
          <w:b w:val="1"/>
          <w:bCs w:val="1"/>
          <w:color w:val="FF7F32"/>
        </w:rPr>
      </w:pPr>
      <w:r>
        <w:rPr>
          <w:rFonts w:ascii="Arial" w:cs="Arial" w:eastAsia="Arial" w:hAnsi="Arial"/>
          <w:sz w:val="16"/>
          <w:szCs w:val="16"/>
          <w:color w:val="auto"/>
        </w:rPr>
        <w:t>evaluate the independence of independent auditors</w:t>
      </w:r>
    </w:p>
    <w:p>
      <w:pPr>
        <w:spacing w:after="0" w:line="126" w:lineRule="exact"/>
        <w:rPr>
          <w:rFonts w:ascii="Arial" w:cs="Arial" w:eastAsia="Arial" w:hAnsi="Arial"/>
          <w:sz w:val="16"/>
          <w:szCs w:val="16"/>
          <w:b w:val="1"/>
          <w:bCs w:val="1"/>
          <w:color w:val="FF7F32"/>
        </w:rPr>
      </w:pPr>
    </w:p>
    <w:p>
      <w:pPr>
        <w:ind w:left="200" w:right="240" w:hanging="199"/>
        <w:spacing w:after="0" w:line="369" w:lineRule="auto"/>
        <w:tabs>
          <w:tab w:leader="none" w:pos="184" w:val="left"/>
        </w:tabs>
        <w:numPr>
          <w:ilvl w:val="0"/>
          <w:numId w:val="39"/>
        </w:numPr>
        <w:rPr>
          <w:rFonts w:ascii="Arial" w:cs="Arial" w:eastAsia="Arial" w:hAnsi="Arial"/>
          <w:sz w:val="16"/>
          <w:szCs w:val="16"/>
          <w:b w:val="1"/>
          <w:bCs w:val="1"/>
          <w:color w:val="FF7F32"/>
        </w:rPr>
      </w:pPr>
      <w:r>
        <w:rPr>
          <w:rFonts w:ascii="Arial" w:cs="Arial" w:eastAsia="Arial" w:hAnsi="Arial"/>
          <w:sz w:val="16"/>
          <w:szCs w:val="16"/>
          <w:color w:val="auto"/>
        </w:rPr>
        <w:t>reviewing and discussing with management and the Company’s independent auditor the Company’s quarterly financial statements prior to the filing of the Company’s quarterly reports on Form 10-Q filings</w:t>
      </w:r>
    </w:p>
    <w:p>
      <w:pPr>
        <w:spacing w:after="0" w:line="1" w:lineRule="exact"/>
        <w:rPr>
          <w:rFonts w:ascii="Arial" w:cs="Arial" w:eastAsia="Arial" w:hAnsi="Arial"/>
          <w:sz w:val="16"/>
          <w:szCs w:val="16"/>
          <w:b w:val="1"/>
          <w:bCs w:val="1"/>
          <w:color w:val="FF7F32"/>
        </w:rPr>
      </w:pPr>
    </w:p>
    <w:p>
      <w:pPr>
        <w:ind w:left="180" w:hanging="179"/>
        <w:spacing w:after="0"/>
        <w:tabs>
          <w:tab w:leader="none" w:pos="180" w:val="left"/>
        </w:tabs>
        <w:numPr>
          <w:ilvl w:val="0"/>
          <w:numId w:val="39"/>
        </w:numPr>
        <w:rPr>
          <w:rFonts w:ascii="Arial" w:cs="Arial" w:eastAsia="Arial" w:hAnsi="Arial"/>
          <w:sz w:val="16"/>
          <w:szCs w:val="16"/>
          <w:b w:val="1"/>
          <w:bCs w:val="1"/>
          <w:color w:val="FF7F32"/>
        </w:rPr>
      </w:pPr>
      <w:r>
        <w:rPr>
          <w:rFonts w:ascii="Arial" w:cs="Arial" w:eastAsia="Arial" w:hAnsi="Arial"/>
          <w:sz w:val="16"/>
          <w:szCs w:val="16"/>
          <w:color w:val="auto"/>
        </w:rPr>
        <w:t>discussing with management the Company’s earnings press releases</w:t>
      </w:r>
    </w:p>
    <w:p>
      <w:pPr>
        <w:spacing w:after="0" w:line="167" w:lineRule="exact"/>
        <w:rPr>
          <w:rFonts w:ascii="Arial" w:cs="Arial" w:eastAsia="Arial" w:hAnsi="Arial"/>
          <w:sz w:val="16"/>
          <w:szCs w:val="16"/>
          <w:b w:val="1"/>
          <w:bCs w:val="1"/>
          <w:color w:val="FF7F32"/>
        </w:rPr>
      </w:pPr>
    </w:p>
    <w:p>
      <w:pPr>
        <w:ind w:left="200" w:right="340" w:hanging="199"/>
        <w:spacing w:after="0" w:line="356" w:lineRule="auto"/>
        <w:tabs>
          <w:tab w:leader="none" w:pos="184" w:val="left"/>
        </w:tabs>
        <w:numPr>
          <w:ilvl w:val="0"/>
          <w:numId w:val="39"/>
        </w:numPr>
        <w:rPr>
          <w:rFonts w:ascii="Arial" w:cs="Arial" w:eastAsia="Arial" w:hAnsi="Arial"/>
          <w:sz w:val="16"/>
          <w:szCs w:val="16"/>
          <w:b w:val="1"/>
          <w:bCs w:val="1"/>
          <w:color w:val="FF7F32"/>
        </w:rPr>
      </w:pPr>
      <w:r>
        <w:rPr>
          <w:rFonts w:ascii="Arial" w:cs="Arial" w:eastAsia="Arial" w:hAnsi="Arial"/>
          <w:sz w:val="16"/>
          <w:szCs w:val="16"/>
          <w:color w:val="auto"/>
        </w:rPr>
        <w:t>discussing with management and the independent auditor any major issues as to the adequacy of the Company’s internal controls</w:t>
      </w:r>
    </w:p>
    <w:p>
      <w:pPr>
        <w:spacing w:after="0" w:line="48" w:lineRule="exact"/>
        <w:rPr>
          <w:rFonts w:ascii="Arial" w:cs="Arial" w:eastAsia="Arial" w:hAnsi="Arial"/>
          <w:sz w:val="16"/>
          <w:szCs w:val="16"/>
          <w:b w:val="1"/>
          <w:bCs w:val="1"/>
          <w:color w:val="FF7F32"/>
        </w:rPr>
      </w:pPr>
    </w:p>
    <w:p>
      <w:pPr>
        <w:ind w:left="200" w:right="820" w:hanging="199"/>
        <w:spacing w:after="0" w:line="356" w:lineRule="auto"/>
        <w:tabs>
          <w:tab w:leader="none" w:pos="184" w:val="left"/>
        </w:tabs>
        <w:numPr>
          <w:ilvl w:val="0"/>
          <w:numId w:val="39"/>
        </w:numPr>
        <w:rPr>
          <w:rFonts w:ascii="Arial" w:cs="Arial" w:eastAsia="Arial" w:hAnsi="Arial"/>
          <w:sz w:val="16"/>
          <w:szCs w:val="16"/>
          <w:b w:val="1"/>
          <w:bCs w:val="1"/>
          <w:color w:val="FF7F32"/>
        </w:rPr>
      </w:pPr>
      <w:r>
        <w:rPr>
          <w:rFonts w:ascii="Arial" w:cs="Arial" w:eastAsia="Arial" w:hAnsi="Arial"/>
          <w:sz w:val="16"/>
          <w:szCs w:val="16"/>
          <w:color w:val="auto"/>
        </w:rPr>
        <w:t>recommending to the Board whether the audited financial statements should be included in the Company’s Annual Report</w:t>
      </w:r>
    </w:p>
    <w:p>
      <w:pPr>
        <w:spacing w:after="0" w:line="21" w:lineRule="exact"/>
        <w:rPr>
          <w:rFonts w:ascii="Arial" w:cs="Arial" w:eastAsia="Arial" w:hAnsi="Arial"/>
          <w:sz w:val="16"/>
          <w:szCs w:val="16"/>
          <w:b w:val="1"/>
          <w:bCs w:val="1"/>
          <w:color w:val="FF7F32"/>
        </w:rPr>
      </w:pPr>
    </w:p>
    <w:p>
      <w:pPr>
        <w:ind w:left="200" w:right="120" w:hanging="199"/>
        <w:spacing w:after="0" w:line="356" w:lineRule="auto"/>
        <w:tabs>
          <w:tab w:leader="none" w:pos="184" w:val="left"/>
        </w:tabs>
        <w:numPr>
          <w:ilvl w:val="0"/>
          <w:numId w:val="39"/>
        </w:numPr>
        <w:rPr>
          <w:rFonts w:ascii="Arial" w:cs="Arial" w:eastAsia="Arial" w:hAnsi="Arial"/>
          <w:sz w:val="16"/>
          <w:szCs w:val="16"/>
          <w:b w:val="1"/>
          <w:bCs w:val="1"/>
          <w:color w:val="FF7F32"/>
        </w:rPr>
      </w:pPr>
      <w:r>
        <w:rPr>
          <w:rFonts w:ascii="Arial" w:cs="Arial" w:eastAsia="Arial" w:hAnsi="Arial"/>
          <w:sz w:val="16"/>
          <w:szCs w:val="16"/>
          <w:color w:val="auto"/>
        </w:rPr>
        <w:t>produce the Audit and Risk Committee report for inclusion in the Company’s proxy statement and annual report</w:t>
      </w:r>
    </w:p>
    <w:p>
      <w:pPr>
        <w:spacing w:after="0" w:line="48" w:lineRule="exact"/>
        <w:rPr>
          <w:rFonts w:ascii="Arial" w:cs="Arial" w:eastAsia="Arial" w:hAnsi="Arial"/>
          <w:sz w:val="16"/>
          <w:szCs w:val="16"/>
          <w:b w:val="1"/>
          <w:bCs w:val="1"/>
          <w:color w:val="FF7F32"/>
        </w:rPr>
      </w:pPr>
    </w:p>
    <w:p>
      <w:pPr>
        <w:ind w:left="180" w:hanging="179"/>
        <w:spacing w:after="0"/>
        <w:tabs>
          <w:tab w:leader="none" w:pos="180" w:val="left"/>
        </w:tabs>
        <w:numPr>
          <w:ilvl w:val="0"/>
          <w:numId w:val="39"/>
        </w:numPr>
        <w:rPr>
          <w:rFonts w:ascii="Arial" w:cs="Arial" w:eastAsia="Arial" w:hAnsi="Arial"/>
          <w:sz w:val="16"/>
          <w:szCs w:val="16"/>
          <w:b w:val="1"/>
          <w:bCs w:val="1"/>
          <w:color w:val="FF7F32"/>
        </w:rPr>
      </w:pPr>
      <w:r>
        <w:rPr>
          <w:rFonts w:ascii="Arial" w:cs="Arial" w:eastAsia="Arial" w:hAnsi="Arial"/>
          <w:sz w:val="16"/>
          <w:szCs w:val="16"/>
          <w:color w:val="auto"/>
        </w:rPr>
        <w:t>overseeing the Company’s compliance functions</w:t>
      </w:r>
    </w:p>
    <w:p>
      <w:pPr>
        <w:spacing w:after="0" w:line="126" w:lineRule="exact"/>
        <w:rPr>
          <w:rFonts w:ascii="Arial" w:cs="Arial" w:eastAsia="Arial" w:hAnsi="Arial"/>
          <w:sz w:val="16"/>
          <w:szCs w:val="16"/>
          <w:b w:val="1"/>
          <w:bCs w:val="1"/>
          <w:color w:val="FF7F32"/>
        </w:rPr>
      </w:pPr>
    </w:p>
    <w:p>
      <w:pPr>
        <w:ind w:left="200" w:right="260" w:hanging="199"/>
        <w:spacing w:after="0" w:line="345" w:lineRule="auto"/>
        <w:tabs>
          <w:tab w:leader="none" w:pos="184" w:val="left"/>
        </w:tabs>
        <w:numPr>
          <w:ilvl w:val="0"/>
          <w:numId w:val="39"/>
        </w:numPr>
        <w:rPr>
          <w:rFonts w:ascii="Arial" w:cs="Arial" w:eastAsia="Arial" w:hAnsi="Arial"/>
          <w:sz w:val="16"/>
          <w:szCs w:val="16"/>
          <w:b w:val="1"/>
          <w:bCs w:val="1"/>
          <w:color w:val="FF7F32"/>
        </w:rPr>
      </w:pPr>
      <w:r>
        <w:rPr>
          <w:rFonts w:ascii="Arial" w:cs="Arial" w:eastAsia="Arial" w:hAnsi="Arial"/>
          <w:sz w:val="16"/>
          <w:szCs w:val="16"/>
          <w:color w:val="auto"/>
        </w:rPr>
        <w:t>supervising the Company’s Chief Legal and Compliance Officer, who leads the Company’s compliance program. Also regularly receives updates from the Company’s Chief Legal and Compliance Officer on business risks, compliance and ethics issues.</w:t>
      </w:r>
    </w:p>
    <w:p>
      <w:pPr>
        <w:spacing w:after="0" w:line="16" w:lineRule="exact"/>
        <w:rPr>
          <w:rFonts w:ascii="Arial" w:cs="Arial" w:eastAsia="Arial" w:hAnsi="Arial"/>
          <w:sz w:val="16"/>
          <w:szCs w:val="16"/>
          <w:b w:val="1"/>
          <w:bCs w:val="1"/>
          <w:color w:val="FF7F32"/>
        </w:rPr>
      </w:pPr>
    </w:p>
    <w:p>
      <w:pPr>
        <w:ind w:left="200" w:right="120" w:hanging="199"/>
        <w:spacing w:after="0" w:line="356" w:lineRule="auto"/>
        <w:tabs>
          <w:tab w:leader="none" w:pos="184" w:val="left"/>
        </w:tabs>
        <w:numPr>
          <w:ilvl w:val="0"/>
          <w:numId w:val="39"/>
        </w:numPr>
        <w:rPr>
          <w:rFonts w:ascii="Arial" w:cs="Arial" w:eastAsia="Arial" w:hAnsi="Arial"/>
          <w:sz w:val="16"/>
          <w:szCs w:val="16"/>
          <w:b w:val="1"/>
          <w:bCs w:val="1"/>
          <w:color w:val="FF7F32"/>
        </w:rPr>
      </w:pPr>
      <w:r>
        <w:rPr>
          <w:rFonts w:ascii="Arial" w:cs="Arial" w:eastAsia="Arial" w:hAnsi="Arial"/>
          <w:sz w:val="16"/>
          <w:szCs w:val="16"/>
          <w:color w:val="auto"/>
        </w:rPr>
        <w:t>periodically reviewing and recommending to the Board any changes to the Company’s Code of Business Conduct and Ethics</w:t>
      </w:r>
    </w:p>
    <w:p>
      <w:pPr>
        <w:spacing w:after="0" w:line="48" w:lineRule="exact"/>
        <w:rPr>
          <w:rFonts w:ascii="Arial" w:cs="Arial" w:eastAsia="Arial" w:hAnsi="Arial"/>
          <w:sz w:val="16"/>
          <w:szCs w:val="16"/>
          <w:b w:val="1"/>
          <w:bCs w:val="1"/>
          <w:color w:val="FF7F32"/>
        </w:rPr>
      </w:pPr>
    </w:p>
    <w:p>
      <w:pPr>
        <w:ind w:left="200" w:right="180" w:hanging="199"/>
        <w:spacing w:after="0" w:line="345" w:lineRule="auto"/>
        <w:tabs>
          <w:tab w:leader="none" w:pos="184" w:val="left"/>
        </w:tabs>
        <w:numPr>
          <w:ilvl w:val="0"/>
          <w:numId w:val="39"/>
        </w:numPr>
        <w:rPr>
          <w:rFonts w:ascii="Arial" w:cs="Arial" w:eastAsia="Arial" w:hAnsi="Arial"/>
          <w:sz w:val="16"/>
          <w:szCs w:val="16"/>
          <w:b w:val="1"/>
          <w:bCs w:val="1"/>
          <w:color w:val="FF7F32"/>
        </w:rPr>
      </w:pPr>
      <w:r>
        <w:rPr>
          <w:rFonts w:ascii="Arial" w:cs="Arial" w:eastAsia="Arial" w:hAnsi="Arial"/>
          <w:sz w:val="16"/>
          <w:szCs w:val="16"/>
          <w:color w:val="auto"/>
        </w:rPr>
        <w:t>reviewing and monitoring significant compliance risk areas and the steps management takes to monitor, control and report such compliance risk exposures, including compliance risks related to information security and cybersecurity</w:t>
      </w:r>
    </w:p>
    <w:p>
      <w:pPr>
        <w:spacing w:after="0" w:line="57" w:lineRule="exact"/>
        <w:rPr>
          <w:sz w:val="20"/>
          <w:szCs w:val="20"/>
          <w:color w:val="auto"/>
        </w:rPr>
      </w:pPr>
    </w:p>
    <w:p>
      <w:pPr>
        <w:ind w:right="660"/>
        <w:spacing w:after="0" w:line="356" w:lineRule="auto"/>
        <w:rPr>
          <w:sz w:val="20"/>
          <w:szCs w:val="20"/>
          <w:color w:val="auto"/>
        </w:rPr>
      </w:pPr>
      <w:r>
        <w:rPr>
          <w:rFonts w:ascii="Arial" w:cs="Arial" w:eastAsia="Arial" w:hAnsi="Arial"/>
          <w:sz w:val="16"/>
          <w:szCs w:val="16"/>
          <w:color w:val="auto"/>
        </w:rPr>
        <w:t xml:space="preserve">The Audit and Risk Committee operates pursuant to a charter that was most recently amended on November 4, 2024, a copy of which is accessible on the Company’s website, </w:t>
      </w:r>
      <w:r>
        <w:rPr>
          <w:rFonts w:ascii="Arial" w:cs="Arial" w:eastAsia="Arial" w:hAnsi="Arial"/>
          <w:sz w:val="16"/>
          <w:szCs w:val="16"/>
          <w:i w:val="1"/>
          <w:iCs w:val="1"/>
          <w:color w:val="auto"/>
        </w:rPr>
        <w:t>www.cantaloupe.com</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3500120</wp:posOffset>
            </wp:positionH>
            <wp:positionV relativeFrom="paragraph">
              <wp:posOffset>433705</wp:posOffset>
            </wp:positionV>
            <wp:extent cx="925830" cy="26606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925830"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7620"/>
        <w:spacing w:after="0"/>
        <w:rPr>
          <w:sz w:val="20"/>
          <w:szCs w:val="20"/>
          <w:color w:val="auto"/>
        </w:rPr>
      </w:pPr>
      <w:r>
        <w:rPr>
          <w:rFonts w:ascii="Arial" w:cs="Arial" w:eastAsia="Arial" w:hAnsi="Arial"/>
          <w:sz w:val="13"/>
          <w:szCs w:val="13"/>
          <w:b w:val="1"/>
          <w:b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-2204085</wp:posOffset>
            </wp:positionH>
            <wp:positionV relativeFrom="paragraph">
              <wp:posOffset>272415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720" w:space="720"/>
            <w:col w:w="7780"/>
          </w:cols>
          <w:pgMar w:left="340" w:top="257" w:right="339" w:bottom="1440" w:gutter="0" w:footer="0" w:header="0"/>
        </w:sectPr>
      </w:pPr>
    </w:p>
    <w:bookmarkStart w:id="32" w:name="page33"/>
    <w:bookmarkEnd w:id="32"/>
    <w:p>
      <w:pPr>
        <w:spacing w:after="0"/>
        <w:rPr>
          <w:sz w:val="20"/>
          <w:szCs w:val="20"/>
          <w:color w:val="auto"/>
        </w:rPr>
      </w:pPr>
      <w:r>
        <w:rPr>
          <w:rFonts w:ascii="Arial" w:cs="Arial" w:eastAsia="Arial" w:hAnsi="Arial"/>
          <w:sz w:val="12"/>
          <w:szCs w:val="12"/>
          <w:color w:val="202945"/>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2053590</wp:posOffset>
            </wp:positionH>
            <wp:positionV relativeFrom="paragraph">
              <wp:posOffset>609600</wp:posOffset>
            </wp:positionV>
            <wp:extent cx="8890" cy="52031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890" cy="5203190"/>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 w:right="840"/>
        <w:spacing w:after="0" w:line="350" w:lineRule="auto"/>
        <w:rPr>
          <w:sz w:val="20"/>
          <w:szCs w:val="20"/>
          <w:color w:val="auto"/>
        </w:rPr>
      </w:pPr>
      <w:r>
        <w:rPr>
          <w:rFonts w:ascii="Arial" w:cs="Arial" w:eastAsia="Arial" w:hAnsi="Arial"/>
          <w:sz w:val="27"/>
          <w:szCs w:val="27"/>
          <w:b w:val="1"/>
          <w:bCs w:val="1"/>
          <w:color w:val="202945"/>
        </w:rPr>
        <w:t>Compensation Committee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97790</wp:posOffset>
            </wp:positionV>
            <wp:extent cx="659765" cy="65976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59765"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7F32"/>
        </w:rPr>
        <w:t>Michael K. Passilla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97790</wp:posOffset>
            </wp:positionV>
            <wp:extent cx="659765" cy="660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5976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7F32"/>
        </w:rPr>
        <w:t>Lisa P. Baird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97790</wp:posOffset>
            </wp:positionV>
            <wp:extent cx="659765" cy="65976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59765"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7F32"/>
        </w:rPr>
        <w:t>Douglas G. Bergeron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175260</wp:posOffset>
            </wp:positionV>
            <wp:extent cx="659765" cy="660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5976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7F32"/>
        </w:rPr>
        <w:t>Ian Harris</w:t>
      </w:r>
    </w:p>
    <w:p>
      <w:pPr>
        <w:spacing w:after="0" w:line="167" w:lineRule="exact"/>
        <w:rPr>
          <w:sz w:val="20"/>
          <w:szCs w:val="20"/>
          <w:color w:val="auto"/>
        </w:rPr>
      </w:pPr>
    </w:p>
    <w:p>
      <w:pPr>
        <w:ind w:left="20" w:right="320"/>
        <w:spacing w:after="0" w:line="356" w:lineRule="auto"/>
        <w:rPr>
          <w:sz w:val="20"/>
          <w:szCs w:val="20"/>
          <w:color w:val="auto"/>
        </w:rPr>
      </w:pPr>
      <w:r>
        <w:rPr>
          <w:rFonts w:ascii="Arial" w:cs="Arial" w:eastAsia="Arial" w:hAnsi="Arial"/>
          <w:sz w:val="16"/>
          <w:szCs w:val="16"/>
          <w:color w:val="auto"/>
        </w:rPr>
        <w:t>Number of meetings held in fiscal year 2025:</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202945"/>
        </w:rPr>
        <w:t>The Compensation Committee is responsible for:</w:t>
      </w:r>
    </w:p>
    <w:p>
      <w:pPr>
        <w:spacing w:after="0" w:line="176" w:lineRule="exact"/>
        <w:rPr>
          <w:sz w:val="20"/>
          <w:szCs w:val="20"/>
          <w:color w:val="auto"/>
        </w:rPr>
      </w:pPr>
    </w:p>
    <w:p>
      <w:pPr>
        <w:ind w:left="200" w:right="440" w:hanging="199"/>
        <w:spacing w:after="0" w:line="356" w:lineRule="auto"/>
        <w:tabs>
          <w:tab w:leader="none" w:pos="184" w:val="left"/>
        </w:tabs>
        <w:numPr>
          <w:ilvl w:val="0"/>
          <w:numId w:val="40"/>
        </w:numPr>
        <w:rPr>
          <w:rFonts w:ascii="Arial" w:cs="Arial" w:eastAsia="Arial" w:hAnsi="Arial"/>
          <w:sz w:val="16"/>
          <w:szCs w:val="16"/>
          <w:b w:val="1"/>
          <w:bCs w:val="1"/>
          <w:color w:val="FF7F32"/>
        </w:rPr>
      </w:pPr>
      <w:r>
        <w:rPr>
          <w:rFonts w:ascii="Arial" w:cs="Arial" w:eastAsia="Arial" w:hAnsi="Arial"/>
          <w:sz w:val="16"/>
          <w:szCs w:val="16"/>
          <w:color w:val="auto"/>
        </w:rPr>
        <w:t>reviewing and recommending compensation and compensation plans, policies and programs for the directors and executive officers of the Company</w:t>
      </w:r>
    </w:p>
    <w:p>
      <w:pPr>
        <w:spacing w:after="0" w:line="21" w:lineRule="exact"/>
        <w:rPr>
          <w:rFonts w:ascii="Arial" w:cs="Arial" w:eastAsia="Arial" w:hAnsi="Arial"/>
          <w:sz w:val="16"/>
          <w:szCs w:val="16"/>
          <w:b w:val="1"/>
          <w:bCs w:val="1"/>
          <w:color w:val="FF7F32"/>
        </w:rPr>
      </w:pPr>
    </w:p>
    <w:p>
      <w:pPr>
        <w:ind w:left="180" w:hanging="179"/>
        <w:spacing w:after="0"/>
        <w:tabs>
          <w:tab w:leader="none" w:pos="180" w:val="left"/>
        </w:tabs>
        <w:numPr>
          <w:ilvl w:val="0"/>
          <w:numId w:val="40"/>
        </w:numPr>
        <w:rPr>
          <w:rFonts w:ascii="Arial" w:cs="Arial" w:eastAsia="Arial" w:hAnsi="Arial"/>
          <w:sz w:val="16"/>
          <w:szCs w:val="16"/>
          <w:b w:val="1"/>
          <w:bCs w:val="1"/>
          <w:color w:val="FF7F32"/>
        </w:rPr>
      </w:pPr>
      <w:r>
        <w:rPr>
          <w:rFonts w:ascii="Arial" w:cs="Arial" w:eastAsia="Arial" w:hAnsi="Arial"/>
          <w:sz w:val="16"/>
          <w:szCs w:val="16"/>
          <w:color w:val="auto"/>
        </w:rPr>
        <w:t>administering the Company’s incentive compensation and equity-based plans</w:t>
      </w:r>
    </w:p>
    <w:p>
      <w:pPr>
        <w:spacing w:after="0" w:line="167" w:lineRule="exact"/>
        <w:rPr>
          <w:rFonts w:ascii="Arial" w:cs="Arial" w:eastAsia="Arial" w:hAnsi="Arial"/>
          <w:sz w:val="16"/>
          <w:szCs w:val="16"/>
          <w:b w:val="1"/>
          <w:bCs w:val="1"/>
          <w:color w:val="FF7F32"/>
        </w:rPr>
      </w:pPr>
    </w:p>
    <w:p>
      <w:pPr>
        <w:ind w:left="200" w:right="80" w:hanging="199"/>
        <w:spacing w:after="0" w:line="356" w:lineRule="auto"/>
        <w:tabs>
          <w:tab w:leader="none" w:pos="184" w:val="left"/>
        </w:tabs>
        <w:numPr>
          <w:ilvl w:val="0"/>
          <w:numId w:val="40"/>
        </w:numPr>
        <w:rPr>
          <w:rFonts w:ascii="Arial" w:cs="Arial" w:eastAsia="Arial" w:hAnsi="Arial"/>
          <w:sz w:val="16"/>
          <w:szCs w:val="16"/>
          <w:b w:val="1"/>
          <w:bCs w:val="1"/>
          <w:color w:val="FF7F32"/>
        </w:rPr>
      </w:pPr>
      <w:r>
        <w:rPr>
          <w:rFonts w:ascii="Arial" w:cs="Arial" w:eastAsia="Arial" w:hAnsi="Arial"/>
          <w:sz w:val="16"/>
          <w:szCs w:val="16"/>
          <w:color w:val="auto"/>
        </w:rPr>
        <w:t>annually reviewing and recommending for approval by the Board corporate goals and objectives relevant to the Chief Executive Officer and other executive officers’ compensation</w:t>
      </w:r>
    </w:p>
    <w:p>
      <w:pPr>
        <w:spacing w:after="0" w:line="7" w:lineRule="exact"/>
        <w:rPr>
          <w:rFonts w:ascii="Arial" w:cs="Arial" w:eastAsia="Arial" w:hAnsi="Arial"/>
          <w:sz w:val="16"/>
          <w:szCs w:val="16"/>
          <w:b w:val="1"/>
          <w:bCs w:val="1"/>
          <w:color w:val="FF7F32"/>
        </w:rPr>
      </w:pPr>
    </w:p>
    <w:p>
      <w:pPr>
        <w:ind w:left="200" w:right="300" w:hanging="199"/>
        <w:spacing w:after="0" w:line="356" w:lineRule="auto"/>
        <w:tabs>
          <w:tab w:leader="none" w:pos="184" w:val="left"/>
        </w:tabs>
        <w:numPr>
          <w:ilvl w:val="0"/>
          <w:numId w:val="40"/>
        </w:numPr>
        <w:rPr>
          <w:rFonts w:ascii="Arial" w:cs="Arial" w:eastAsia="Arial" w:hAnsi="Arial"/>
          <w:sz w:val="16"/>
          <w:szCs w:val="16"/>
          <w:b w:val="1"/>
          <w:bCs w:val="1"/>
          <w:color w:val="FF7F32"/>
        </w:rPr>
      </w:pPr>
      <w:r>
        <w:rPr>
          <w:rFonts w:ascii="Arial" w:cs="Arial" w:eastAsia="Arial" w:hAnsi="Arial"/>
          <w:sz w:val="16"/>
          <w:szCs w:val="16"/>
          <w:color w:val="auto"/>
        </w:rPr>
        <w:t>evaluating the Chief Executive Officer and other executive officers’ performance in light of those goals and objectives</w:t>
      </w:r>
    </w:p>
    <w:p>
      <w:pPr>
        <w:spacing w:after="0" w:line="21" w:lineRule="exact"/>
        <w:rPr>
          <w:rFonts w:ascii="Arial" w:cs="Arial" w:eastAsia="Arial" w:hAnsi="Arial"/>
          <w:sz w:val="16"/>
          <w:szCs w:val="16"/>
          <w:b w:val="1"/>
          <w:bCs w:val="1"/>
          <w:color w:val="FF7F32"/>
        </w:rPr>
      </w:pPr>
    </w:p>
    <w:p>
      <w:pPr>
        <w:ind w:left="200" w:right="540" w:hanging="199"/>
        <w:spacing w:after="0" w:line="356" w:lineRule="auto"/>
        <w:tabs>
          <w:tab w:leader="none" w:pos="184" w:val="left"/>
        </w:tabs>
        <w:numPr>
          <w:ilvl w:val="0"/>
          <w:numId w:val="40"/>
        </w:numPr>
        <w:rPr>
          <w:rFonts w:ascii="Arial" w:cs="Arial" w:eastAsia="Arial" w:hAnsi="Arial"/>
          <w:sz w:val="16"/>
          <w:szCs w:val="16"/>
          <w:b w:val="1"/>
          <w:bCs w:val="1"/>
          <w:color w:val="FF7F32"/>
        </w:rPr>
      </w:pPr>
      <w:r>
        <w:rPr>
          <w:rFonts w:ascii="Arial" w:cs="Arial" w:eastAsia="Arial" w:hAnsi="Arial"/>
          <w:sz w:val="16"/>
          <w:szCs w:val="16"/>
          <w:color w:val="auto"/>
        </w:rPr>
        <w:t>recommending for approval to the Board the Chief Executive Officer’s and other executive officers’ compensation levels based upon this evaluation</w:t>
      </w:r>
    </w:p>
    <w:p>
      <w:pPr>
        <w:spacing w:after="0" w:line="7" w:lineRule="exact"/>
        <w:rPr>
          <w:rFonts w:ascii="Arial" w:cs="Arial" w:eastAsia="Arial" w:hAnsi="Arial"/>
          <w:sz w:val="16"/>
          <w:szCs w:val="16"/>
          <w:b w:val="1"/>
          <w:bCs w:val="1"/>
          <w:color w:val="FF7F32"/>
        </w:rPr>
      </w:pPr>
    </w:p>
    <w:p>
      <w:pPr>
        <w:ind w:left="200" w:right="120" w:hanging="199"/>
        <w:spacing w:after="0" w:line="356" w:lineRule="auto"/>
        <w:tabs>
          <w:tab w:leader="none" w:pos="184" w:val="left"/>
        </w:tabs>
        <w:numPr>
          <w:ilvl w:val="0"/>
          <w:numId w:val="40"/>
        </w:numPr>
        <w:rPr>
          <w:rFonts w:ascii="Arial" w:cs="Arial" w:eastAsia="Arial" w:hAnsi="Arial"/>
          <w:sz w:val="16"/>
          <w:szCs w:val="16"/>
          <w:b w:val="1"/>
          <w:bCs w:val="1"/>
          <w:color w:val="FF7F32"/>
        </w:rPr>
      </w:pPr>
      <w:r>
        <w:rPr>
          <w:rFonts w:ascii="Arial" w:cs="Arial" w:eastAsia="Arial" w:hAnsi="Arial"/>
          <w:sz w:val="16"/>
          <w:szCs w:val="16"/>
          <w:color w:val="auto"/>
        </w:rPr>
        <w:t>having the authority to retain or obtain the advice of a compensation consultant or other advisor, and to be directly responsible for the appointment, compensation and oversight of the work of any such advisor</w:t>
      </w:r>
    </w:p>
    <w:p>
      <w:pPr>
        <w:spacing w:after="0" w:line="61" w:lineRule="exact"/>
        <w:rPr>
          <w:rFonts w:ascii="Arial" w:cs="Arial" w:eastAsia="Arial" w:hAnsi="Arial"/>
          <w:sz w:val="16"/>
          <w:szCs w:val="16"/>
          <w:b w:val="1"/>
          <w:bCs w:val="1"/>
          <w:color w:val="FF7F32"/>
        </w:rPr>
      </w:pPr>
    </w:p>
    <w:p>
      <w:pPr>
        <w:ind w:left="200" w:right="20" w:hanging="199"/>
        <w:spacing w:after="0" w:line="356" w:lineRule="auto"/>
        <w:tabs>
          <w:tab w:leader="none" w:pos="184" w:val="left"/>
        </w:tabs>
        <w:numPr>
          <w:ilvl w:val="0"/>
          <w:numId w:val="40"/>
        </w:numPr>
        <w:rPr>
          <w:rFonts w:ascii="Arial" w:cs="Arial" w:eastAsia="Arial" w:hAnsi="Arial"/>
          <w:sz w:val="16"/>
          <w:szCs w:val="16"/>
          <w:b w:val="1"/>
          <w:bCs w:val="1"/>
          <w:color w:val="FF7F32"/>
        </w:rPr>
      </w:pPr>
      <w:r>
        <w:rPr>
          <w:rFonts w:ascii="Arial" w:cs="Arial" w:eastAsia="Arial" w:hAnsi="Arial"/>
          <w:sz w:val="16"/>
          <w:szCs w:val="16"/>
          <w:color w:val="auto"/>
        </w:rPr>
        <w:t>produce the Compensation Committee Report for inclusion in the Company’s proxy statement and annual report</w:t>
      </w:r>
    </w:p>
    <w:p>
      <w:pPr>
        <w:spacing w:after="0" w:line="48" w:lineRule="exact"/>
        <w:rPr>
          <w:sz w:val="20"/>
          <w:szCs w:val="20"/>
          <w:color w:val="auto"/>
        </w:rPr>
      </w:pPr>
    </w:p>
    <w:p>
      <w:pPr>
        <w:ind w:right="120"/>
        <w:spacing w:after="0" w:line="356" w:lineRule="auto"/>
        <w:rPr>
          <w:sz w:val="20"/>
          <w:szCs w:val="20"/>
          <w:color w:val="auto"/>
        </w:rPr>
      </w:pPr>
      <w:r>
        <w:rPr>
          <w:rFonts w:ascii="Arial" w:cs="Arial" w:eastAsia="Arial" w:hAnsi="Arial"/>
          <w:sz w:val="16"/>
          <w:szCs w:val="16"/>
          <w:color w:val="auto"/>
        </w:rPr>
        <w:t xml:space="preserve">The Compensation Committee operates pursuant to a charter that was most recently amended on October 21, 2024, a copy of which is accessible on the Company’s website, </w:t>
      </w:r>
      <w:r>
        <w:rPr>
          <w:rFonts w:ascii="Arial" w:cs="Arial" w:eastAsia="Arial" w:hAnsi="Arial"/>
          <w:sz w:val="16"/>
          <w:szCs w:val="16"/>
          <w:i w:val="1"/>
          <w:iCs w:val="1"/>
          <w:color w:val="auto"/>
        </w:rPr>
        <w:t>www.cantaloupe.com.</w:t>
      </w:r>
    </w:p>
    <w:p>
      <w:pPr>
        <w:spacing w:after="0" w:line="3510" w:lineRule="exact"/>
        <w:rPr>
          <w:sz w:val="20"/>
          <w:szCs w:val="20"/>
          <w:color w:val="auto"/>
        </w:rPr>
      </w:pPr>
    </w:p>
    <w:p>
      <w:pPr>
        <w:sectPr>
          <w:pgSz w:w="11900" w:h="16838" w:orient="portrait"/>
          <w:cols w:equalWidth="0" w:num="2">
            <w:col w:w="2740" w:space="720"/>
            <w:col w:w="7760"/>
          </w:cols>
          <w:pgMar w:left="320" w:top="256" w:right="359" w:bottom="1440" w:gutter="0" w:footer="0" w:header="0"/>
          <w:type w:val="continuous"/>
        </w:sectPr>
      </w:pPr>
    </w:p>
    <w:p>
      <w:pPr>
        <w:spacing w:after="0" w:line="258" w:lineRule="exact"/>
        <w:rPr>
          <w:sz w:val="20"/>
          <w:szCs w:val="20"/>
          <w:color w:val="auto"/>
        </w:rPr>
      </w:pPr>
    </w:p>
    <w:p>
      <w:pPr>
        <w:spacing w:after="0"/>
        <w:rPr>
          <w:sz w:val="20"/>
          <w:szCs w:val="20"/>
          <w:color w:val="auto"/>
        </w:rPr>
      </w:pPr>
      <w:r>
        <w:rPr>
          <w:rFonts w:ascii="Arial" w:cs="Arial" w:eastAsia="Arial" w:hAnsi="Arial"/>
          <w:sz w:val="29"/>
          <w:szCs w:val="29"/>
          <w:b w:val="1"/>
          <w:bCs w:val="1"/>
          <w:color w:val="FF7F32"/>
        </w:rPr>
        <w:t>Compensation Committee Interlocks and Insider Participation</w:t>
      </w:r>
    </w:p>
    <w:p>
      <w:pPr>
        <w:spacing w:after="0" w:line="267" w:lineRule="exact"/>
        <w:rPr>
          <w:sz w:val="20"/>
          <w:szCs w:val="20"/>
          <w:color w:val="auto"/>
        </w:rPr>
      </w:pPr>
    </w:p>
    <w:p>
      <w:pPr>
        <w:ind w:right="140"/>
        <w:spacing w:after="0" w:line="336" w:lineRule="auto"/>
        <w:rPr>
          <w:sz w:val="20"/>
          <w:szCs w:val="20"/>
          <w:color w:val="auto"/>
        </w:rPr>
      </w:pPr>
      <w:r>
        <w:rPr>
          <w:rFonts w:ascii="Arial" w:cs="Arial" w:eastAsia="Arial" w:hAnsi="Arial"/>
          <w:sz w:val="16"/>
          <w:szCs w:val="16"/>
          <w:color w:val="auto"/>
        </w:rPr>
        <w:t>No member of the Compensation Committee was, during fiscal 2025, an officer or employee of the Company or any of our subsidiaries, or was formerly an officer of the Company or any of our subsidiaries, or, except as described herein, had any relationships requiring disclosure by us under Item 404 of Regulation S-K of the General Rules and Regulations of the Securities and Exchange Commission (“Item 404”).</w:t>
      </w:r>
    </w:p>
    <w:p>
      <w:pPr>
        <w:spacing w:after="0" w:line="64" w:lineRule="exact"/>
        <w:rPr>
          <w:sz w:val="20"/>
          <w:szCs w:val="20"/>
          <w:color w:val="auto"/>
        </w:rPr>
      </w:pPr>
    </w:p>
    <w:p>
      <w:pPr>
        <w:ind w:right="180"/>
        <w:spacing w:after="0" w:line="331" w:lineRule="auto"/>
        <w:rPr>
          <w:sz w:val="20"/>
          <w:szCs w:val="20"/>
          <w:color w:val="auto"/>
        </w:rPr>
      </w:pPr>
      <w:r>
        <w:rPr>
          <w:rFonts w:ascii="Arial" w:cs="Arial" w:eastAsia="Arial" w:hAnsi="Arial"/>
          <w:sz w:val="16"/>
          <w:szCs w:val="16"/>
          <w:color w:val="auto"/>
        </w:rPr>
        <w:t>During fiscal 2025, none of our executive officers served as: (i) a member of the compensation committee (or other committee of the Board of Directors performing equivalent functions or, in the absence of any such committee, the entire Board of Directors) of another entity, one of whose executive officers served on our Compensation Committee; (ii) a director of another entity, one of whose executive officers served on our Compensation Committee; or (iii) a member of the compensation committee (or other committee of the Board of Directors performing equivalent functions or, in the absence of any such committee, the entire Board of Directors) of another entity, one of whose executive officers served as a director on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146050</wp:posOffset>
            </wp:positionV>
            <wp:extent cx="925830" cy="26543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925830" cy="265430"/>
                    </a:xfrm>
                    <a:prstGeom prst="rect">
                      <a:avLst/>
                    </a:prstGeom>
                    <a:noFill/>
                  </pic:spPr>
                </pic:pic>
              </a:graphicData>
            </a:graphic>
          </wp:anchor>
        </w:drawing>
      </w:r>
    </w:p>
    <w:p>
      <w:pPr>
        <w:spacing w:after="0" w:line="368"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auto"/>
        </w:rPr>
        <w:t>30</w:t>
      </w:r>
      <w:r>
        <w:rPr>
          <w:sz w:val="20"/>
          <w:szCs w:val="20"/>
          <w:color w:val="auto"/>
        </w:rPr>
        <w:tab/>
      </w:r>
      <w:r>
        <w:rPr>
          <w:rFonts w:ascii="Arial" w:cs="Arial" w:eastAsia="Arial" w:hAnsi="Arial"/>
          <w:sz w:val="12"/>
          <w:szCs w:val="12"/>
          <w:b w:val="1"/>
          <w:bCs w:val="1"/>
          <w:color w:val="FF7F32"/>
        </w:rPr>
        <w:t xml:space="preserve">2026 </w:t>
      </w:r>
      <w:r>
        <w:rPr>
          <w:rFonts w:ascii="Arial" w:cs="Arial" w:eastAsia="Arial" w:hAnsi="Arial"/>
          <w:sz w:val="12"/>
          <w:szCs w:val="12"/>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271145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type w:val="continuous"/>
        </w:sectPr>
      </w:pPr>
    </w:p>
    <w:bookmarkStart w:id="33" w:name="page34"/>
    <w:bookmarkEnd w:id="33"/>
    <w:p>
      <w:pPr>
        <w:ind w:left="9960"/>
        <w:spacing w:after="0"/>
        <w:rPr>
          <w:sz w:val="20"/>
          <w:szCs w:val="20"/>
          <w:color w:val="auto"/>
        </w:rPr>
      </w:pPr>
      <w:r>
        <w:rPr>
          <w:rFonts w:ascii="Arial" w:cs="Arial" w:eastAsia="Arial" w:hAnsi="Arial"/>
          <w:sz w:val="12"/>
          <w:szCs w:val="12"/>
          <w:color w:val="202945"/>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2053590</wp:posOffset>
            </wp:positionH>
            <wp:positionV relativeFrom="paragraph">
              <wp:posOffset>832485</wp:posOffset>
            </wp:positionV>
            <wp:extent cx="8890" cy="444881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890" cy="4448810"/>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line="336" w:lineRule="auto"/>
        <w:rPr>
          <w:sz w:val="20"/>
          <w:szCs w:val="20"/>
          <w:color w:val="auto"/>
        </w:rPr>
      </w:pPr>
      <w:r>
        <w:rPr>
          <w:rFonts w:ascii="Arial" w:cs="Arial" w:eastAsia="Arial" w:hAnsi="Arial"/>
          <w:sz w:val="27"/>
          <w:szCs w:val="27"/>
          <w:b w:val="1"/>
          <w:bCs w:val="1"/>
          <w:color w:val="202945"/>
        </w:rPr>
        <w:t>Nominating and Corporate Governance Committee</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106680</wp:posOffset>
            </wp:positionV>
            <wp:extent cx="659765" cy="65976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59765"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7F32"/>
        </w:rPr>
        <w:t>Anne M. Smalling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97790</wp:posOffset>
            </wp:positionV>
            <wp:extent cx="659765" cy="65976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59765"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7F32"/>
        </w:rPr>
        <w:t>Lisa P. Baird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89535</wp:posOffset>
            </wp:positionV>
            <wp:extent cx="659765" cy="660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5976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7F32"/>
        </w:rPr>
        <w:t>Jacob Lamm</w:t>
      </w:r>
    </w:p>
    <w:p>
      <w:pPr>
        <w:spacing w:after="0" w:line="167" w:lineRule="exact"/>
        <w:rPr>
          <w:sz w:val="20"/>
          <w:szCs w:val="20"/>
          <w:color w:val="auto"/>
        </w:rPr>
      </w:pPr>
    </w:p>
    <w:p>
      <w:pPr>
        <w:ind w:left="20" w:right="540"/>
        <w:spacing w:after="0" w:line="356" w:lineRule="auto"/>
        <w:rPr>
          <w:sz w:val="20"/>
          <w:szCs w:val="20"/>
          <w:color w:val="auto"/>
        </w:rPr>
      </w:pPr>
      <w:r>
        <w:rPr>
          <w:rFonts w:ascii="Arial" w:cs="Arial" w:eastAsia="Arial" w:hAnsi="Arial"/>
          <w:sz w:val="16"/>
          <w:szCs w:val="16"/>
          <w:color w:val="auto"/>
        </w:rPr>
        <w:t>Number of meetings held in fiscal year 2025:</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202945"/>
        </w:rPr>
        <w:t>The Nominating and Corporate Governance Committee is responsible for:</w:t>
      </w:r>
    </w:p>
    <w:p>
      <w:pPr>
        <w:spacing w:after="0" w:line="176" w:lineRule="exact"/>
        <w:rPr>
          <w:sz w:val="20"/>
          <w:szCs w:val="20"/>
          <w:color w:val="auto"/>
        </w:rPr>
      </w:pPr>
    </w:p>
    <w:p>
      <w:pPr>
        <w:ind w:left="200" w:right="60" w:hanging="199"/>
        <w:spacing w:after="0" w:line="326" w:lineRule="auto"/>
        <w:tabs>
          <w:tab w:leader="none" w:pos="184" w:val="left"/>
        </w:tabs>
        <w:numPr>
          <w:ilvl w:val="0"/>
          <w:numId w:val="41"/>
        </w:numPr>
        <w:rPr>
          <w:rFonts w:ascii="Arial" w:cs="Arial" w:eastAsia="Arial" w:hAnsi="Arial"/>
          <w:sz w:val="16"/>
          <w:szCs w:val="16"/>
          <w:b w:val="1"/>
          <w:bCs w:val="1"/>
          <w:color w:val="FF7F32"/>
        </w:rPr>
      </w:pPr>
      <w:r>
        <w:rPr>
          <w:rFonts w:ascii="Arial" w:cs="Arial" w:eastAsia="Arial" w:hAnsi="Arial"/>
          <w:sz w:val="16"/>
          <w:szCs w:val="16"/>
          <w:color w:val="auto"/>
        </w:rPr>
        <w:t>reviewing corporate governance policies and systems against applicable laws, regulations, and industry specific standards and practices, if any, including any securities regulatory authority or Nasdaq guidelines applicable to the Company and recommending any changes to the Board. Such review includes reviewing and recommending to the Board for approval any changes to the documents, policies and procedures in the Company’s governing documents, including its articles of incorporation and bylaws</w:t>
      </w:r>
    </w:p>
    <w:p>
      <w:pPr>
        <w:spacing w:after="0" w:line="46" w:lineRule="exact"/>
        <w:rPr>
          <w:rFonts w:ascii="Arial" w:cs="Arial" w:eastAsia="Arial" w:hAnsi="Arial"/>
          <w:sz w:val="16"/>
          <w:szCs w:val="16"/>
          <w:b w:val="1"/>
          <w:bCs w:val="1"/>
          <w:color w:val="FF7F32"/>
        </w:rPr>
      </w:pPr>
    </w:p>
    <w:p>
      <w:pPr>
        <w:ind w:left="200" w:right="700" w:hanging="199"/>
        <w:spacing w:after="0" w:line="356" w:lineRule="auto"/>
        <w:tabs>
          <w:tab w:leader="none" w:pos="184" w:val="left"/>
        </w:tabs>
        <w:numPr>
          <w:ilvl w:val="0"/>
          <w:numId w:val="41"/>
        </w:numPr>
        <w:rPr>
          <w:rFonts w:ascii="Arial" w:cs="Arial" w:eastAsia="Arial" w:hAnsi="Arial"/>
          <w:sz w:val="16"/>
          <w:szCs w:val="16"/>
          <w:b w:val="1"/>
          <w:bCs w:val="1"/>
          <w:color w:val="FF7F32"/>
        </w:rPr>
      </w:pPr>
      <w:r>
        <w:rPr>
          <w:rFonts w:ascii="Arial" w:cs="Arial" w:eastAsia="Arial" w:hAnsi="Arial"/>
          <w:sz w:val="16"/>
          <w:szCs w:val="16"/>
          <w:color w:val="auto"/>
        </w:rPr>
        <w:t>identifying best practices and developing and recommending to the Board corporate governance principles</w:t>
      </w:r>
    </w:p>
    <w:p>
      <w:pPr>
        <w:spacing w:after="0" w:line="7" w:lineRule="exact"/>
        <w:rPr>
          <w:rFonts w:ascii="Arial" w:cs="Arial" w:eastAsia="Arial" w:hAnsi="Arial"/>
          <w:sz w:val="16"/>
          <w:szCs w:val="16"/>
          <w:b w:val="1"/>
          <w:bCs w:val="1"/>
          <w:color w:val="FF7F32"/>
        </w:rPr>
      </w:pPr>
    </w:p>
    <w:p>
      <w:pPr>
        <w:jc w:val="both"/>
        <w:ind w:left="200" w:right="100" w:hanging="199"/>
        <w:spacing w:after="0" w:line="345" w:lineRule="auto"/>
        <w:tabs>
          <w:tab w:leader="none" w:pos="184" w:val="left"/>
        </w:tabs>
        <w:numPr>
          <w:ilvl w:val="0"/>
          <w:numId w:val="41"/>
        </w:numPr>
        <w:rPr>
          <w:rFonts w:ascii="Arial" w:cs="Arial" w:eastAsia="Arial" w:hAnsi="Arial"/>
          <w:sz w:val="16"/>
          <w:szCs w:val="16"/>
          <w:b w:val="1"/>
          <w:bCs w:val="1"/>
          <w:color w:val="FF7F32"/>
        </w:rPr>
      </w:pPr>
      <w:r>
        <w:rPr>
          <w:rFonts w:ascii="Arial" w:cs="Arial" w:eastAsia="Arial" w:hAnsi="Arial"/>
          <w:sz w:val="16"/>
          <w:szCs w:val="16"/>
          <w:color w:val="auto"/>
        </w:rPr>
        <w:t>overseeing, periodically reviewing and reporting to the Board on the Company’s policies, practices, goals and programs relating to environmental, sustainability, corporate social responsibility, health, safety, and corporate governance matters (collectively, “ESG”)</w:t>
      </w:r>
    </w:p>
    <w:p>
      <w:pPr>
        <w:spacing w:after="0" w:line="16" w:lineRule="exact"/>
        <w:rPr>
          <w:rFonts w:ascii="Arial" w:cs="Arial" w:eastAsia="Arial" w:hAnsi="Arial"/>
          <w:sz w:val="16"/>
          <w:szCs w:val="16"/>
          <w:b w:val="1"/>
          <w:bCs w:val="1"/>
          <w:color w:val="FF7F32"/>
        </w:rPr>
      </w:pPr>
    </w:p>
    <w:p>
      <w:pPr>
        <w:ind w:left="200" w:right="220" w:hanging="199"/>
        <w:spacing w:after="0" w:line="356" w:lineRule="auto"/>
        <w:tabs>
          <w:tab w:leader="none" w:pos="184" w:val="left"/>
        </w:tabs>
        <w:numPr>
          <w:ilvl w:val="0"/>
          <w:numId w:val="41"/>
        </w:numPr>
        <w:rPr>
          <w:rFonts w:ascii="Arial" w:cs="Arial" w:eastAsia="Arial" w:hAnsi="Arial"/>
          <w:sz w:val="16"/>
          <w:szCs w:val="16"/>
          <w:b w:val="1"/>
          <w:bCs w:val="1"/>
          <w:color w:val="FF7F32"/>
        </w:rPr>
      </w:pPr>
      <w:r>
        <w:rPr>
          <w:rFonts w:ascii="Arial" w:cs="Arial" w:eastAsia="Arial" w:hAnsi="Arial"/>
          <w:sz w:val="16"/>
          <w:szCs w:val="16"/>
          <w:color w:val="auto"/>
        </w:rPr>
        <w:t>in consultation with management, annually reviewing the directors’ and officers’ liability policy, including its coverage and terms</w:t>
      </w:r>
    </w:p>
    <w:p>
      <w:pPr>
        <w:spacing w:after="0" w:line="21" w:lineRule="exact"/>
        <w:rPr>
          <w:rFonts w:ascii="Arial" w:cs="Arial" w:eastAsia="Arial" w:hAnsi="Arial"/>
          <w:sz w:val="16"/>
          <w:szCs w:val="16"/>
          <w:b w:val="1"/>
          <w:bCs w:val="1"/>
          <w:color w:val="FF7F32"/>
        </w:rPr>
      </w:pPr>
    </w:p>
    <w:p>
      <w:pPr>
        <w:ind w:left="200" w:right="60" w:hanging="199"/>
        <w:spacing w:after="0" w:line="336" w:lineRule="auto"/>
        <w:tabs>
          <w:tab w:leader="none" w:pos="184" w:val="left"/>
        </w:tabs>
        <w:numPr>
          <w:ilvl w:val="0"/>
          <w:numId w:val="41"/>
        </w:numPr>
        <w:rPr>
          <w:rFonts w:ascii="Arial" w:cs="Arial" w:eastAsia="Arial" w:hAnsi="Arial"/>
          <w:sz w:val="16"/>
          <w:szCs w:val="16"/>
          <w:b w:val="1"/>
          <w:bCs w:val="1"/>
          <w:color w:val="FF7F32"/>
        </w:rPr>
      </w:pPr>
      <w:r>
        <w:rPr>
          <w:rFonts w:ascii="Arial" w:cs="Arial" w:eastAsia="Arial" w:hAnsi="Arial"/>
          <w:sz w:val="16"/>
          <w:szCs w:val="16"/>
          <w:color w:val="auto"/>
        </w:rPr>
        <w:t>providing to the Board the Nominating and Corporate Governance Committee’s assessment of which directors should be deemed independent directors under applicable rules and regulations of the SEC and Nasdaq</w:t>
      </w:r>
    </w:p>
    <w:p>
      <w:pPr>
        <w:spacing w:after="0" w:line="23" w:lineRule="exact"/>
        <w:rPr>
          <w:rFonts w:ascii="Arial" w:cs="Arial" w:eastAsia="Arial" w:hAnsi="Arial"/>
          <w:sz w:val="16"/>
          <w:szCs w:val="16"/>
          <w:b w:val="1"/>
          <w:bCs w:val="1"/>
          <w:color w:val="FF7F32"/>
        </w:rPr>
      </w:pPr>
    </w:p>
    <w:p>
      <w:pPr>
        <w:ind w:left="200" w:right="460" w:hanging="199"/>
        <w:spacing w:after="0" w:line="356" w:lineRule="auto"/>
        <w:tabs>
          <w:tab w:leader="none" w:pos="184" w:val="left"/>
        </w:tabs>
        <w:numPr>
          <w:ilvl w:val="0"/>
          <w:numId w:val="41"/>
        </w:numPr>
        <w:rPr>
          <w:rFonts w:ascii="Arial" w:cs="Arial" w:eastAsia="Arial" w:hAnsi="Arial"/>
          <w:sz w:val="16"/>
          <w:szCs w:val="16"/>
          <w:b w:val="1"/>
          <w:bCs w:val="1"/>
          <w:color w:val="FF7F32"/>
        </w:rPr>
      </w:pPr>
      <w:r>
        <w:rPr>
          <w:rFonts w:ascii="Arial" w:cs="Arial" w:eastAsia="Arial" w:hAnsi="Arial"/>
          <w:sz w:val="16"/>
          <w:szCs w:val="16"/>
          <w:color w:val="auto"/>
        </w:rPr>
        <w:t>establishing procedures for, conducting and administering an annual performance and effectiveness evaluation of the Board and reporting annually to the Board the results of its assessment</w:t>
      </w:r>
    </w:p>
    <w:p>
      <w:pPr>
        <w:spacing w:after="0" w:line="21" w:lineRule="exact"/>
        <w:rPr>
          <w:rFonts w:ascii="Arial" w:cs="Arial" w:eastAsia="Arial" w:hAnsi="Arial"/>
          <w:sz w:val="16"/>
          <w:szCs w:val="16"/>
          <w:b w:val="1"/>
          <w:bCs w:val="1"/>
          <w:color w:val="FF7F32"/>
        </w:rPr>
      </w:pPr>
    </w:p>
    <w:p>
      <w:pPr>
        <w:ind w:left="200" w:right="400" w:hanging="199"/>
        <w:spacing w:after="0" w:line="356" w:lineRule="auto"/>
        <w:tabs>
          <w:tab w:leader="none" w:pos="184" w:val="left"/>
        </w:tabs>
        <w:numPr>
          <w:ilvl w:val="0"/>
          <w:numId w:val="41"/>
        </w:numPr>
        <w:rPr>
          <w:rFonts w:ascii="Arial" w:cs="Arial" w:eastAsia="Arial" w:hAnsi="Arial"/>
          <w:sz w:val="16"/>
          <w:szCs w:val="16"/>
          <w:b w:val="1"/>
          <w:bCs w:val="1"/>
          <w:color w:val="FF7F32"/>
        </w:rPr>
      </w:pPr>
      <w:r>
        <w:rPr>
          <w:rFonts w:ascii="Arial" w:cs="Arial" w:eastAsia="Arial" w:hAnsi="Arial"/>
          <w:sz w:val="16"/>
          <w:szCs w:val="16"/>
          <w:color w:val="auto"/>
        </w:rPr>
        <w:t>on an annual basis, recommend the director to serve as the Non-Executive Chair to the full board for approval</w:t>
      </w:r>
    </w:p>
    <w:p>
      <w:pPr>
        <w:spacing w:after="0" w:line="48" w:lineRule="exact"/>
        <w:rPr>
          <w:rFonts w:ascii="Arial" w:cs="Arial" w:eastAsia="Arial" w:hAnsi="Arial"/>
          <w:sz w:val="16"/>
          <w:szCs w:val="16"/>
          <w:b w:val="1"/>
          <w:bCs w:val="1"/>
          <w:color w:val="FF7F32"/>
        </w:rPr>
      </w:pPr>
    </w:p>
    <w:p>
      <w:pPr>
        <w:ind w:left="200" w:right="300" w:hanging="199"/>
        <w:spacing w:after="0" w:line="336" w:lineRule="auto"/>
        <w:tabs>
          <w:tab w:leader="none" w:pos="184" w:val="left"/>
        </w:tabs>
        <w:numPr>
          <w:ilvl w:val="0"/>
          <w:numId w:val="41"/>
        </w:numPr>
        <w:rPr>
          <w:rFonts w:ascii="Arial" w:cs="Arial" w:eastAsia="Arial" w:hAnsi="Arial"/>
          <w:sz w:val="16"/>
          <w:szCs w:val="16"/>
          <w:b w:val="1"/>
          <w:bCs w:val="1"/>
          <w:color w:val="FF7F32"/>
        </w:rPr>
      </w:pPr>
      <w:r>
        <w:rPr>
          <w:rFonts w:ascii="Arial" w:cs="Arial" w:eastAsia="Arial" w:hAnsi="Arial"/>
          <w:sz w:val="16"/>
          <w:szCs w:val="16"/>
          <w:color w:val="auto"/>
        </w:rPr>
        <w:t>in consultation with the Chair, making recommendations to the Board regarding the composition of the Board Committees, annually reviewing the composition of each Committee and presenting recommendations for Committee memberships to the Board, as needed</w:t>
      </w:r>
    </w:p>
    <w:p>
      <w:pPr>
        <w:spacing w:after="0" w:line="64" w:lineRule="exact"/>
        <w:rPr>
          <w:sz w:val="20"/>
          <w:szCs w:val="20"/>
          <w:color w:val="auto"/>
        </w:rPr>
      </w:pPr>
    </w:p>
    <w:p>
      <w:pPr>
        <w:ind w:right="140"/>
        <w:spacing w:after="0" w:line="356" w:lineRule="auto"/>
        <w:rPr>
          <w:sz w:val="20"/>
          <w:szCs w:val="20"/>
          <w:color w:val="auto"/>
        </w:rPr>
      </w:pPr>
      <w:r>
        <w:rPr>
          <w:rFonts w:ascii="Arial" w:cs="Arial" w:eastAsia="Arial" w:hAnsi="Arial"/>
          <w:sz w:val="16"/>
          <w:szCs w:val="16"/>
          <w:color w:val="auto"/>
        </w:rPr>
        <w:t xml:space="preserve">The Nominating and Corporate Committee operates pursuant to a charter that was most recently amended on October 31, 2024, a copy of which is accessible on the Company’s website, </w:t>
      </w:r>
      <w:r>
        <w:rPr>
          <w:rFonts w:ascii="Arial" w:cs="Arial" w:eastAsia="Arial" w:hAnsi="Arial"/>
          <w:sz w:val="16"/>
          <w:szCs w:val="16"/>
          <w:i w:val="1"/>
          <w:iCs w:val="1"/>
          <w:color w:val="auto"/>
        </w:rPr>
        <w:t>www.cantaloupe.com</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3500120</wp:posOffset>
            </wp:positionH>
            <wp:positionV relativeFrom="paragraph">
              <wp:posOffset>374015</wp:posOffset>
            </wp:positionV>
            <wp:extent cx="925830" cy="26606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925830" cy="2660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60" w:space="500"/>
            <w:col w:w="7780"/>
          </w:cols>
          <w:pgMar w:left="320" w:top="256" w:right="339" w:bottom="1440" w:gutter="0" w:footer="0" w:header="0"/>
          <w:type w:val="continuous"/>
        </w:sect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b w:val="1"/>
                <w:bCs w:val="1"/>
                <w:color w:val="FF7F32"/>
              </w:rPr>
              <w:t xml:space="preserve">2026 </w:t>
            </w:r>
            <w:r>
              <w:rPr>
                <w:rFonts w:ascii="Arial" w:cs="Arial" w:eastAsia="Arial" w:hAnsi="Arial"/>
                <w:sz w:val="13"/>
                <w:szCs w:val="13"/>
                <w:color w:val="000000"/>
              </w:rPr>
              <w:t>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auto"/>
              </w:rPr>
              <w:t>31</w:t>
            </w:r>
          </w:p>
        </w:tc>
      </w:tr>
      <w:tr>
        <w:trPr>
          <w:trHeight w:val="434"/>
        </w:trPr>
        <w:tc>
          <w:tcPr>
            <w:tcW w:w="618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3"/>
          <w:szCs w:val="13"/>
          <w:color w:val="202945"/>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27"/>
          <w:szCs w:val="27"/>
          <w:b w:val="1"/>
          <w:bCs w:val="1"/>
          <w:color w:val="202945"/>
        </w:rPr>
        <w:t>Finance Committee</w:t>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97790</wp:posOffset>
            </wp:positionV>
            <wp:extent cx="659765" cy="65976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59765"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7F32"/>
        </w:rPr>
        <w:t>Jacob Lamm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89535</wp:posOffset>
            </wp:positionV>
            <wp:extent cx="659765" cy="65976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59765"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7F32"/>
        </w:rPr>
        <w:t>Douglas G. Bergeron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97790</wp:posOffset>
            </wp:positionV>
            <wp:extent cx="659765" cy="65976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59765"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7F32"/>
        </w:rPr>
        <w:t>Ian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106680</wp:posOffset>
            </wp:positionV>
            <wp:extent cx="659765" cy="65976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59765"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7F32"/>
        </w:rPr>
        <w:t>Ellen Richey</w:t>
      </w:r>
    </w:p>
    <w:p>
      <w:pPr>
        <w:spacing w:after="0" w:line="167" w:lineRule="exact"/>
        <w:rPr>
          <w:sz w:val="20"/>
          <w:szCs w:val="20"/>
          <w:color w:val="auto"/>
        </w:rPr>
      </w:pPr>
    </w:p>
    <w:p>
      <w:pPr>
        <w:ind w:left="20" w:right="320"/>
        <w:spacing w:after="0" w:line="356" w:lineRule="auto"/>
        <w:rPr>
          <w:sz w:val="20"/>
          <w:szCs w:val="20"/>
          <w:color w:val="auto"/>
        </w:rPr>
      </w:pPr>
      <w:r>
        <w:rPr>
          <w:rFonts w:ascii="Arial" w:cs="Arial" w:eastAsia="Arial" w:hAnsi="Arial"/>
          <w:sz w:val="16"/>
          <w:szCs w:val="16"/>
          <w:color w:val="auto"/>
        </w:rPr>
        <w:t>Number of meetings held in fiscal year 2025:</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518160</wp:posOffset>
            </wp:positionV>
            <wp:extent cx="925830" cy="26606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925830"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202945"/>
        </w:rPr>
        <w:t>The Finance Committee is responsible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-179070</wp:posOffset>
            </wp:positionV>
            <wp:extent cx="8890" cy="48602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890" cy="4860290"/>
                    </a:xfrm>
                    <a:prstGeom prst="rect">
                      <a:avLst/>
                    </a:prstGeom>
                    <a:noFill/>
                  </pic:spPr>
                </pic:pic>
              </a:graphicData>
            </a:graphic>
          </wp:anchor>
        </w:drawing>
      </w:r>
    </w:p>
    <w:p>
      <w:pPr>
        <w:spacing w:after="0" w:line="156" w:lineRule="exact"/>
        <w:rPr>
          <w:sz w:val="20"/>
          <w:szCs w:val="20"/>
          <w:color w:val="auto"/>
        </w:rPr>
      </w:pPr>
    </w:p>
    <w:p>
      <w:pPr>
        <w:ind w:left="200" w:right="840" w:hanging="199"/>
        <w:spacing w:after="0" w:line="356" w:lineRule="auto"/>
        <w:tabs>
          <w:tab w:leader="none" w:pos="184" w:val="left"/>
        </w:tabs>
        <w:numPr>
          <w:ilvl w:val="0"/>
          <w:numId w:val="42"/>
        </w:numPr>
        <w:rPr>
          <w:rFonts w:ascii="Arial" w:cs="Arial" w:eastAsia="Arial" w:hAnsi="Arial"/>
          <w:sz w:val="16"/>
          <w:szCs w:val="16"/>
          <w:b w:val="1"/>
          <w:bCs w:val="1"/>
          <w:color w:val="FF7F32"/>
        </w:rPr>
      </w:pPr>
      <w:r>
        <w:rPr>
          <w:rFonts w:ascii="Arial" w:cs="Arial" w:eastAsia="Arial" w:hAnsi="Arial"/>
          <w:sz w:val="16"/>
          <w:szCs w:val="16"/>
          <w:color w:val="auto"/>
        </w:rPr>
        <w:t>monitoring the Company’s capital structure, financial condition and requirements for funds and recommend from time to time an overall financial strategy to the Board</w:t>
      </w:r>
    </w:p>
    <w:p>
      <w:pPr>
        <w:spacing w:after="0" w:line="21" w:lineRule="exact"/>
        <w:rPr>
          <w:rFonts w:ascii="Arial" w:cs="Arial" w:eastAsia="Arial" w:hAnsi="Arial"/>
          <w:sz w:val="16"/>
          <w:szCs w:val="16"/>
          <w:b w:val="1"/>
          <w:bCs w:val="1"/>
          <w:color w:val="FF7F32"/>
        </w:rPr>
      </w:pPr>
    </w:p>
    <w:p>
      <w:pPr>
        <w:ind w:left="200" w:right="440" w:hanging="199"/>
        <w:spacing w:after="0" w:line="356" w:lineRule="auto"/>
        <w:tabs>
          <w:tab w:leader="none" w:pos="184" w:val="left"/>
        </w:tabs>
        <w:numPr>
          <w:ilvl w:val="0"/>
          <w:numId w:val="42"/>
        </w:numPr>
        <w:rPr>
          <w:rFonts w:ascii="Arial" w:cs="Arial" w:eastAsia="Arial" w:hAnsi="Arial"/>
          <w:sz w:val="16"/>
          <w:szCs w:val="16"/>
          <w:b w:val="1"/>
          <w:bCs w:val="1"/>
          <w:color w:val="FF7F32"/>
        </w:rPr>
      </w:pPr>
      <w:r>
        <w:rPr>
          <w:rFonts w:ascii="Arial" w:cs="Arial" w:eastAsia="Arial" w:hAnsi="Arial"/>
          <w:sz w:val="16"/>
          <w:szCs w:val="16"/>
          <w:color w:val="auto"/>
        </w:rPr>
        <w:t>assisting the Board in reviewing and monitoring the Company’s capital structure and financial plans, including short-term and long-term debt programs and equity financings</w:t>
      </w:r>
    </w:p>
    <w:p>
      <w:pPr>
        <w:spacing w:after="0" w:line="7" w:lineRule="exact"/>
        <w:rPr>
          <w:rFonts w:ascii="Arial" w:cs="Arial" w:eastAsia="Arial" w:hAnsi="Arial"/>
          <w:sz w:val="16"/>
          <w:szCs w:val="16"/>
          <w:b w:val="1"/>
          <w:bCs w:val="1"/>
          <w:color w:val="FF7F32"/>
        </w:rPr>
      </w:pPr>
    </w:p>
    <w:p>
      <w:pPr>
        <w:ind w:left="180" w:hanging="179"/>
        <w:spacing w:after="0"/>
        <w:tabs>
          <w:tab w:leader="none" w:pos="180" w:val="left"/>
        </w:tabs>
        <w:numPr>
          <w:ilvl w:val="0"/>
          <w:numId w:val="42"/>
        </w:numPr>
        <w:rPr>
          <w:rFonts w:ascii="Arial" w:cs="Arial" w:eastAsia="Arial" w:hAnsi="Arial"/>
          <w:sz w:val="16"/>
          <w:szCs w:val="16"/>
          <w:b w:val="1"/>
          <w:bCs w:val="1"/>
          <w:color w:val="FF7F32"/>
        </w:rPr>
      </w:pPr>
      <w:r>
        <w:rPr>
          <w:rFonts w:ascii="Arial" w:cs="Arial" w:eastAsia="Arial" w:hAnsi="Arial"/>
          <w:sz w:val="16"/>
          <w:szCs w:val="16"/>
          <w:color w:val="auto"/>
        </w:rPr>
        <w:t>reviewing target financials and valuations in connection with potential acquisitions</w:t>
      </w:r>
    </w:p>
    <w:p>
      <w:pPr>
        <w:spacing w:after="0" w:line="167" w:lineRule="exact"/>
        <w:rPr>
          <w:rFonts w:ascii="Arial" w:cs="Arial" w:eastAsia="Arial" w:hAnsi="Arial"/>
          <w:sz w:val="16"/>
          <w:szCs w:val="16"/>
          <w:b w:val="1"/>
          <w:bCs w:val="1"/>
          <w:color w:val="FF7F32"/>
        </w:rPr>
      </w:pPr>
    </w:p>
    <w:p>
      <w:pPr>
        <w:ind w:left="200" w:right="160" w:hanging="199"/>
        <w:spacing w:after="0" w:line="356" w:lineRule="auto"/>
        <w:tabs>
          <w:tab w:leader="none" w:pos="184" w:val="left"/>
        </w:tabs>
        <w:numPr>
          <w:ilvl w:val="0"/>
          <w:numId w:val="42"/>
        </w:numPr>
        <w:rPr>
          <w:rFonts w:ascii="Arial" w:cs="Arial" w:eastAsia="Arial" w:hAnsi="Arial"/>
          <w:sz w:val="16"/>
          <w:szCs w:val="16"/>
          <w:b w:val="1"/>
          <w:bCs w:val="1"/>
          <w:color w:val="FF7F32"/>
        </w:rPr>
      </w:pPr>
      <w:r>
        <w:rPr>
          <w:rFonts w:ascii="Arial" w:cs="Arial" w:eastAsia="Arial" w:hAnsi="Arial"/>
          <w:sz w:val="16"/>
          <w:szCs w:val="16"/>
          <w:color w:val="auto"/>
        </w:rPr>
        <w:t>taking or authorizing necessary actions to effect financings, refinancings and refundings within the limits set by the Board</w:t>
      </w:r>
    </w:p>
    <w:p>
      <w:pPr>
        <w:spacing w:after="0" w:line="48" w:lineRule="exact"/>
        <w:rPr>
          <w:sz w:val="20"/>
          <w:szCs w:val="20"/>
          <w:color w:val="auto"/>
        </w:rPr>
      </w:pPr>
    </w:p>
    <w:p>
      <w:pPr>
        <w:ind w:right="320"/>
        <w:spacing w:after="0" w:line="374" w:lineRule="auto"/>
        <w:rPr>
          <w:sz w:val="20"/>
          <w:szCs w:val="20"/>
          <w:color w:val="auto"/>
        </w:rPr>
      </w:pPr>
      <w:r>
        <w:rPr>
          <w:rFonts w:ascii="Arial" w:cs="Arial" w:eastAsia="Arial" w:hAnsi="Arial"/>
          <w:sz w:val="16"/>
          <w:szCs w:val="16"/>
          <w:color w:val="auto"/>
        </w:rPr>
        <w:t xml:space="preserve">The Finance Committee operates pursuant to a charter that was most recently amended on October 28, 2024, a copy of which is accessible on the Company’s website, </w:t>
      </w:r>
      <w:r>
        <w:rPr>
          <w:rFonts w:ascii="Arial" w:cs="Arial" w:eastAsia="Arial" w:hAnsi="Arial"/>
          <w:sz w:val="16"/>
          <w:szCs w:val="16"/>
          <w:i w:val="1"/>
          <w:iCs w:val="1"/>
          <w:color w:val="auto"/>
        </w:rPr>
        <w:t>www.cantaloupe.com</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FF7F32"/>
        </w:rPr>
        <w:t xml:space="preserve">2026 </w:t>
      </w:r>
      <w:r>
        <w:rPr>
          <w:rFonts w:ascii="Arial" w:cs="Arial" w:eastAsia="Arial" w:hAnsi="Arial"/>
          <w:sz w:val="13"/>
          <w:szCs w:val="13"/>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-2204085</wp:posOffset>
            </wp:positionH>
            <wp:positionV relativeFrom="paragraph">
              <wp:posOffset>272415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740" w:space="720"/>
            <w:col w:w="7760"/>
          </w:cols>
          <w:pgMar w:left="320" w:top="256" w:right="359" w:bottom="1440" w:gutter="0" w:footer="0" w:header="0"/>
        </w:sectPr>
      </w:pPr>
    </w:p>
    <w:bookmarkStart w:id="35" w:name="page36"/>
    <w:bookmarkEnd w:id="35"/>
    <w:p>
      <w:pPr>
        <w:jc w:val="right"/>
        <w:spacing w:after="0"/>
        <w:rPr>
          <w:sz w:val="20"/>
          <w:szCs w:val="20"/>
          <w:color w:val="auto"/>
        </w:rPr>
      </w:pPr>
      <w:r>
        <w:rPr>
          <w:rFonts w:ascii="Arial" w:cs="Arial" w:eastAsia="Arial" w:hAnsi="Arial"/>
          <w:sz w:val="13"/>
          <w:szCs w:val="13"/>
          <w:color w:val="202945"/>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32"/>
          <w:szCs w:val="32"/>
          <w:b w:val="1"/>
          <w:bCs w:val="1"/>
          <w:color w:val="202945"/>
        </w:rPr>
        <w:t>Board Operations</w:t>
      </w:r>
    </w:p>
    <w:p>
      <w:pPr>
        <w:spacing w:after="0" w:line="357" w:lineRule="exact"/>
        <w:rPr>
          <w:sz w:val="20"/>
          <w:szCs w:val="20"/>
          <w:color w:val="auto"/>
        </w:rPr>
      </w:pPr>
    </w:p>
    <w:p>
      <w:pPr>
        <w:spacing w:after="0"/>
        <w:rPr>
          <w:sz w:val="20"/>
          <w:szCs w:val="20"/>
          <w:color w:val="auto"/>
        </w:rPr>
      </w:pPr>
      <w:r>
        <w:rPr>
          <w:rFonts w:ascii="Arial" w:cs="Arial" w:eastAsia="Arial" w:hAnsi="Arial"/>
          <w:sz w:val="29"/>
          <w:szCs w:val="29"/>
          <w:b w:val="1"/>
          <w:bCs w:val="1"/>
          <w:color w:val="FF7F32"/>
        </w:rPr>
        <w:t>Meetings of the Board of Directors</w:t>
      </w:r>
    </w:p>
    <w:p>
      <w:pPr>
        <w:spacing w:after="0" w:line="267" w:lineRule="exact"/>
        <w:rPr>
          <w:sz w:val="20"/>
          <w:szCs w:val="20"/>
          <w:color w:val="auto"/>
        </w:rPr>
      </w:pPr>
    </w:p>
    <w:p>
      <w:pPr>
        <w:ind w:right="200"/>
        <w:spacing w:after="0" w:line="330" w:lineRule="auto"/>
        <w:rPr>
          <w:sz w:val="20"/>
          <w:szCs w:val="20"/>
          <w:color w:val="auto"/>
        </w:rPr>
      </w:pPr>
      <w:r>
        <w:rPr>
          <w:rFonts w:ascii="Arial" w:cs="Arial" w:eastAsia="Arial" w:hAnsi="Arial"/>
          <w:sz w:val="16"/>
          <w:szCs w:val="16"/>
          <w:color w:val="auto"/>
        </w:rPr>
        <w:t>The Board of the Company and the Board Committees collectively held a total of thirty-one (31 meetings during the fiscal year ended June 30, 2025. Each member of the Board attended at least 75% of the aggregate number of meetings of the Board and Board Committees of which he or she was a member. The Company’s policy regarding directors’ attendance at the annual meeting of shareholders, as described in the Company’s Corporate Governance Guidelines, is that all directors are strongly encouraged to attend the Annual Meeting. All of our directors attended the 2025 Annual Meeting.</w:t>
      </w:r>
    </w:p>
    <w:p>
      <w:pPr>
        <w:spacing w:after="0" w:line="224" w:lineRule="exact"/>
        <w:rPr>
          <w:sz w:val="20"/>
          <w:szCs w:val="20"/>
          <w:color w:val="auto"/>
        </w:rPr>
      </w:pPr>
    </w:p>
    <w:p>
      <w:pPr>
        <w:spacing w:after="0"/>
        <w:rPr>
          <w:sz w:val="20"/>
          <w:szCs w:val="20"/>
          <w:color w:val="auto"/>
        </w:rPr>
      </w:pPr>
      <w:r>
        <w:rPr>
          <w:rFonts w:ascii="Arial" w:cs="Arial" w:eastAsia="Arial" w:hAnsi="Arial"/>
          <w:sz w:val="29"/>
          <w:szCs w:val="29"/>
          <w:b w:val="1"/>
          <w:bCs w:val="1"/>
          <w:color w:val="FF7F32"/>
        </w:rPr>
        <w:t>Director Orientation and Continuing Education</w:t>
      </w:r>
    </w:p>
    <w:p>
      <w:pPr>
        <w:spacing w:after="0" w:line="267" w:lineRule="exact"/>
        <w:rPr>
          <w:sz w:val="20"/>
          <w:szCs w:val="20"/>
          <w:color w:val="auto"/>
        </w:rPr>
      </w:pPr>
    </w:p>
    <w:p>
      <w:pPr>
        <w:ind w:right="40"/>
        <w:spacing w:after="0" w:line="336" w:lineRule="auto"/>
        <w:rPr>
          <w:sz w:val="20"/>
          <w:szCs w:val="20"/>
          <w:color w:val="auto"/>
        </w:rPr>
      </w:pPr>
      <w:r>
        <w:rPr>
          <w:rFonts w:ascii="Arial" w:cs="Arial" w:eastAsia="Arial" w:hAnsi="Arial"/>
          <w:sz w:val="16"/>
          <w:szCs w:val="16"/>
          <w:color w:val="auto"/>
        </w:rPr>
        <w:t>The Nominating and Corporate Governance Committee works with management to provide an orientation for new directors. The Board encourages directors to participate in continuing education, as well as participation in accredited director education programs. Continuing education for all directors is conducted throughout the year through a variety of presentations and programs. During fiscal 2025, our ongoing director education included Nasdaq training sessions covering a variety of topics, including:</w:t>
      </w:r>
    </w:p>
    <w:p>
      <w:pPr>
        <w:spacing w:after="0" w:line="214" w:lineRule="exact"/>
        <w:rPr>
          <w:sz w:val="20"/>
          <w:szCs w:val="20"/>
          <w:color w:val="auto"/>
        </w:rPr>
      </w:pPr>
    </w:p>
    <w:p>
      <w:pPr>
        <w:ind w:left="200" w:hanging="192"/>
        <w:spacing w:after="0"/>
        <w:tabs>
          <w:tab w:leader="none" w:pos="200" w:val="left"/>
        </w:tabs>
        <w:numPr>
          <w:ilvl w:val="0"/>
          <w:numId w:val="43"/>
        </w:numPr>
        <w:rPr>
          <w:rFonts w:ascii="Arial" w:cs="Arial" w:eastAsia="Arial" w:hAnsi="Arial"/>
          <w:sz w:val="22"/>
          <w:szCs w:val="22"/>
          <w:color w:val="FF7F32"/>
        </w:rPr>
      </w:pPr>
      <w:r>
        <w:rPr>
          <w:rFonts w:ascii="Arial" w:cs="Arial" w:eastAsia="Arial" w:hAnsi="Arial"/>
          <w:sz w:val="16"/>
          <w:szCs w:val="16"/>
          <w:color w:val="auto"/>
        </w:rPr>
        <w:t>ESG-related issues sustainability, human capital management</w:t>
      </w:r>
    </w:p>
    <w:p>
      <w:pPr>
        <w:spacing w:after="0" w:line="71" w:lineRule="exact"/>
        <w:rPr>
          <w:rFonts w:ascii="Arial" w:cs="Arial" w:eastAsia="Arial" w:hAnsi="Arial"/>
          <w:sz w:val="22"/>
          <w:szCs w:val="22"/>
          <w:color w:val="FF7F32"/>
        </w:rPr>
      </w:pPr>
    </w:p>
    <w:p>
      <w:pPr>
        <w:ind w:left="200" w:hanging="192"/>
        <w:spacing w:after="0"/>
        <w:tabs>
          <w:tab w:leader="none" w:pos="200" w:val="left"/>
        </w:tabs>
        <w:numPr>
          <w:ilvl w:val="0"/>
          <w:numId w:val="43"/>
        </w:numPr>
        <w:rPr>
          <w:rFonts w:ascii="Times New Roman" w:cs="Times New Roman" w:eastAsia="Times New Roman" w:hAnsi="Times New Roman"/>
          <w:sz w:val="22"/>
          <w:szCs w:val="22"/>
          <w:color w:val="FF7F32"/>
        </w:rPr>
      </w:pPr>
      <w:r>
        <w:rPr>
          <w:rFonts w:ascii="Arial" w:cs="Arial" w:eastAsia="Arial" w:hAnsi="Arial"/>
          <w:sz w:val="16"/>
          <w:szCs w:val="16"/>
          <w:color w:val="auto"/>
        </w:rPr>
        <w:t>enterprise risk management and geopolitical risks</w:t>
      </w:r>
    </w:p>
    <w:p>
      <w:pPr>
        <w:spacing w:after="0" w:line="71" w:lineRule="exact"/>
        <w:rPr>
          <w:rFonts w:ascii="Times New Roman" w:cs="Times New Roman" w:eastAsia="Times New Roman" w:hAnsi="Times New Roman"/>
          <w:sz w:val="22"/>
          <w:szCs w:val="22"/>
          <w:color w:val="FF7F32"/>
        </w:rPr>
      </w:pPr>
    </w:p>
    <w:p>
      <w:pPr>
        <w:ind w:left="200" w:hanging="192"/>
        <w:spacing w:after="0"/>
        <w:tabs>
          <w:tab w:leader="none" w:pos="200" w:val="left"/>
        </w:tabs>
        <w:numPr>
          <w:ilvl w:val="0"/>
          <w:numId w:val="43"/>
        </w:numPr>
        <w:rPr>
          <w:rFonts w:ascii="Times New Roman" w:cs="Times New Roman" w:eastAsia="Times New Roman" w:hAnsi="Times New Roman"/>
          <w:sz w:val="22"/>
          <w:szCs w:val="22"/>
          <w:color w:val="FF7F32"/>
        </w:rPr>
      </w:pPr>
      <w:r>
        <w:rPr>
          <w:rFonts w:ascii="Arial" w:cs="Arial" w:eastAsia="Arial" w:hAnsi="Arial"/>
          <w:sz w:val="16"/>
          <w:szCs w:val="16"/>
          <w:color w:val="auto"/>
        </w:rPr>
        <w:t>regulatory compliance and corporate governance</w:t>
      </w:r>
    </w:p>
    <w:p>
      <w:pPr>
        <w:spacing w:after="0" w:line="332" w:lineRule="exact"/>
        <w:rPr>
          <w:sz w:val="20"/>
          <w:szCs w:val="20"/>
          <w:color w:val="auto"/>
        </w:rPr>
      </w:pPr>
    </w:p>
    <w:p>
      <w:pPr>
        <w:spacing w:after="0"/>
        <w:rPr>
          <w:sz w:val="20"/>
          <w:szCs w:val="20"/>
          <w:color w:val="auto"/>
        </w:rPr>
      </w:pPr>
      <w:r>
        <w:rPr>
          <w:rFonts w:ascii="Arial" w:cs="Arial" w:eastAsia="Arial" w:hAnsi="Arial"/>
          <w:sz w:val="29"/>
          <w:szCs w:val="29"/>
          <w:b w:val="1"/>
          <w:bCs w:val="1"/>
          <w:color w:val="FF7F32"/>
        </w:rPr>
        <w:t>Executive Sessions</w:t>
      </w:r>
    </w:p>
    <w:p>
      <w:pPr>
        <w:spacing w:after="0" w:line="267" w:lineRule="exact"/>
        <w:rPr>
          <w:sz w:val="20"/>
          <w:szCs w:val="20"/>
          <w:color w:val="auto"/>
        </w:rPr>
      </w:pPr>
    </w:p>
    <w:p>
      <w:pPr>
        <w:ind w:right="240"/>
        <w:spacing w:after="0" w:line="356" w:lineRule="auto"/>
        <w:rPr>
          <w:sz w:val="20"/>
          <w:szCs w:val="20"/>
          <w:color w:val="auto"/>
        </w:rPr>
      </w:pPr>
      <w:r>
        <w:rPr>
          <w:rFonts w:ascii="Arial" w:cs="Arial" w:eastAsia="Arial" w:hAnsi="Arial"/>
          <w:sz w:val="16"/>
          <w:szCs w:val="16"/>
          <w:color w:val="auto"/>
        </w:rPr>
        <w:t>The independent members of the Board meet regularly in executive sessions. The independent Board members may meet in executive session at regular Board meetings or at other times, in each case, if deemed necessary, but no less than twice a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125095</wp:posOffset>
            </wp:positionV>
            <wp:extent cx="925830" cy="26543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925830" cy="265430"/>
                    </a:xfrm>
                    <a:prstGeom prst="rect">
                      <a:avLst/>
                    </a:prstGeom>
                    <a:noFill/>
                  </pic:spPr>
                </pic:pic>
              </a:graphicData>
            </a:graphic>
          </wp:anchor>
        </w:drawing>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b w:val="1"/>
                <w:bCs w:val="1"/>
                <w:color w:val="FF7F32"/>
              </w:rPr>
              <w:t xml:space="preserve">2026 </w:t>
            </w:r>
            <w:r>
              <w:rPr>
                <w:rFonts w:ascii="Arial" w:cs="Arial" w:eastAsia="Arial" w:hAnsi="Arial"/>
                <w:sz w:val="13"/>
                <w:szCs w:val="13"/>
                <w:color w:val="000000"/>
              </w:rPr>
              <w:t>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auto"/>
              </w:rPr>
              <w:t>33</w:t>
            </w:r>
          </w:p>
        </w:tc>
      </w:tr>
      <w:tr>
        <w:trPr>
          <w:trHeight w:val="420"/>
        </w:trPr>
        <w:tc>
          <w:tcPr>
            <w:tcW w:w="618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6" w:name="page37"/>
    <w:bookmarkEnd w:id="36"/>
    <w:p>
      <w:pPr>
        <w:spacing w:after="0"/>
        <w:rPr>
          <w:sz w:val="20"/>
          <w:szCs w:val="20"/>
          <w:color w:val="auto"/>
        </w:rPr>
      </w:pPr>
      <w:r>
        <w:rPr>
          <w:rFonts w:ascii="Arial" w:cs="Arial" w:eastAsia="Arial" w:hAnsi="Arial"/>
          <w:sz w:val="13"/>
          <w:szCs w:val="13"/>
          <w:color w:val="202945"/>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9"/>
          <w:szCs w:val="29"/>
          <w:b w:val="1"/>
          <w:bCs w:val="1"/>
          <w:color w:val="FF7F32"/>
        </w:rPr>
        <w:t>Additional Board Engagement</w:t>
      </w:r>
    </w:p>
    <w:p>
      <w:pPr>
        <w:spacing w:after="0" w:line="267" w:lineRule="exact"/>
        <w:rPr>
          <w:sz w:val="20"/>
          <w:szCs w:val="20"/>
          <w:color w:val="auto"/>
        </w:rPr>
      </w:pPr>
    </w:p>
    <w:p>
      <w:pPr>
        <w:ind w:right="220"/>
        <w:spacing w:after="0" w:line="326" w:lineRule="auto"/>
        <w:rPr>
          <w:sz w:val="20"/>
          <w:szCs w:val="20"/>
          <w:color w:val="auto"/>
        </w:rPr>
      </w:pPr>
      <w:r>
        <w:rPr>
          <w:rFonts w:ascii="Arial" w:cs="Arial" w:eastAsia="Arial" w:hAnsi="Arial"/>
          <w:sz w:val="16"/>
          <w:szCs w:val="16"/>
          <w:color w:val="auto"/>
        </w:rPr>
        <w:t>Management is encouraged to invite Company personnel to any Board meeting at which their presence and expertise would help the Board have a full understanding of matters being considered. Our directors also regularly engage in one-on-one meetings with management and other company personnel. Members of our Board are also active in our investor relations efforts, including one-on-one engagement with current and potential investors and participating in various industry conferences, functions and initiatives, including the 2025 NAMA show. We believe these efforts enable the Board and management to understand, consider and address the issues that matter most to our shareholders.</w:t>
      </w:r>
    </w:p>
    <w:p>
      <w:pPr>
        <w:spacing w:after="0" w:line="242" w:lineRule="exact"/>
        <w:rPr>
          <w:sz w:val="20"/>
          <w:szCs w:val="20"/>
          <w:color w:val="auto"/>
        </w:rPr>
      </w:pPr>
    </w:p>
    <w:p>
      <w:pPr>
        <w:spacing w:after="0"/>
        <w:rPr>
          <w:sz w:val="20"/>
          <w:szCs w:val="20"/>
          <w:color w:val="auto"/>
        </w:rPr>
      </w:pPr>
      <w:r>
        <w:rPr>
          <w:rFonts w:ascii="Arial" w:cs="Arial" w:eastAsia="Arial" w:hAnsi="Arial"/>
          <w:sz w:val="29"/>
          <w:szCs w:val="29"/>
          <w:b w:val="1"/>
          <w:bCs w:val="1"/>
          <w:color w:val="FF7F32"/>
        </w:rPr>
        <w:t>Annual Performance Evaluation of the Board</w:t>
      </w:r>
    </w:p>
    <w:p>
      <w:pPr>
        <w:spacing w:after="0" w:line="267" w:lineRule="exact"/>
        <w:rPr>
          <w:sz w:val="20"/>
          <w:szCs w:val="20"/>
          <w:color w:val="auto"/>
        </w:rPr>
      </w:pPr>
    </w:p>
    <w:p>
      <w:pPr>
        <w:spacing w:after="0" w:line="326" w:lineRule="auto"/>
        <w:rPr>
          <w:sz w:val="20"/>
          <w:szCs w:val="20"/>
          <w:color w:val="auto"/>
        </w:rPr>
      </w:pPr>
      <w:r>
        <w:rPr>
          <w:rFonts w:ascii="Arial" w:cs="Arial" w:eastAsia="Arial" w:hAnsi="Arial"/>
          <w:sz w:val="16"/>
          <w:szCs w:val="16"/>
          <w:color w:val="auto"/>
        </w:rPr>
        <w:t>The Nominating and Corporate Governance Committee establishes procedures for, and conducts and administers, an annual performance and effectiveness evaluation of the Board. Each Committee also conducts an annual review of its own performance. The Nominating and Corporate Governance Committee then reviews and provides feedback on the annual self-assessment process including specific topics to be addressed. The fiscal 2025 evaluation process produced constructive feedback aimed at improving the performance and contribution of the Board and each Committee, with appropriate action plans developed to address the feedback.</w:t>
      </w:r>
    </w:p>
    <w:p>
      <w:pPr>
        <w:spacing w:after="0" w:line="287" w:lineRule="exact"/>
        <w:rPr>
          <w:sz w:val="20"/>
          <w:szCs w:val="20"/>
          <w:color w:val="auto"/>
        </w:rPr>
      </w:pPr>
    </w:p>
    <w:p>
      <w:pPr>
        <w:spacing w:after="0"/>
        <w:rPr>
          <w:sz w:val="20"/>
          <w:szCs w:val="20"/>
          <w:color w:val="auto"/>
        </w:rPr>
      </w:pPr>
      <w:r>
        <w:rPr>
          <w:rFonts w:ascii="Arial" w:cs="Arial" w:eastAsia="Arial" w:hAnsi="Arial"/>
          <w:sz w:val="32"/>
          <w:szCs w:val="32"/>
          <w:b w:val="1"/>
          <w:bCs w:val="1"/>
          <w:color w:val="202945"/>
        </w:rPr>
        <w:t>Board’s Role and Oversight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062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17062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Strategy and</w:t>
      </w:r>
    </w:p>
    <w:p>
      <w:pPr>
        <w:spacing w:after="0" w:line="61"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Performance</w:t>
      </w:r>
    </w:p>
    <w:p>
      <w:pPr>
        <w:spacing w:after="0" w:line="171" w:lineRule="exact"/>
        <w:rPr>
          <w:sz w:val="20"/>
          <w:szCs w:val="20"/>
          <w:color w:val="auto"/>
        </w:rPr>
      </w:pPr>
    </w:p>
    <w:p>
      <w:pPr>
        <w:ind w:left="220" w:right="180"/>
        <w:spacing w:after="0" w:line="324" w:lineRule="auto"/>
        <w:rPr>
          <w:sz w:val="20"/>
          <w:szCs w:val="20"/>
          <w:color w:val="auto"/>
        </w:rPr>
      </w:pPr>
      <w:r>
        <w:rPr>
          <w:rFonts w:ascii="Arial" w:cs="Arial" w:eastAsia="Arial" w:hAnsi="Arial"/>
          <w:sz w:val="16"/>
          <w:szCs w:val="16"/>
          <w:color w:val="auto"/>
        </w:rPr>
        <w:t>It is the duty of the Board to oversee management’s performance to ensure that the Company operates in an effective, efficient and ethical manner in order to produce value for the Company’s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425450</wp:posOffset>
            </wp:positionV>
            <wp:extent cx="1697355" cy="63436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697355" cy="6343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Risk Management</w:t>
      </w:r>
    </w:p>
    <w:p>
      <w:pPr>
        <w:spacing w:after="0" w:line="195" w:lineRule="exact"/>
        <w:rPr>
          <w:sz w:val="20"/>
          <w:szCs w:val="20"/>
          <w:color w:val="auto"/>
        </w:rPr>
      </w:pPr>
    </w:p>
    <w:p>
      <w:pPr>
        <w:ind w:right="300"/>
        <w:spacing w:after="0" w:line="336" w:lineRule="auto"/>
        <w:rPr>
          <w:sz w:val="20"/>
          <w:szCs w:val="20"/>
          <w:color w:val="auto"/>
        </w:rPr>
      </w:pPr>
      <w:r>
        <w:rPr>
          <w:rFonts w:ascii="Arial" w:cs="Arial" w:eastAsia="Arial" w:hAnsi="Arial"/>
          <w:sz w:val="16"/>
          <w:szCs w:val="16"/>
          <w:color w:val="auto"/>
        </w:rPr>
        <w:t>The Board has ultimate responsibility for overseeing management’s approach to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1069975</wp:posOffset>
            </wp:positionV>
            <wp:extent cx="2048510" cy="63436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048510" cy="6343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Succession Planning</w:t>
      </w:r>
    </w:p>
    <w:p>
      <w:pPr>
        <w:spacing w:after="0" w:line="195" w:lineRule="exact"/>
        <w:rPr>
          <w:sz w:val="20"/>
          <w:szCs w:val="20"/>
          <w:color w:val="auto"/>
        </w:rPr>
      </w:pPr>
    </w:p>
    <w:p>
      <w:pPr>
        <w:ind w:right="360"/>
        <w:spacing w:after="0" w:line="330" w:lineRule="auto"/>
        <w:rPr>
          <w:sz w:val="20"/>
          <w:szCs w:val="20"/>
          <w:color w:val="auto"/>
        </w:rPr>
      </w:pPr>
      <w:r>
        <w:rPr>
          <w:rFonts w:ascii="Arial" w:cs="Arial" w:eastAsia="Arial" w:hAnsi="Arial"/>
          <w:sz w:val="16"/>
          <w:szCs w:val="16"/>
          <w:color w:val="auto"/>
        </w:rPr>
        <w:t>The Board selects the Company’s Chief Executive Officer in the manner that it determines to be in the best interests of the Company’s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918210</wp:posOffset>
            </wp:positionV>
            <wp:extent cx="1714500" cy="63436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714500" cy="634365"/>
                    </a:xfrm>
                    <a:prstGeom prst="rect">
                      <a:avLst/>
                    </a:prstGeom>
                    <a:noFill/>
                  </pic:spPr>
                </pic:pic>
              </a:graphicData>
            </a:graphic>
          </wp:anchor>
        </w:drawing>
      </w:r>
    </w:p>
    <w:p>
      <w:pPr>
        <w:spacing w:after="0" w:line="975" w:lineRule="exact"/>
        <w:rPr>
          <w:sz w:val="20"/>
          <w:szCs w:val="20"/>
          <w:color w:val="auto"/>
        </w:rPr>
      </w:pPr>
    </w:p>
    <w:p>
      <w:pPr>
        <w:sectPr>
          <w:pgSz w:w="11900" w:h="16838" w:orient="portrait"/>
          <w:cols w:equalWidth="0" w:num="3">
            <w:col w:w="3380" w:space="720"/>
            <w:col w:w="3200" w:space="720"/>
            <w:col w:w="3200"/>
          </w:cols>
          <w:pgMar w:left="320" w:top="256"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700"/>
        <w:spacing w:after="0"/>
        <w:tabs>
          <w:tab w:leader="none" w:pos="4480" w:val="left"/>
        </w:tabs>
        <w:rPr>
          <w:sz w:val="20"/>
          <w:szCs w:val="20"/>
          <w:color w:val="auto"/>
        </w:rPr>
      </w:pPr>
      <w:r>
        <w:rPr>
          <w:rFonts w:ascii="Arial" w:cs="Arial" w:eastAsia="Arial" w:hAnsi="Arial"/>
          <w:sz w:val="16"/>
          <w:szCs w:val="16"/>
          <w:b w:val="1"/>
          <w:bCs w:val="1"/>
          <w:color w:val="auto"/>
        </w:rPr>
        <w:t>Cybersecurity</w:t>
      </w:r>
      <w:r>
        <w:rPr>
          <w:sz w:val="20"/>
          <w:szCs w:val="20"/>
          <w:color w:val="auto"/>
        </w:rPr>
        <w:tab/>
      </w:r>
      <w:r>
        <w:rPr>
          <w:rFonts w:ascii="Arial" w:cs="Arial" w:eastAsia="Arial" w:hAnsi="Arial"/>
          <w:sz w:val="16"/>
          <w:szCs w:val="16"/>
          <w:b w:val="1"/>
          <w:bCs w:val="1"/>
          <w:color w:val="auto"/>
        </w:rPr>
        <w:t>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449580</wp:posOffset>
            </wp:positionV>
            <wp:extent cx="925830" cy="26543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925830" cy="265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Human Capital</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w:t>
      </w:r>
    </w:p>
    <w:p>
      <w:pPr>
        <w:spacing w:after="0" w:line="200" w:lineRule="exact"/>
        <w:rPr>
          <w:sz w:val="20"/>
          <w:szCs w:val="20"/>
          <w:color w:val="auto"/>
        </w:rPr>
      </w:pPr>
    </w:p>
    <w:p>
      <w:pPr>
        <w:sectPr>
          <w:pgSz w:w="11900" w:h="16838" w:orient="portrait"/>
          <w:cols w:equalWidth="0" w:num="2">
            <w:col w:w="7320" w:space="720"/>
            <w:col w:w="3180"/>
          </w:cols>
          <w:pgMar w:left="320" w:top="256" w:right="359" w:bottom="1440" w:gutter="0" w:footer="0" w:header="0"/>
          <w:type w:val="continuous"/>
        </w:sectPr>
      </w:pPr>
    </w:p>
    <w:p>
      <w:pPr>
        <w:spacing w:after="0" w:line="200" w:lineRule="exact"/>
        <w:rPr>
          <w:sz w:val="20"/>
          <w:szCs w:val="20"/>
          <w:color w:val="auto"/>
        </w:rPr>
      </w:pPr>
    </w:p>
    <w:p>
      <w:pPr>
        <w:spacing w:after="0" w:line="344"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auto"/>
        </w:rPr>
        <w:t>34</w:t>
      </w:r>
      <w:r>
        <w:rPr>
          <w:sz w:val="20"/>
          <w:szCs w:val="20"/>
          <w:color w:val="auto"/>
        </w:rPr>
        <w:tab/>
      </w:r>
      <w:r>
        <w:rPr>
          <w:rFonts w:ascii="Arial" w:cs="Arial" w:eastAsia="Arial" w:hAnsi="Arial"/>
          <w:sz w:val="12"/>
          <w:szCs w:val="12"/>
          <w:b w:val="1"/>
          <w:bCs w:val="1"/>
          <w:color w:val="FF7F32"/>
        </w:rPr>
        <w:t xml:space="preserve">2026 </w:t>
      </w:r>
      <w:r>
        <w:rPr>
          <w:rFonts w:ascii="Arial" w:cs="Arial" w:eastAsia="Arial" w:hAnsi="Arial"/>
          <w:sz w:val="12"/>
          <w:szCs w:val="12"/>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271145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type w:val="continuous"/>
        </w:sectPr>
      </w:pPr>
    </w:p>
    <w:bookmarkStart w:id="37" w:name="page38"/>
    <w:bookmarkEnd w:id="37"/>
    <w:p>
      <w:pPr>
        <w:jc w:val="right"/>
        <w:spacing w:after="0"/>
        <w:rPr>
          <w:sz w:val="20"/>
          <w:szCs w:val="20"/>
          <w:color w:val="auto"/>
        </w:rPr>
      </w:pPr>
      <w:r>
        <w:rPr>
          <w:rFonts w:ascii="Arial" w:cs="Arial" w:eastAsia="Arial" w:hAnsi="Arial"/>
          <w:sz w:val="13"/>
          <w:szCs w:val="13"/>
          <w:color w:val="202945"/>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9"/>
          <w:szCs w:val="29"/>
          <w:b w:val="1"/>
          <w:bCs w:val="1"/>
          <w:color w:val="FF7F32"/>
        </w:rPr>
        <w:t>Oversight of Strategy, Risk and Performance</w:t>
      </w:r>
    </w:p>
    <w:p>
      <w:pPr>
        <w:spacing w:after="0" w:line="267" w:lineRule="exact"/>
        <w:rPr>
          <w:sz w:val="20"/>
          <w:szCs w:val="20"/>
          <w:color w:val="auto"/>
        </w:rPr>
      </w:pPr>
    </w:p>
    <w:p>
      <w:pPr>
        <w:ind w:right="180"/>
        <w:spacing w:after="0" w:line="326" w:lineRule="auto"/>
        <w:rPr>
          <w:sz w:val="20"/>
          <w:szCs w:val="20"/>
          <w:color w:val="auto"/>
        </w:rPr>
      </w:pPr>
      <w:r>
        <w:rPr>
          <w:rFonts w:ascii="Arial" w:cs="Arial" w:eastAsia="Arial" w:hAnsi="Arial"/>
          <w:sz w:val="16"/>
          <w:szCs w:val="16"/>
          <w:color w:val="auto"/>
        </w:rPr>
        <w:t>The Board is responsible for the overall oversight of management in the execution of its responsibilities. In this oversight role, and in conjunction with the Audit and Risk Committee, the Board regularly reviews the Company’s long-term business strategy and works with management to set the short-term and long-term strategic objectives of the Company and to monitor progress on those objectives. The Board as a whole is responsible for risk oversight at the company, with reviews of certain areas being conducted by the relevant board committees that regularly report to the full Board, in particular, the Audit and Risk Committee. In its risk oversight role, the Board reviews, evaluates and discusses with appropriate members of management whether the risk management processes designed and implemented by management are adequate in identifying, assessing, managing and mitigating material risks facing the Company, including financial, international, operational, social and environmental risks.</w:t>
      </w:r>
    </w:p>
    <w:p>
      <w:pPr>
        <w:spacing w:after="0" w:line="222" w:lineRule="exact"/>
        <w:rPr>
          <w:sz w:val="20"/>
          <w:szCs w:val="20"/>
          <w:color w:val="auto"/>
        </w:rPr>
      </w:pPr>
    </w:p>
    <w:p>
      <w:pPr>
        <w:spacing w:after="0"/>
        <w:rPr>
          <w:sz w:val="20"/>
          <w:szCs w:val="20"/>
          <w:color w:val="auto"/>
        </w:rPr>
      </w:pPr>
      <w:r>
        <w:rPr>
          <w:rFonts w:ascii="Arial" w:cs="Arial" w:eastAsia="Arial" w:hAnsi="Arial"/>
          <w:sz w:val="27"/>
          <w:szCs w:val="27"/>
          <w:color w:val="202945"/>
        </w:rPr>
        <w:t>Committee Oversight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22288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250" w:lineRule="exact"/>
        <w:rPr>
          <w:sz w:val="20"/>
          <w:szCs w:val="20"/>
          <w:color w:val="auto"/>
        </w:rPr>
      </w:pPr>
    </w:p>
    <w:p>
      <w:pPr>
        <w:ind w:left="2060"/>
        <w:spacing w:after="0"/>
        <w:rPr>
          <w:sz w:val="20"/>
          <w:szCs w:val="20"/>
          <w:color w:val="auto"/>
        </w:rPr>
      </w:pPr>
      <w:r>
        <w:rPr>
          <w:rFonts w:ascii="Arial" w:cs="Arial" w:eastAsia="Arial" w:hAnsi="Arial"/>
          <w:sz w:val="16"/>
          <w:szCs w:val="16"/>
          <w:color w:val="FFFFFF"/>
        </w:rPr>
        <w:t xml:space="preserve">The </w:t>
      </w:r>
      <w:r>
        <w:rPr>
          <w:rFonts w:ascii="Arial" w:cs="Arial" w:eastAsia="Arial" w:hAnsi="Arial"/>
          <w:sz w:val="16"/>
          <w:szCs w:val="16"/>
          <w:b w:val="1"/>
          <w:bCs w:val="1"/>
          <w:color w:val="FFFFFF"/>
        </w:rPr>
        <w:t>Board of Directors</w:t>
      </w:r>
      <w:r>
        <w:rPr>
          <w:rFonts w:ascii="Arial" w:cs="Arial" w:eastAsia="Arial" w:hAnsi="Arial"/>
          <w:sz w:val="16"/>
          <w:szCs w:val="16"/>
          <w:color w:val="FFFFFF"/>
        </w:rPr>
        <w:t xml:space="preserve"> is responsible for overseeing management’s approach to risk management</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6"/>
          <w:szCs w:val="16"/>
          <w:color w:val="auto"/>
        </w:rPr>
        <w:t>Various Committees of the Board assist the Board in fulfilling that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24174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320" cy="24174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FF7F32"/>
        </w:rPr>
        <w:t>Audit and Risk Committee</w:t>
      </w:r>
    </w:p>
    <w:p>
      <w:pPr>
        <w:spacing w:after="0" w:line="135" w:lineRule="exact"/>
        <w:rPr>
          <w:sz w:val="20"/>
          <w:szCs w:val="20"/>
          <w:color w:val="auto"/>
        </w:rPr>
      </w:pPr>
    </w:p>
    <w:p>
      <w:pPr>
        <w:ind w:left="480" w:right="260" w:hanging="194"/>
        <w:spacing w:after="0" w:line="328" w:lineRule="auto"/>
        <w:tabs>
          <w:tab w:leader="none" w:pos="464" w:val="left"/>
        </w:tabs>
        <w:numPr>
          <w:ilvl w:val="0"/>
          <w:numId w:val="44"/>
        </w:numPr>
        <w:rPr>
          <w:rFonts w:ascii="Arial" w:cs="Arial" w:eastAsia="Arial" w:hAnsi="Arial"/>
          <w:sz w:val="16"/>
          <w:szCs w:val="16"/>
          <w:b w:val="1"/>
          <w:bCs w:val="1"/>
          <w:color w:val="FF7F32"/>
        </w:rPr>
      </w:pPr>
      <w:r>
        <w:rPr>
          <w:rFonts w:ascii="Arial" w:cs="Arial" w:eastAsia="Arial" w:hAnsi="Arial"/>
          <w:sz w:val="16"/>
          <w:szCs w:val="16"/>
          <w:color w:val="auto"/>
        </w:rPr>
        <w:t>assists the Board in its oversight of risk management in the areas of financial reporting, internal audit function, and compliance with legal and regulatory requirements related to financial reporting and auditing matters</w:t>
      </w:r>
    </w:p>
    <w:p>
      <w:pPr>
        <w:spacing w:after="0" w:line="30" w:lineRule="exact"/>
        <w:rPr>
          <w:rFonts w:ascii="Arial" w:cs="Arial" w:eastAsia="Arial" w:hAnsi="Arial"/>
          <w:sz w:val="16"/>
          <w:szCs w:val="16"/>
          <w:b w:val="1"/>
          <w:bCs w:val="1"/>
          <w:color w:val="FF7F32"/>
        </w:rPr>
      </w:pPr>
    </w:p>
    <w:p>
      <w:pPr>
        <w:ind w:left="480" w:right="280" w:hanging="194"/>
        <w:spacing w:after="0" w:line="321" w:lineRule="auto"/>
        <w:tabs>
          <w:tab w:leader="none" w:pos="464" w:val="left"/>
        </w:tabs>
        <w:numPr>
          <w:ilvl w:val="0"/>
          <w:numId w:val="44"/>
        </w:numPr>
        <w:rPr>
          <w:rFonts w:ascii="Arial" w:cs="Arial" w:eastAsia="Arial" w:hAnsi="Arial"/>
          <w:sz w:val="16"/>
          <w:szCs w:val="16"/>
          <w:b w:val="1"/>
          <w:bCs w:val="1"/>
          <w:color w:val="FF7F32"/>
        </w:rPr>
      </w:pPr>
      <w:r>
        <w:rPr>
          <w:rFonts w:ascii="Arial" w:cs="Arial" w:eastAsia="Arial" w:hAnsi="Arial"/>
          <w:sz w:val="16"/>
          <w:szCs w:val="16"/>
          <w:color w:val="auto"/>
        </w:rPr>
        <w:t>reviews and monitors significant compliance risk areas and the steps management takes to monitor, control, and report such compliance</w:t>
      </w:r>
    </w:p>
    <w:p>
      <w:pPr>
        <w:spacing w:after="0" w:line="1" w:lineRule="exact"/>
        <w:rPr>
          <w:rFonts w:ascii="Arial" w:cs="Arial" w:eastAsia="Arial" w:hAnsi="Arial"/>
          <w:sz w:val="16"/>
          <w:szCs w:val="16"/>
          <w:b w:val="1"/>
          <w:bCs w:val="1"/>
          <w:color w:val="FF7F32"/>
        </w:rPr>
      </w:pPr>
    </w:p>
    <w:p>
      <w:pPr>
        <w:ind w:left="480" w:right="440"/>
        <w:spacing w:after="0" w:line="356" w:lineRule="auto"/>
        <w:rPr>
          <w:rFonts w:ascii="Arial" w:cs="Arial" w:eastAsia="Arial" w:hAnsi="Arial"/>
          <w:sz w:val="16"/>
          <w:szCs w:val="16"/>
          <w:b w:val="1"/>
          <w:bCs w:val="1"/>
          <w:color w:val="FF7F32"/>
        </w:rPr>
      </w:pPr>
      <w:r>
        <w:rPr>
          <w:rFonts w:ascii="Arial" w:cs="Arial" w:eastAsia="Arial" w:hAnsi="Arial"/>
          <w:sz w:val="16"/>
          <w:szCs w:val="16"/>
          <w:color w:val="auto"/>
        </w:rPr>
        <w:t>risk exposures, including technology and cybersecurity</w:t>
      </w:r>
    </w:p>
    <w:p>
      <w:pPr>
        <w:spacing w:after="0" w:line="8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FF7F32"/>
        </w:rPr>
        <w:t>Finance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FF7F32"/>
        </w:rPr>
        <w:t>Compensation Committee</w:t>
      </w:r>
    </w:p>
    <w:p>
      <w:pPr>
        <w:spacing w:after="0" w:line="135" w:lineRule="exact"/>
        <w:rPr>
          <w:sz w:val="20"/>
          <w:szCs w:val="20"/>
          <w:color w:val="auto"/>
        </w:rPr>
      </w:pPr>
    </w:p>
    <w:p>
      <w:pPr>
        <w:ind w:left="200" w:right="280" w:hanging="199"/>
        <w:spacing w:after="0" w:line="336" w:lineRule="auto"/>
        <w:tabs>
          <w:tab w:leader="none" w:pos="184" w:val="left"/>
        </w:tabs>
        <w:numPr>
          <w:ilvl w:val="0"/>
          <w:numId w:val="45"/>
        </w:numPr>
        <w:rPr>
          <w:rFonts w:ascii="Arial" w:cs="Arial" w:eastAsia="Arial" w:hAnsi="Arial"/>
          <w:sz w:val="16"/>
          <w:szCs w:val="16"/>
          <w:b w:val="1"/>
          <w:bCs w:val="1"/>
          <w:color w:val="FF7F32"/>
        </w:rPr>
      </w:pPr>
      <w:r>
        <w:rPr>
          <w:rFonts w:ascii="Arial" w:cs="Arial" w:eastAsia="Arial" w:hAnsi="Arial"/>
          <w:sz w:val="16"/>
          <w:szCs w:val="16"/>
          <w:color w:val="auto"/>
        </w:rPr>
        <w:t>oversees our risk management activities with respect to our compensation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1481455</wp:posOffset>
            </wp:positionV>
            <wp:extent cx="7132320" cy="42862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2320" cy="4286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right="920"/>
        <w:spacing w:after="0" w:line="343" w:lineRule="auto"/>
        <w:rPr>
          <w:sz w:val="20"/>
          <w:szCs w:val="20"/>
          <w:color w:val="auto"/>
        </w:rPr>
      </w:pPr>
      <w:r>
        <w:rPr>
          <w:rFonts w:ascii="Arial" w:cs="Arial" w:eastAsia="Arial" w:hAnsi="Arial"/>
          <w:sz w:val="18"/>
          <w:szCs w:val="18"/>
          <w:b w:val="1"/>
          <w:bCs w:val="1"/>
          <w:color w:val="FF7F32"/>
        </w:rPr>
        <w:t>Nominating and Corporate Governance Committee</w:t>
      </w:r>
    </w:p>
    <w:p>
      <w:pPr>
        <w:spacing w:after="0" w:line="7" w:lineRule="exact"/>
        <w:rPr>
          <w:sz w:val="20"/>
          <w:szCs w:val="20"/>
          <w:color w:val="auto"/>
        </w:rPr>
      </w:pPr>
    </w:p>
    <w:p>
      <w:pPr>
        <w:ind w:left="200" w:right="540" w:hanging="192"/>
        <w:spacing w:after="0" w:line="330" w:lineRule="auto"/>
        <w:tabs>
          <w:tab w:leader="none" w:pos="184" w:val="left"/>
        </w:tabs>
        <w:numPr>
          <w:ilvl w:val="0"/>
          <w:numId w:val="46"/>
        </w:numPr>
        <w:rPr>
          <w:rFonts w:ascii="Arial" w:cs="Arial" w:eastAsia="Arial" w:hAnsi="Arial"/>
          <w:sz w:val="16"/>
          <w:szCs w:val="16"/>
          <w:b w:val="1"/>
          <w:bCs w:val="1"/>
          <w:color w:val="FF7F32"/>
        </w:rPr>
      </w:pPr>
      <w:r>
        <w:rPr>
          <w:rFonts w:ascii="Arial" w:cs="Arial" w:eastAsia="Arial" w:hAnsi="Arial"/>
          <w:sz w:val="16"/>
          <w:szCs w:val="16"/>
          <w:color w:val="auto"/>
        </w:rPr>
        <w:t>oversees risks associated with our overall corporate governance framework, principles, policies and practices</w:t>
      </w:r>
    </w:p>
    <w:p>
      <w:pPr>
        <w:spacing w:after="0" w:line="2227" w:lineRule="exact"/>
        <w:rPr>
          <w:sz w:val="20"/>
          <w:szCs w:val="20"/>
          <w:color w:val="auto"/>
        </w:rPr>
      </w:pPr>
    </w:p>
    <w:p>
      <w:pPr>
        <w:sectPr>
          <w:pgSz w:w="11900" w:h="16838" w:orient="portrait"/>
          <w:cols w:equalWidth="0" w:num="3">
            <w:col w:w="3520" w:space="720"/>
            <w:col w:w="3080" w:space="720"/>
            <w:col w:w="3200"/>
          </w:cols>
          <w:pgMar w:left="320" w:top="256" w:right="339" w:bottom="1440" w:gutter="0" w:footer="0" w:header="0"/>
          <w:type w:val="continuous"/>
        </w:sectPr>
      </w:pPr>
    </w:p>
    <w:p>
      <w:pPr>
        <w:ind w:left="460" w:hanging="174"/>
        <w:spacing w:after="0"/>
        <w:tabs>
          <w:tab w:leader="none" w:pos="460" w:val="left"/>
        </w:tabs>
        <w:numPr>
          <w:ilvl w:val="0"/>
          <w:numId w:val="47"/>
        </w:numPr>
        <w:rPr>
          <w:rFonts w:ascii="Arial" w:cs="Arial" w:eastAsia="Arial" w:hAnsi="Arial"/>
          <w:sz w:val="16"/>
          <w:szCs w:val="16"/>
          <w:b w:val="1"/>
          <w:bCs w:val="1"/>
          <w:color w:val="FF7F32"/>
        </w:rPr>
      </w:pPr>
      <w:r>
        <w:rPr>
          <w:rFonts w:ascii="Arial" w:cs="Arial" w:eastAsia="Arial" w:hAnsi="Arial"/>
          <w:sz w:val="16"/>
          <w:szCs w:val="16"/>
          <w:color w:val="auto"/>
        </w:rPr>
        <w:t>assists the Board in reviewing and monitoring risks associated with the current and long-range financial policies and strategies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697865</wp:posOffset>
            </wp:positionV>
            <wp:extent cx="7132320" cy="3689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36893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286385</wp:posOffset>
            </wp:positionV>
            <wp:extent cx="291465" cy="17970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91465"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line="374" w:lineRule="auto"/>
        <w:rPr>
          <w:sz w:val="20"/>
          <w:szCs w:val="20"/>
          <w:color w:val="auto"/>
        </w:rPr>
      </w:pPr>
      <w:r>
        <w:rPr>
          <w:rFonts w:ascii="Arial" w:cs="Arial" w:eastAsia="Arial" w:hAnsi="Arial"/>
          <w:sz w:val="16"/>
          <w:szCs w:val="16"/>
          <w:b w:val="1"/>
          <w:bCs w:val="1"/>
          <w:color w:val="auto"/>
        </w:rPr>
        <w:t xml:space="preserve">Management </w:t>
      </w:r>
      <w:r>
        <w:rPr>
          <w:rFonts w:ascii="Arial" w:cs="Arial" w:eastAsia="Arial" w:hAnsi="Arial"/>
          <w:sz w:val="16"/>
          <w:szCs w:val="16"/>
          <w:color w:val="auto"/>
        </w:rPr>
        <w:t>is responsible for managing the risks that the Company faces, identifies material risks facing the Company on an ongoing basis and</w:t>
      </w:r>
      <w:r>
        <w:rPr>
          <w:rFonts w:ascii="Arial" w:cs="Arial" w:eastAsia="Arial" w:hAnsi="Arial"/>
          <w:sz w:val="16"/>
          <w:szCs w:val="16"/>
          <w:b w:val="1"/>
          <w:bCs w:val="1"/>
          <w:color w:val="auto"/>
        </w:rPr>
        <w:t xml:space="preserve"> </w:t>
      </w:r>
      <w:r>
        <w:rPr>
          <w:rFonts w:ascii="Arial" w:cs="Arial" w:eastAsia="Arial" w:hAnsi="Arial"/>
          <w:sz w:val="16"/>
          <w:szCs w:val="16"/>
          <w:color w:val="auto"/>
        </w:rPr>
        <w:t>discusses those risks with the Board or its Committees, as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125095</wp:posOffset>
            </wp:positionV>
            <wp:extent cx="925830" cy="26543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925830" cy="265430"/>
                    </a:xfrm>
                    <a:prstGeom prst="rect">
                      <a:avLst/>
                    </a:prstGeom>
                    <a:noFill/>
                  </pic:spPr>
                </pic:pic>
              </a:graphicData>
            </a:graphic>
          </wp:anchor>
        </w:drawing>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b w:val="1"/>
                <w:bCs w:val="1"/>
                <w:color w:val="FF7F32"/>
              </w:rPr>
              <w:t xml:space="preserve">2026 </w:t>
            </w:r>
            <w:r>
              <w:rPr>
                <w:rFonts w:ascii="Arial" w:cs="Arial" w:eastAsia="Arial" w:hAnsi="Arial"/>
                <w:sz w:val="13"/>
                <w:szCs w:val="13"/>
                <w:color w:val="000000"/>
              </w:rPr>
              <w:t>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auto"/>
              </w:rPr>
              <w:t>35</w:t>
            </w:r>
          </w:p>
        </w:tc>
      </w:tr>
      <w:tr>
        <w:trPr>
          <w:trHeight w:val="433"/>
        </w:trPr>
        <w:tc>
          <w:tcPr>
            <w:tcW w:w="618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3"/>
          <w:szCs w:val="13"/>
          <w:color w:val="202945"/>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7"/>
          <w:szCs w:val="27"/>
          <w:color w:val="202945"/>
        </w:rPr>
        <w:t>Enterprise Risk Management</w:t>
      </w:r>
    </w:p>
    <w:p>
      <w:pPr>
        <w:spacing w:after="0" w:line="162" w:lineRule="exact"/>
        <w:rPr>
          <w:sz w:val="20"/>
          <w:szCs w:val="20"/>
          <w:color w:val="auto"/>
        </w:rPr>
      </w:pPr>
    </w:p>
    <w:p>
      <w:pPr>
        <w:ind w:right="120"/>
        <w:spacing w:after="0" w:line="328" w:lineRule="auto"/>
        <w:rPr>
          <w:sz w:val="20"/>
          <w:szCs w:val="20"/>
          <w:color w:val="auto"/>
        </w:rPr>
      </w:pPr>
      <w:r>
        <w:rPr>
          <w:rFonts w:ascii="Arial" w:cs="Arial" w:eastAsia="Arial" w:hAnsi="Arial"/>
          <w:sz w:val="16"/>
          <w:szCs w:val="16"/>
          <w:color w:val="auto"/>
        </w:rPr>
        <w:t>The Company has established an Internal Audit function responsible for evaluating the adequacy of the Company’s internal control framework and management’s assessment of the effectiveness of internal controls, assessing compliance with the Company’s policies and procedures, reviewing operations to ascertain whether results are consistent with established objectives and operating effectively, and assessing and reporting on the Company’s operational and financial risk, among other things. The Internal Audit function reports directly into the Audit and Risk Committee and provides the Audit and Risk Committee with an independent view of the Company’s internal controls framework and management’s assessment of the effectiveness of internal controls over financial reporting.</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Cybersecurity</w:t>
      </w:r>
    </w:p>
    <w:p>
      <w:pPr>
        <w:spacing w:after="0" w:line="275" w:lineRule="exact"/>
        <w:rPr>
          <w:sz w:val="20"/>
          <w:szCs w:val="20"/>
          <w:color w:val="auto"/>
        </w:rPr>
      </w:pPr>
    </w:p>
    <w:p>
      <w:pPr>
        <w:ind w:left="640" w:hanging="308"/>
        <w:spacing w:after="0"/>
        <w:tabs>
          <w:tab w:leader="none" w:pos="6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Cybersecurity risk management is a vigilant, proactive priority across our organization.</w:t>
      </w:r>
    </w:p>
    <w:p>
      <w:pPr>
        <w:spacing w:after="0" w:line="275" w:lineRule="exact"/>
        <w:rPr>
          <w:rFonts w:ascii="Arial" w:cs="Arial" w:eastAsia="Arial" w:hAnsi="Arial"/>
          <w:sz w:val="16"/>
          <w:szCs w:val="16"/>
          <w:color w:val="auto"/>
        </w:rPr>
      </w:pPr>
    </w:p>
    <w:p>
      <w:pPr>
        <w:ind w:left="660" w:right="240" w:hanging="328"/>
        <w:spacing w:after="0" w:line="356" w:lineRule="auto"/>
        <w:tabs>
          <w:tab w:leader="none" w:pos="649" w:val="left"/>
        </w:tabs>
        <w:numPr>
          <w:ilvl w:val="0"/>
          <w:numId w:val="48"/>
        </w:numPr>
        <w:rPr>
          <w:rFonts w:ascii="Arial" w:cs="Arial" w:eastAsia="Arial" w:hAnsi="Arial"/>
          <w:sz w:val="16"/>
          <w:szCs w:val="16"/>
          <w:color w:val="auto"/>
        </w:rPr>
      </w:pPr>
      <w:r>
        <w:rPr>
          <w:rFonts w:ascii="Arial" w:cs="Arial" w:eastAsia="Arial" w:hAnsi="Arial"/>
          <w:sz w:val="16"/>
          <w:szCs w:val="16"/>
          <w:color w:val="auto"/>
        </w:rPr>
        <w:t>Protecting the Company’s systems and our data from cyberattacks and unintentional or malicious breaches is a priority for the Company’s Board and management.</w:t>
      </w:r>
    </w:p>
    <w:p>
      <w:pPr>
        <w:spacing w:after="0" w:line="169" w:lineRule="exact"/>
        <w:rPr>
          <w:rFonts w:ascii="Arial" w:cs="Arial" w:eastAsia="Arial" w:hAnsi="Arial"/>
          <w:sz w:val="16"/>
          <w:szCs w:val="16"/>
          <w:color w:val="auto"/>
        </w:rPr>
      </w:pPr>
    </w:p>
    <w:p>
      <w:pPr>
        <w:ind w:left="640" w:hanging="308"/>
        <w:spacing w:after="0"/>
        <w:tabs>
          <w:tab w:leader="none" w:pos="6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Board and management actively oversee the management of cybersecurity risks through our enterprise risk management programs.</w:t>
      </w:r>
    </w:p>
    <w:p>
      <w:pPr>
        <w:spacing w:after="0" w:line="234" w:lineRule="exact"/>
        <w:rPr>
          <w:rFonts w:ascii="Arial" w:cs="Arial" w:eastAsia="Arial" w:hAnsi="Arial"/>
          <w:sz w:val="16"/>
          <w:szCs w:val="16"/>
          <w:color w:val="auto"/>
        </w:rPr>
      </w:pPr>
    </w:p>
    <w:p>
      <w:pPr>
        <w:ind w:left="660" w:right="160" w:hanging="328"/>
        <w:spacing w:after="0" w:line="251" w:lineRule="auto"/>
        <w:tabs>
          <w:tab w:leader="none" w:pos="649"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Board also reviews and monitors compliance risks related to information security and cybersecurity, including the steps management takes to monitor, control and report such compliance risk exposures.</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Sustainability</w:t>
      </w:r>
    </w:p>
    <w:p>
      <w:pPr>
        <w:spacing w:after="0" w:line="248" w:lineRule="exact"/>
        <w:rPr>
          <w:sz w:val="20"/>
          <w:szCs w:val="20"/>
          <w:color w:val="auto"/>
        </w:rPr>
      </w:pPr>
    </w:p>
    <w:p>
      <w:pPr>
        <w:ind w:left="640" w:hanging="308"/>
        <w:spacing w:after="0"/>
        <w:tabs>
          <w:tab w:leader="none" w:pos="6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Sustainability issues and initiatives are a priority for the Board and management.</w:t>
      </w:r>
    </w:p>
    <w:p>
      <w:pPr>
        <w:spacing w:after="0" w:line="221" w:lineRule="exact"/>
        <w:rPr>
          <w:rFonts w:ascii="Arial" w:cs="Arial" w:eastAsia="Arial" w:hAnsi="Arial"/>
          <w:sz w:val="16"/>
          <w:szCs w:val="16"/>
          <w:color w:val="auto"/>
        </w:rPr>
      </w:pPr>
    </w:p>
    <w:p>
      <w:pPr>
        <w:ind w:left="660" w:right="340" w:hanging="328"/>
        <w:spacing w:after="0" w:line="251" w:lineRule="auto"/>
        <w:tabs>
          <w:tab w:leader="none" w:pos="649" w:val="left"/>
        </w:tabs>
        <w:numPr>
          <w:ilvl w:val="0"/>
          <w:numId w:val="49"/>
        </w:numPr>
        <w:rPr>
          <w:rFonts w:ascii="Arial" w:cs="Arial" w:eastAsia="Arial" w:hAnsi="Arial"/>
          <w:sz w:val="16"/>
          <w:szCs w:val="16"/>
          <w:color w:val="auto"/>
        </w:rPr>
      </w:pPr>
      <w:r>
        <w:rPr>
          <w:rFonts w:ascii="Arial" w:cs="Arial" w:eastAsia="Arial" w:hAnsi="Arial"/>
          <w:sz w:val="16"/>
          <w:szCs w:val="16"/>
          <w:color w:val="auto"/>
        </w:rPr>
        <w:t>Our Board has overall accountability for the Company’s sustainability performance, risk management and strategic direction, and may delegate responsibility for reviewing sustainability initiatives and performance.</w:t>
      </w:r>
    </w:p>
    <w:p>
      <w:pPr>
        <w:spacing w:after="0" w:line="182" w:lineRule="exact"/>
        <w:rPr>
          <w:rFonts w:ascii="Arial" w:cs="Arial" w:eastAsia="Arial" w:hAnsi="Arial"/>
          <w:sz w:val="16"/>
          <w:szCs w:val="16"/>
          <w:color w:val="auto"/>
        </w:rPr>
      </w:pPr>
    </w:p>
    <w:p>
      <w:pPr>
        <w:ind w:left="640" w:hanging="308"/>
        <w:spacing w:after="0"/>
        <w:tabs>
          <w:tab w:leader="none" w:pos="6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Board committees and management report to the Board on sustainability matters, strategy and risk management.</w:t>
      </w:r>
    </w:p>
    <w:p>
      <w:pPr>
        <w:spacing w:after="0" w:line="221" w:lineRule="exact"/>
        <w:rPr>
          <w:rFonts w:ascii="Arial" w:cs="Arial" w:eastAsia="Arial" w:hAnsi="Arial"/>
          <w:sz w:val="16"/>
          <w:szCs w:val="16"/>
          <w:color w:val="auto"/>
        </w:rPr>
      </w:pPr>
    </w:p>
    <w:p>
      <w:pPr>
        <w:ind w:left="660" w:right="300" w:hanging="328"/>
        <w:spacing w:after="0" w:line="251" w:lineRule="auto"/>
        <w:tabs>
          <w:tab w:leader="none" w:pos="649"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Nominating and Corporate Governance Committee oversees and is responsible for reviewing and reporting to the Board on the Company’s sustainability policies, practices, goals and programs.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Human Capital Management (HCM)</w:t>
      </w:r>
    </w:p>
    <w:p>
      <w:pPr>
        <w:spacing w:after="0" w:line="262" w:lineRule="exact"/>
        <w:rPr>
          <w:sz w:val="20"/>
          <w:szCs w:val="20"/>
          <w:color w:val="auto"/>
        </w:rPr>
      </w:pPr>
    </w:p>
    <w:p>
      <w:pPr>
        <w:ind w:left="660" w:right="300" w:hanging="328"/>
        <w:spacing w:after="0" w:line="304" w:lineRule="auto"/>
        <w:tabs>
          <w:tab w:leader="none" w:pos="649" w:val="left"/>
        </w:tabs>
        <w:numPr>
          <w:ilvl w:val="0"/>
          <w:numId w:val="50"/>
        </w:numPr>
        <w:rPr>
          <w:rFonts w:ascii="Arial" w:cs="Arial" w:eastAsia="Arial" w:hAnsi="Arial"/>
          <w:sz w:val="16"/>
          <w:szCs w:val="16"/>
          <w:color w:val="auto"/>
        </w:rPr>
      </w:pPr>
      <w:r>
        <w:rPr>
          <w:rFonts w:ascii="Arial" w:cs="Arial" w:eastAsia="Arial" w:hAnsi="Arial"/>
          <w:sz w:val="16"/>
          <w:szCs w:val="16"/>
          <w:color w:val="auto"/>
        </w:rPr>
        <w:t>We believe our ability to attract, develop and retain the most qualified candidates in all areas of our business is critical to our future success and growth.</w:t>
      </w:r>
    </w:p>
    <w:p>
      <w:pPr>
        <w:spacing w:after="0" w:line="195" w:lineRule="exact"/>
        <w:rPr>
          <w:rFonts w:ascii="Arial" w:cs="Arial" w:eastAsia="Arial" w:hAnsi="Arial"/>
          <w:sz w:val="16"/>
          <w:szCs w:val="16"/>
          <w:color w:val="auto"/>
        </w:rPr>
      </w:pPr>
    </w:p>
    <w:p>
      <w:pPr>
        <w:ind w:left="660" w:right="120" w:hanging="328"/>
        <w:spacing w:after="0" w:line="304" w:lineRule="auto"/>
        <w:tabs>
          <w:tab w:leader="none" w:pos="649" w:val="left"/>
        </w:tabs>
        <w:numPr>
          <w:ilvl w:val="0"/>
          <w:numId w:val="50"/>
        </w:numPr>
        <w:rPr>
          <w:rFonts w:ascii="Arial" w:cs="Arial" w:eastAsia="Arial" w:hAnsi="Arial"/>
          <w:sz w:val="16"/>
          <w:szCs w:val="16"/>
          <w:color w:val="auto"/>
        </w:rPr>
      </w:pPr>
      <w:r>
        <w:rPr>
          <w:rFonts w:ascii="Arial" w:cs="Arial" w:eastAsia="Arial" w:hAnsi="Arial"/>
          <w:sz w:val="16"/>
          <w:szCs w:val="16"/>
          <w:color w:val="auto"/>
        </w:rPr>
        <w:t>We prioritize and continue to invest in helping our employees grow professionally in their career. We offer a combination of interactive professional development trainings, access to on demand online courses through our learning management system, and group learning programs.</w:t>
      </w:r>
    </w:p>
    <w:p>
      <w:pPr>
        <w:spacing w:after="0" w:line="195" w:lineRule="exact"/>
        <w:rPr>
          <w:rFonts w:ascii="Arial" w:cs="Arial" w:eastAsia="Arial" w:hAnsi="Arial"/>
          <w:sz w:val="16"/>
          <w:szCs w:val="16"/>
          <w:color w:val="auto"/>
        </w:rPr>
      </w:pPr>
    </w:p>
    <w:p>
      <w:pPr>
        <w:ind w:left="660" w:hanging="328"/>
        <w:spacing w:after="0" w:line="282" w:lineRule="auto"/>
        <w:tabs>
          <w:tab w:leader="none" w:pos="694" w:val="left"/>
        </w:tabs>
        <w:numPr>
          <w:ilvl w:val="0"/>
          <w:numId w:val="50"/>
        </w:numPr>
        <w:rPr>
          <w:rFonts w:ascii="Arial" w:cs="Arial" w:eastAsia="Arial" w:hAnsi="Arial"/>
          <w:sz w:val="16"/>
          <w:szCs w:val="16"/>
          <w:color w:val="auto"/>
        </w:rPr>
      </w:pPr>
      <w:r>
        <w:rPr>
          <w:rFonts w:ascii="Arial" w:cs="Arial" w:eastAsia="Arial" w:hAnsi="Arial"/>
          <w:sz w:val="16"/>
          <w:szCs w:val="16"/>
          <w:color w:val="auto"/>
        </w:rPr>
        <w:t>We use an annual employee engagement survey to inform the ongoing development of our employee programs and resources. The survey reflects questions to gauge employee sentiments toward current trends and issues including company direction and strategy, communication by management, individual development, team culture, and overall satisfaction. With the information provided by the annual engagement survey, leadership is provided key insights and valuable feedback which we continue to implement in our Company-wide action plans with the intent to focus on key areas to prioritize, enhance, and drive continued increase in employee engagement, learning and development, and professional growth for our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93980</wp:posOffset>
            </wp:positionV>
            <wp:extent cx="925830" cy="26606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925830" cy="266065"/>
                    </a:xfrm>
                    <a:prstGeom prst="rect">
                      <a:avLst/>
                    </a:prstGeom>
                    <a:noFill/>
                  </pic:spPr>
                </pic:pic>
              </a:graphicData>
            </a:graphic>
          </wp:anchor>
        </w:drawing>
      </w:r>
    </w:p>
    <w:p>
      <w:pPr>
        <w:spacing w:after="0" w:line="286"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auto"/>
        </w:rPr>
        <w:t>36</w:t>
      </w:r>
      <w:r>
        <w:rPr>
          <w:sz w:val="20"/>
          <w:szCs w:val="20"/>
          <w:color w:val="auto"/>
        </w:rPr>
        <w:tab/>
      </w:r>
      <w:r>
        <w:rPr>
          <w:rFonts w:ascii="Arial" w:cs="Arial" w:eastAsia="Arial" w:hAnsi="Arial"/>
          <w:sz w:val="12"/>
          <w:szCs w:val="12"/>
          <w:b w:val="1"/>
          <w:bCs w:val="1"/>
          <w:color w:val="FF7F32"/>
        </w:rPr>
        <w:t xml:space="preserve">2026 </w:t>
      </w:r>
      <w:r>
        <w:rPr>
          <w:rFonts w:ascii="Arial" w:cs="Arial" w:eastAsia="Arial" w:hAnsi="Arial"/>
          <w:sz w:val="12"/>
          <w:szCs w:val="12"/>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7" w:right="359" w:bottom="1440" w:gutter="0" w:footer="0" w:header="0"/>
        </w:sectPr>
      </w:pPr>
    </w:p>
    <w:bookmarkStart w:id="39" w:name="page40"/>
    <w:bookmarkEnd w:id="39"/>
    <w:p>
      <w:pPr>
        <w:jc w:val="right"/>
        <w:spacing w:after="0"/>
        <w:rPr>
          <w:sz w:val="20"/>
          <w:szCs w:val="20"/>
          <w:color w:val="auto"/>
        </w:rPr>
      </w:pPr>
      <w:r>
        <w:rPr>
          <w:rFonts w:ascii="Arial" w:cs="Arial" w:eastAsia="Arial" w:hAnsi="Arial"/>
          <w:sz w:val="13"/>
          <w:szCs w:val="13"/>
          <w:color w:val="202945"/>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9"/>
          <w:szCs w:val="29"/>
          <w:b w:val="1"/>
          <w:bCs w:val="1"/>
          <w:color w:val="FF7F32"/>
        </w:rPr>
        <w:t>CEO and Management Succession Planning</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The Chairman of the Board conducts the Chief Executive Officer’s annual performance review leveraging input from all Directors of the Board.</w:t>
      </w:r>
    </w:p>
    <w:p>
      <w:pPr>
        <w:spacing w:after="0" w:line="167" w:lineRule="exact"/>
        <w:rPr>
          <w:sz w:val="20"/>
          <w:szCs w:val="20"/>
          <w:color w:val="auto"/>
        </w:rPr>
      </w:pPr>
    </w:p>
    <w:p>
      <w:pPr>
        <w:ind w:right="680"/>
        <w:spacing w:after="0" w:line="356" w:lineRule="auto"/>
        <w:rPr>
          <w:sz w:val="20"/>
          <w:szCs w:val="20"/>
          <w:color w:val="auto"/>
        </w:rPr>
      </w:pPr>
      <w:r>
        <w:rPr>
          <w:rFonts w:ascii="Arial" w:cs="Arial" w:eastAsia="Arial" w:hAnsi="Arial"/>
          <w:sz w:val="16"/>
          <w:szCs w:val="16"/>
          <w:color w:val="auto"/>
        </w:rPr>
        <w:t>The Chief Executive Officer prepares, and the Board reviews, on an annual basis, an emergency short-term succession contingency plan should an unforeseen event, such as death or disability, occur that prevents the Chief Executive Officer from continuing to serve.</w:t>
      </w:r>
    </w:p>
    <w:p>
      <w:pPr>
        <w:spacing w:after="0" w:line="262" w:lineRule="exact"/>
        <w:rPr>
          <w:sz w:val="20"/>
          <w:szCs w:val="20"/>
          <w:color w:val="auto"/>
        </w:rPr>
      </w:pPr>
    </w:p>
    <w:p>
      <w:pPr>
        <w:spacing w:after="0"/>
        <w:rPr>
          <w:sz w:val="20"/>
          <w:szCs w:val="20"/>
          <w:color w:val="auto"/>
        </w:rPr>
      </w:pPr>
      <w:r>
        <w:rPr>
          <w:rFonts w:ascii="Arial" w:cs="Arial" w:eastAsia="Arial" w:hAnsi="Arial"/>
          <w:sz w:val="32"/>
          <w:szCs w:val="32"/>
          <w:b w:val="1"/>
          <w:bCs w:val="1"/>
          <w:color w:val="202945"/>
        </w:rPr>
        <w:t>Other Governance Policies and Practices</w:t>
      </w:r>
    </w:p>
    <w:p>
      <w:pPr>
        <w:spacing w:after="0" w:line="357" w:lineRule="exact"/>
        <w:rPr>
          <w:sz w:val="20"/>
          <w:szCs w:val="20"/>
          <w:color w:val="auto"/>
        </w:rPr>
      </w:pPr>
    </w:p>
    <w:p>
      <w:pPr>
        <w:spacing w:after="0"/>
        <w:rPr>
          <w:sz w:val="20"/>
          <w:szCs w:val="20"/>
          <w:color w:val="auto"/>
        </w:rPr>
      </w:pPr>
      <w:r>
        <w:rPr>
          <w:rFonts w:ascii="Arial" w:cs="Arial" w:eastAsia="Arial" w:hAnsi="Arial"/>
          <w:sz w:val="29"/>
          <w:szCs w:val="29"/>
          <w:b w:val="1"/>
          <w:bCs w:val="1"/>
          <w:color w:val="FF7F32"/>
        </w:rPr>
        <w:t>Governance Guidelines</w:t>
      </w:r>
    </w:p>
    <w:p>
      <w:pPr>
        <w:spacing w:after="0" w:line="267" w:lineRule="exact"/>
        <w:rPr>
          <w:sz w:val="20"/>
          <w:szCs w:val="20"/>
          <w:color w:val="auto"/>
        </w:rPr>
      </w:pPr>
    </w:p>
    <w:p>
      <w:pPr>
        <w:ind w:right="140"/>
        <w:spacing w:after="0" w:line="330" w:lineRule="auto"/>
        <w:rPr>
          <w:sz w:val="20"/>
          <w:szCs w:val="20"/>
          <w:color w:val="auto"/>
        </w:rPr>
      </w:pPr>
      <w:r>
        <w:rPr>
          <w:rFonts w:ascii="Arial" w:cs="Arial" w:eastAsia="Arial" w:hAnsi="Arial"/>
          <w:sz w:val="16"/>
          <w:szCs w:val="16"/>
          <w:color w:val="auto"/>
        </w:rPr>
        <w:t xml:space="preserve">The Corporate Governance Guidelines are reviewed periodically by the Nominating and Corporate Governance Committee, and the Board makes changes when appropriate based on recommendations from the Committee. The Corporate Governance Guidelines were most recently amended on August 12, 2022. A copy of the Corporate Governance Guidelines is posted on our website at </w:t>
      </w:r>
      <w:r>
        <w:rPr>
          <w:rFonts w:ascii="Arial" w:cs="Arial" w:eastAsia="Arial" w:hAnsi="Arial"/>
          <w:sz w:val="16"/>
          <w:szCs w:val="16"/>
          <w:i w:val="1"/>
          <w:iCs w:val="1"/>
          <w:color w:val="auto"/>
        </w:rPr>
        <w:t>www.cantaloupe.com</w:t>
      </w:r>
      <w:r>
        <w:rPr>
          <w:rFonts w:ascii="Arial" w:cs="Arial" w:eastAsia="Arial" w:hAnsi="Arial"/>
          <w:sz w:val="16"/>
          <w:szCs w:val="16"/>
          <w:color w:val="auto"/>
        </w:rPr>
        <w:t>. The Board annually reviews the Company’s corporate governance policies and practices in light of the requirements of applicable law and the listing standards of Nasdaq.</w:t>
      </w:r>
    </w:p>
    <w:p>
      <w:pPr>
        <w:spacing w:after="0" w:line="68" w:lineRule="exact"/>
        <w:rPr>
          <w:sz w:val="20"/>
          <w:szCs w:val="20"/>
          <w:color w:val="auto"/>
        </w:rPr>
      </w:pPr>
    </w:p>
    <w:p>
      <w:pPr>
        <w:ind w:right="60"/>
        <w:spacing w:after="0" w:line="345" w:lineRule="auto"/>
        <w:rPr>
          <w:sz w:val="20"/>
          <w:szCs w:val="20"/>
          <w:color w:val="auto"/>
        </w:rPr>
      </w:pPr>
      <w:r>
        <w:rPr>
          <w:rFonts w:ascii="Arial" w:cs="Arial" w:eastAsia="Arial" w:hAnsi="Arial"/>
          <w:sz w:val="16"/>
          <w:szCs w:val="16"/>
          <w:color w:val="auto"/>
        </w:rPr>
        <w:t>Among other things, our Corporate Governance Guidelines provide that (i) directors who are not independent may not serve on the boards of more than one other public company in addition to the Board and (ii) independent directors may not serve on the Boards of more than four other public companies in addition to the Board.</w:t>
      </w:r>
    </w:p>
    <w:p>
      <w:pPr>
        <w:spacing w:after="0" w:line="213" w:lineRule="exact"/>
        <w:rPr>
          <w:sz w:val="20"/>
          <w:szCs w:val="20"/>
          <w:color w:val="auto"/>
        </w:rPr>
      </w:pPr>
    </w:p>
    <w:p>
      <w:pPr>
        <w:spacing w:after="0"/>
        <w:rPr>
          <w:sz w:val="20"/>
          <w:szCs w:val="20"/>
          <w:color w:val="auto"/>
        </w:rPr>
      </w:pPr>
      <w:r>
        <w:rPr>
          <w:rFonts w:ascii="Arial" w:cs="Arial" w:eastAsia="Arial" w:hAnsi="Arial"/>
          <w:sz w:val="29"/>
          <w:szCs w:val="29"/>
          <w:b w:val="1"/>
          <w:bCs w:val="1"/>
          <w:color w:val="FF7F32"/>
        </w:rPr>
        <w:t>Code of Business Conduct and Ethics</w:t>
      </w:r>
    </w:p>
    <w:p>
      <w:pPr>
        <w:spacing w:after="0" w:line="267" w:lineRule="exact"/>
        <w:rPr>
          <w:sz w:val="20"/>
          <w:szCs w:val="20"/>
          <w:color w:val="auto"/>
        </w:rPr>
      </w:pPr>
    </w:p>
    <w:p>
      <w:pPr>
        <w:ind w:right="200"/>
        <w:spacing w:after="0" w:line="336" w:lineRule="auto"/>
        <w:rPr>
          <w:sz w:val="20"/>
          <w:szCs w:val="20"/>
          <w:color w:val="auto"/>
        </w:rPr>
      </w:pPr>
      <w:r>
        <w:rPr>
          <w:rFonts w:ascii="Arial" w:cs="Arial" w:eastAsia="Arial" w:hAnsi="Arial"/>
          <w:sz w:val="16"/>
          <w:szCs w:val="16"/>
          <w:color w:val="auto"/>
        </w:rPr>
        <w:t xml:space="preserve">We have adopted a Code of Business Conduct and Ethics (the “Code of Conduct”) that applies to all of our directors, officers and employees. The Code of Conduct is posted on our website at </w:t>
      </w:r>
      <w:r>
        <w:rPr>
          <w:rFonts w:ascii="Arial" w:cs="Arial" w:eastAsia="Arial" w:hAnsi="Arial"/>
          <w:sz w:val="16"/>
          <w:szCs w:val="16"/>
          <w:i w:val="1"/>
          <w:iCs w:val="1"/>
          <w:color w:val="auto"/>
        </w:rPr>
        <w:t>www.cantaloupe.com</w:t>
      </w:r>
      <w:r>
        <w:rPr>
          <w:rFonts w:ascii="Arial" w:cs="Arial" w:eastAsia="Arial" w:hAnsi="Arial"/>
          <w:sz w:val="16"/>
          <w:szCs w:val="16"/>
          <w:color w:val="auto"/>
        </w:rPr>
        <w:t>. The Board must grant any waiver from a provision of the Code of Conduct to any executive officer or director, and any such waiver will be disclosed as required by law or stock market regulation.</w:t>
      </w:r>
    </w:p>
    <w:p>
      <w:pPr>
        <w:spacing w:after="0" w:line="233" w:lineRule="exact"/>
        <w:rPr>
          <w:sz w:val="20"/>
          <w:szCs w:val="20"/>
          <w:color w:val="auto"/>
        </w:rPr>
      </w:pPr>
    </w:p>
    <w:p>
      <w:pPr>
        <w:spacing w:after="0"/>
        <w:rPr>
          <w:sz w:val="20"/>
          <w:szCs w:val="20"/>
          <w:color w:val="auto"/>
        </w:rPr>
      </w:pPr>
      <w:r>
        <w:rPr>
          <w:rFonts w:ascii="Arial" w:cs="Arial" w:eastAsia="Arial" w:hAnsi="Arial"/>
          <w:sz w:val="29"/>
          <w:szCs w:val="29"/>
          <w:b w:val="1"/>
          <w:bCs w:val="1"/>
          <w:color w:val="FF7F32"/>
        </w:rPr>
        <w:t>Certain Relationships and Related Party Transactions</w:t>
      </w:r>
    </w:p>
    <w:p>
      <w:pPr>
        <w:spacing w:after="0" w:line="267" w:lineRule="exact"/>
        <w:rPr>
          <w:sz w:val="20"/>
          <w:szCs w:val="20"/>
          <w:color w:val="auto"/>
        </w:rPr>
      </w:pPr>
    </w:p>
    <w:p>
      <w:pPr>
        <w:ind w:right="60"/>
        <w:spacing w:after="0" w:line="324" w:lineRule="auto"/>
        <w:rPr>
          <w:sz w:val="20"/>
          <w:szCs w:val="20"/>
          <w:color w:val="auto"/>
        </w:rPr>
      </w:pPr>
      <w:r>
        <w:rPr>
          <w:rFonts w:ascii="Arial" w:cs="Arial" w:eastAsia="Arial" w:hAnsi="Arial"/>
          <w:sz w:val="16"/>
          <w:szCs w:val="16"/>
          <w:color w:val="auto"/>
        </w:rPr>
        <w:t>We have adopted a formal written policy, which is set forth in our Audit and Risk Committee Charter, that our Audit and Risk Committee review and approve all related-party transactions, defined by, or those transactions required to be disclosed under, Item 404 of Regulation S-K. Executive officers, directors, holders of more than 5% of any class of our voting securities, and any member of the immediate family of, and any entity affiliated with, any of the foregoing persons, are not permitted to enter into a related person transaction with us without the prior consent of our Audit and Risk Committee. Any request for us to enter into a transaction with an executive officer, director, principal shareholder, or any of their immediate family members or affiliates, in which the amount involved exceeds $120,000 is considered a “related party transaction” and must first be presented to our Audit and Risk Committee for review, consideration and approval. In approving or rejecting any such proposal, our Audit and Risk Committee is to consider the relevant facts and circumstances available and deemed relevant to the Audit and Risk Committee, including, but not limited to, whether the transaction is on terms no less favorable than terms generally available to an unaffiliated third party under the same or similar circumstances and the extent of the related person’s interest in the transaction.</w:t>
      </w:r>
    </w:p>
    <w:p>
      <w:pPr>
        <w:spacing w:after="0" w:line="73" w:lineRule="exact"/>
        <w:rPr>
          <w:sz w:val="20"/>
          <w:szCs w:val="20"/>
          <w:color w:val="auto"/>
        </w:rPr>
      </w:pPr>
    </w:p>
    <w:p>
      <w:pPr>
        <w:ind w:right="680"/>
        <w:spacing w:after="0" w:line="356" w:lineRule="auto"/>
        <w:rPr>
          <w:sz w:val="20"/>
          <w:szCs w:val="20"/>
          <w:color w:val="auto"/>
        </w:rPr>
      </w:pPr>
      <w:r>
        <w:rPr>
          <w:rFonts w:ascii="Arial" w:cs="Arial" w:eastAsia="Arial" w:hAnsi="Arial"/>
          <w:sz w:val="16"/>
          <w:szCs w:val="16"/>
          <w:color w:val="auto"/>
        </w:rPr>
        <w:t>In addition, under our Code of Business Conduct and Ethics, our executive officers and directors have a responsibility to disclose any transaction or relationship that reasonably could be expected to interfere with their exercise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133985</wp:posOffset>
            </wp:positionV>
            <wp:extent cx="925830" cy="26543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925830" cy="265430"/>
                    </a:xfrm>
                    <a:prstGeom prst="rect">
                      <a:avLst/>
                    </a:prstGeom>
                    <a:noFill/>
                  </pic:spPr>
                </pic:pic>
              </a:graphicData>
            </a:graphic>
          </wp:anchor>
        </w:drawing>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b w:val="1"/>
                <w:bCs w:val="1"/>
                <w:color w:val="FF7F32"/>
              </w:rPr>
              <w:t xml:space="preserve">2026 </w:t>
            </w:r>
            <w:r>
              <w:rPr>
                <w:rFonts w:ascii="Arial" w:cs="Arial" w:eastAsia="Arial" w:hAnsi="Arial"/>
                <w:sz w:val="13"/>
                <w:szCs w:val="13"/>
                <w:color w:val="000000"/>
              </w:rPr>
              <w:t>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auto"/>
              </w:rPr>
              <w:t>37</w:t>
            </w:r>
          </w:p>
        </w:tc>
      </w:tr>
      <w:tr>
        <w:trPr>
          <w:trHeight w:val="420"/>
        </w:trPr>
        <w:tc>
          <w:tcPr>
            <w:tcW w:w="618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0" w:name="page41"/>
    <w:bookmarkEnd w:id="40"/>
    <w:p>
      <w:pPr>
        <w:spacing w:after="0"/>
        <w:rPr>
          <w:sz w:val="20"/>
          <w:szCs w:val="20"/>
          <w:color w:val="auto"/>
        </w:rPr>
      </w:pPr>
      <w:r>
        <w:rPr>
          <w:rFonts w:ascii="Arial" w:cs="Arial" w:eastAsia="Arial" w:hAnsi="Arial"/>
          <w:sz w:val="13"/>
          <w:szCs w:val="13"/>
          <w:color w:val="202945"/>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20"/>
        <w:spacing w:after="0" w:line="356" w:lineRule="auto"/>
        <w:rPr>
          <w:sz w:val="20"/>
          <w:szCs w:val="20"/>
          <w:color w:val="auto"/>
        </w:rPr>
      </w:pPr>
      <w:r>
        <w:rPr>
          <w:rFonts w:ascii="Arial" w:cs="Arial" w:eastAsia="Arial" w:hAnsi="Arial"/>
          <w:sz w:val="16"/>
          <w:szCs w:val="16"/>
          <w:color w:val="auto"/>
        </w:rPr>
        <w:t>independent judgment or materially impair the performance of their responsibilities to our Board, which shall be responsible for reviewing such transaction or relationship and determining whether any action needs to be taken.</w:t>
      </w:r>
    </w:p>
    <w:p>
      <w:pPr>
        <w:spacing w:after="0" w:line="62" w:lineRule="exact"/>
        <w:rPr>
          <w:sz w:val="20"/>
          <w:szCs w:val="20"/>
          <w:color w:val="auto"/>
        </w:rPr>
      </w:pPr>
    </w:p>
    <w:p>
      <w:pPr>
        <w:spacing w:after="0"/>
        <w:rPr>
          <w:sz w:val="20"/>
          <w:szCs w:val="20"/>
          <w:color w:val="auto"/>
        </w:rPr>
      </w:pPr>
      <w:r>
        <w:rPr>
          <w:rFonts w:ascii="Arial" w:cs="Arial" w:eastAsia="Arial" w:hAnsi="Arial"/>
          <w:sz w:val="27"/>
          <w:szCs w:val="27"/>
          <w:color w:val="202945"/>
        </w:rPr>
        <w:t>Other Transactions with Related Persons</w:t>
      </w:r>
    </w:p>
    <w:p>
      <w:pPr>
        <w:spacing w:after="0" w:line="189" w:lineRule="exact"/>
        <w:rPr>
          <w:sz w:val="20"/>
          <w:szCs w:val="20"/>
          <w:color w:val="auto"/>
        </w:rPr>
      </w:pPr>
    </w:p>
    <w:p>
      <w:pPr>
        <w:spacing w:after="0" w:line="374" w:lineRule="auto"/>
        <w:rPr>
          <w:sz w:val="20"/>
          <w:szCs w:val="20"/>
          <w:color w:val="auto"/>
        </w:rPr>
      </w:pPr>
      <w:r>
        <w:rPr>
          <w:rFonts w:ascii="Arial" w:cs="Arial" w:eastAsia="Arial" w:hAnsi="Arial"/>
          <w:sz w:val="16"/>
          <w:szCs w:val="16"/>
          <w:color w:val="auto"/>
        </w:rPr>
        <w:t>In determining director independence, our Board reviews other transactions with related persons. As required by Item 407(a)(3) of Regulation S-K, our Board considered the following transaction in evaluating Mr. Passilla’s independence:</w:t>
      </w:r>
    </w:p>
    <w:p>
      <w:pPr>
        <w:spacing w:after="0" w:line="34" w:lineRule="exact"/>
        <w:rPr>
          <w:sz w:val="20"/>
          <w:szCs w:val="20"/>
          <w:color w:val="auto"/>
        </w:rPr>
      </w:pPr>
    </w:p>
    <w:p>
      <w:pPr>
        <w:ind w:right="140"/>
        <w:spacing w:after="0" w:line="324" w:lineRule="auto"/>
        <w:rPr>
          <w:sz w:val="20"/>
          <w:szCs w:val="20"/>
          <w:color w:val="auto"/>
        </w:rPr>
      </w:pPr>
      <w:r>
        <w:rPr>
          <w:rFonts w:ascii="Arial" w:cs="Arial" w:eastAsia="Arial" w:hAnsi="Arial"/>
          <w:sz w:val="16"/>
          <w:szCs w:val="16"/>
          <w:color w:val="auto"/>
        </w:rPr>
        <w:t>Mr. Passilla serves as a strategic advisor to Optimized Payments, Inc. (“Optimized”), a consulting firm that we utilize for payments analytics and advisory services. The Company uses these services in analysis, comparison and negotiation of our interchange and other processing fees charged by payment processors and credit card networks. As consideration for the services, we pay the consulting firm a subscription fee, as well as success fee for certain savings realized by the Company. Mr. Passilla does not have a material interest in the Company’s arrangement with Optimized. Mr. Passilla’s aggregate ownership interest in Optimized is less than 10% and, in accordance with Item 404, the Board determined that Mr. Passilla did not have a direct or indirect material interest in the transaction. The company paid $0.2 million and $0.2 million to Optimized for the years ended June 30, 2025 and 2024, respectively.</w:t>
      </w:r>
    </w:p>
    <w:p>
      <w:pPr>
        <w:spacing w:after="0" w:line="22" w:lineRule="exact"/>
        <w:rPr>
          <w:sz w:val="20"/>
          <w:szCs w:val="20"/>
          <w:color w:val="auto"/>
        </w:rPr>
      </w:pPr>
    </w:p>
    <w:p>
      <w:pPr>
        <w:ind w:right="180"/>
        <w:spacing w:after="0" w:line="292" w:lineRule="auto"/>
        <w:rPr>
          <w:sz w:val="20"/>
          <w:szCs w:val="20"/>
          <w:color w:val="auto"/>
        </w:rPr>
      </w:pPr>
      <w:r>
        <w:rPr>
          <w:rFonts w:ascii="Arial" w:cs="Arial" w:eastAsia="Arial" w:hAnsi="Arial"/>
          <w:sz w:val="16"/>
          <w:szCs w:val="16"/>
          <w:color w:val="auto"/>
        </w:rPr>
        <w:t>In addition, the Board considered Mr. Harris’ role as an advisor to the Company from August 2020 until February 2022, and has determined that such prior affiliations and relationships would not interfere with his ability to exercise independent judgment in carrying out his responsibilities as a director of the Company.</w:t>
      </w:r>
    </w:p>
    <w:p>
      <w:pPr>
        <w:spacing w:after="0" w:line="253" w:lineRule="exact"/>
        <w:rPr>
          <w:sz w:val="20"/>
          <w:szCs w:val="20"/>
          <w:color w:val="auto"/>
        </w:rPr>
      </w:pPr>
    </w:p>
    <w:p>
      <w:pPr>
        <w:spacing w:after="0"/>
        <w:rPr>
          <w:sz w:val="20"/>
          <w:szCs w:val="20"/>
          <w:color w:val="auto"/>
        </w:rPr>
      </w:pPr>
      <w:r>
        <w:rPr>
          <w:rFonts w:ascii="Arial" w:cs="Arial" w:eastAsia="Arial" w:hAnsi="Arial"/>
          <w:sz w:val="29"/>
          <w:szCs w:val="29"/>
          <w:b w:val="1"/>
          <w:bCs w:val="1"/>
          <w:color w:val="FF7F32"/>
        </w:rPr>
        <w:t>Shareholder Communications with the Board of Directors</w:t>
      </w:r>
    </w:p>
    <w:p>
      <w:pPr>
        <w:spacing w:after="0" w:line="267" w:lineRule="exact"/>
        <w:rPr>
          <w:sz w:val="20"/>
          <w:szCs w:val="20"/>
          <w:color w:val="auto"/>
        </w:rPr>
      </w:pPr>
    </w:p>
    <w:p>
      <w:pPr>
        <w:ind w:right="500"/>
        <w:spacing w:after="0" w:line="336" w:lineRule="auto"/>
        <w:rPr>
          <w:sz w:val="20"/>
          <w:szCs w:val="20"/>
          <w:color w:val="auto"/>
        </w:rPr>
      </w:pPr>
      <w:r>
        <w:rPr>
          <w:rFonts w:ascii="Arial" w:cs="Arial" w:eastAsia="Arial" w:hAnsi="Arial"/>
          <w:sz w:val="16"/>
          <w:szCs w:val="16"/>
          <w:color w:val="auto"/>
        </w:rPr>
        <w:t>Our Board has established a formal process for shareholders to send communications to the Board or individual directors. Shareholders may send communications to the Board or individual directors by e-mail at corporatesecretary@cantaloupe.com, or by mail at 101 Lindenwood Drive, Suite 120, Malvern, Pennsylvania 19355, Attn: Corporate Secretary.</w:t>
      </w:r>
    </w:p>
    <w:p>
      <w:pPr>
        <w:spacing w:after="0" w:line="64" w:lineRule="exact"/>
        <w:rPr>
          <w:sz w:val="20"/>
          <w:szCs w:val="20"/>
          <w:color w:val="auto"/>
        </w:rPr>
      </w:pPr>
    </w:p>
    <w:p>
      <w:pPr>
        <w:ind w:right="40"/>
        <w:spacing w:after="0" w:line="325" w:lineRule="auto"/>
        <w:rPr>
          <w:sz w:val="20"/>
          <w:szCs w:val="20"/>
          <w:color w:val="auto"/>
        </w:rPr>
      </w:pPr>
      <w:r>
        <w:rPr>
          <w:rFonts w:ascii="Arial" w:cs="Arial" w:eastAsia="Arial" w:hAnsi="Arial"/>
          <w:sz w:val="16"/>
          <w:szCs w:val="16"/>
          <w:color w:val="auto"/>
        </w:rPr>
        <w:t>All communications submitted under this policy will be received and processed by the Secretary of the Company and submitted to the Board or the requisite individual members of the Board, as appropriate, based on the facts and circumstances outlined in the communication. Communications may also be referred to other departments within the Company or to management rather than to the Board or any of its members. The Board has requested that certain items which are unrelated to the duties and responsibilities of the Board should generally not be furnished to the Board, such as product complaints, product inquiries, new product suggestions, resumes and other forms of job inquiries, surveys, business solicitations or advertisements, or communications which are primarily commercial in nature. In addition, material that is unduly hostile, threatening, illegal or similarly unsuitable will be excluded from distribution to the Board or any of its members. The Secretary will make available to any non-employee member of the Board any communication that is not distributed to the Board in accordance with the process described above at the director’s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149225</wp:posOffset>
            </wp:positionV>
            <wp:extent cx="925830" cy="26543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925830" cy="265430"/>
                    </a:xfrm>
                    <a:prstGeom prst="rect">
                      <a:avLst/>
                    </a:prstGeom>
                    <a:noFill/>
                  </pic:spPr>
                </pic:pic>
              </a:graphicData>
            </a:graphic>
          </wp:anchor>
        </w:drawing>
      </w:r>
    </w:p>
    <w:p>
      <w:pPr>
        <w:spacing w:after="0" w:line="372"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auto"/>
        </w:rPr>
        <w:t>38</w:t>
      </w:r>
      <w:r>
        <w:rPr>
          <w:sz w:val="20"/>
          <w:szCs w:val="20"/>
          <w:color w:val="auto"/>
        </w:rPr>
        <w:tab/>
      </w:r>
      <w:r>
        <w:rPr>
          <w:rFonts w:ascii="Arial" w:cs="Arial" w:eastAsia="Arial" w:hAnsi="Arial"/>
          <w:sz w:val="12"/>
          <w:szCs w:val="12"/>
          <w:b w:val="1"/>
          <w:bCs w:val="1"/>
          <w:color w:val="FF7F32"/>
        </w:rPr>
        <w:t xml:space="preserve">2026 </w:t>
      </w:r>
      <w:r>
        <w:rPr>
          <w:rFonts w:ascii="Arial" w:cs="Arial" w:eastAsia="Arial" w:hAnsi="Arial"/>
          <w:sz w:val="12"/>
          <w:szCs w:val="12"/>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271145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7" w:right="359" w:bottom="1440" w:gutter="0" w:footer="0" w:header="0"/>
        </w:sectPr>
      </w:pPr>
    </w:p>
    <w:bookmarkStart w:id="41" w:name="page42"/>
    <w:bookmarkEnd w:id="41"/>
    <w:p>
      <w:pPr>
        <w:spacing w:after="0"/>
        <w:rPr>
          <w:sz w:val="20"/>
          <w:szCs w:val="20"/>
          <w:color w:val="auto"/>
        </w:rPr>
      </w:pPr>
      <w:r>
        <w:rPr>
          <w:rFonts w:ascii="Arial" w:cs="Arial" w:eastAsia="Arial" w:hAnsi="Arial"/>
          <w:sz w:val="50"/>
          <w:szCs w:val="50"/>
          <w:b w:val="1"/>
          <w:bCs w:val="1"/>
          <w:color w:val="FF7F32"/>
        </w:rPr>
        <w:t>Compensation of Non-Employee Directors</w:t>
      </w:r>
    </w:p>
    <w:p>
      <w:pPr>
        <w:spacing w:after="0" w:line="132" w:lineRule="exact"/>
        <w:rPr>
          <w:sz w:val="20"/>
          <w:szCs w:val="20"/>
          <w:color w:val="auto"/>
        </w:rPr>
      </w:pPr>
    </w:p>
    <w:p>
      <w:pPr>
        <w:spacing w:after="0"/>
        <w:rPr>
          <w:sz w:val="20"/>
          <w:szCs w:val="20"/>
          <w:color w:val="auto"/>
        </w:rPr>
      </w:pPr>
      <w:r>
        <w:rPr>
          <w:rFonts w:ascii="Arial" w:cs="Arial" w:eastAsia="Arial" w:hAnsi="Arial"/>
          <w:sz w:val="32"/>
          <w:szCs w:val="32"/>
          <w:b w:val="1"/>
          <w:bCs w:val="1"/>
          <w:color w:val="202945"/>
        </w:rPr>
        <w:t>Director Compensation Program</w:t>
      </w:r>
    </w:p>
    <w:p>
      <w:pPr>
        <w:spacing w:after="0" w:line="200" w:lineRule="exact"/>
        <w:rPr>
          <w:sz w:val="20"/>
          <w:szCs w:val="20"/>
          <w:color w:val="auto"/>
        </w:rPr>
      </w:pPr>
    </w:p>
    <w:p>
      <w:pPr>
        <w:spacing w:after="0" w:line="393" w:lineRule="exact"/>
        <w:rPr>
          <w:sz w:val="20"/>
          <w:szCs w:val="20"/>
          <w:color w:val="auto"/>
        </w:rPr>
      </w:pPr>
    </w:p>
    <w:p>
      <w:pPr>
        <w:jc w:val="both"/>
        <w:ind w:right="200"/>
        <w:spacing w:after="0" w:line="336" w:lineRule="auto"/>
        <w:rPr>
          <w:sz w:val="20"/>
          <w:szCs w:val="20"/>
          <w:color w:val="auto"/>
        </w:rPr>
      </w:pPr>
      <w:r>
        <w:rPr>
          <w:rFonts w:ascii="Arial" w:cs="Arial" w:eastAsia="Arial" w:hAnsi="Arial"/>
          <w:sz w:val="16"/>
          <w:szCs w:val="16"/>
          <w:color w:val="auto"/>
        </w:rPr>
        <w:t>The Compensation Committee annually reviews and recommends for approval to the Board the compensation of the directors. Members of the Board who are not employees of the Company receive cash and equity compensation for serving on the Board, as reviewed and recommended by the Compensation Committee, with subsequent approval thereof by the Board.</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5600" w:type="dxa"/>
            <w:vAlign w:val="bottom"/>
          </w:tcPr>
          <w:p>
            <w:pPr>
              <w:spacing w:after="0"/>
              <w:rPr>
                <w:sz w:val="20"/>
                <w:szCs w:val="20"/>
                <w:color w:val="auto"/>
              </w:rPr>
            </w:pPr>
            <w:r>
              <w:rPr>
                <w:rFonts w:ascii="Arial" w:cs="Arial" w:eastAsia="Arial" w:hAnsi="Arial"/>
                <w:sz w:val="16"/>
                <w:szCs w:val="16"/>
                <w:b w:val="1"/>
                <w:bCs w:val="1"/>
                <w:color w:val="auto"/>
              </w:rPr>
              <w:t>Director Compensation Mix</w:t>
            </w:r>
          </w:p>
        </w:tc>
        <w:tc>
          <w:tcPr>
            <w:tcW w:w="2800" w:type="dxa"/>
            <w:vAlign w:val="bottom"/>
          </w:tcPr>
          <w:p>
            <w:pPr>
              <w:ind w:left="20"/>
              <w:spacing w:after="0"/>
              <w:rPr>
                <w:sz w:val="20"/>
                <w:szCs w:val="20"/>
                <w:color w:val="auto"/>
              </w:rPr>
            </w:pPr>
            <w:r>
              <w:rPr>
                <w:rFonts w:ascii="Arial" w:cs="Arial" w:eastAsia="Arial" w:hAnsi="Arial"/>
                <w:sz w:val="16"/>
                <w:szCs w:val="16"/>
                <w:b w:val="1"/>
                <w:bCs w:val="1"/>
                <w:color w:val="auto"/>
              </w:rPr>
              <w:t>Additional annual cash retainers:</w:t>
            </w:r>
          </w:p>
        </w:tc>
        <w:tc>
          <w:tcPr>
            <w:tcW w:w="2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5600" w:type="dxa"/>
            <w:vAlign w:val="bottom"/>
          </w:tcPr>
          <w:p>
            <w:pPr>
              <w:spacing w:after="0"/>
              <w:rPr>
                <w:sz w:val="4"/>
                <w:szCs w:val="4"/>
                <w:color w:val="auto"/>
              </w:rPr>
            </w:pPr>
          </w:p>
        </w:tc>
        <w:tc>
          <w:tcPr>
            <w:tcW w:w="2800" w:type="dxa"/>
            <w:vAlign w:val="bottom"/>
            <w:tcBorders>
              <w:bottom w:val="single" w:sz="8" w:color="FF7F32"/>
            </w:tcBorders>
          </w:tcPr>
          <w:p>
            <w:pPr>
              <w:spacing w:after="0"/>
              <w:rPr>
                <w:sz w:val="4"/>
                <w:szCs w:val="4"/>
                <w:color w:val="auto"/>
              </w:rPr>
            </w:pPr>
          </w:p>
        </w:tc>
        <w:tc>
          <w:tcPr>
            <w:tcW w:w="2820" w:type="dxa"/>
            <w:vAlign w:val="bottom"/>
            <w:tcBorders>
              <w:bottom w:val="single" w:sz="8" w:color="FF7F32"/>
            </w:tcBorders>
          </w:tcPr>
          <w:p>
            <w:pPr>
              <w:spacing w:after="0"/>
              <w:rPr>
                <w:sz w:val="4"/>
                <w:szCs w:val="4"/>
                <w:color w:val="auto"/>
              </w:rPr>
            </w:pPr>
          </w:p>
        </w:tc>
        <w:tc>
          <w:tcPr>
            <w:tcW w:w="0" w:type="dxa"/>
            <w:vAlign w:val="bottom"/>
          </w:tcPr>
          <w:p>
            <w:pPr>
              <w:spacing w:after="0"/>
              <w:rPr>
                <w:sz w:val="1"/>
                <w:szCs w:val="1"/>
                <w:color w:val="auto"/>
              </w:rPr>
            </w:pPr>
          </w:p>
        </w:tc>
      </w:tr>
      <w:tr>
        <w:trPr>
          <w:trHeight w:val="437"/>
        </w:trPr>
        <w:tc>
          <w:tcPr>
            <w:tcW w:w="5600" w:type="dxa"/>
            <w:vAlign w:val="bottom"/>
          </w:tcPr>
          <w:p>
            <w:pPr>
              <w:spacing w:after="0"/>
              <w:rPr>
                <w:sz w:val="24"/>
                <w:szCs w:val="24"/>
                <w:color w:val="auto"/>
              </w:rPr>
            </w:pPr>
          </w:p>
        </w:tc>
        <w:tc>
          <w:tcPr>
            <w:tcW w:w="2800" w:type="dxa"/>
            <w:vAlign w:val="bottom"/>
          </w:tcPr>
          <w:p>
            <w:pPr>
              <w:ind w:left="20"/>
              <w:spacing w:after="0"/>
              <w:rPr>
                <w:sz w:val="20"/>
                <w:szCs w:val="20"/>
                <w:color w:val="auto"/>
              </w:rPr>
            </w:pPr>
            <w:r>
              <w:rPr>
                <w:rFonts w:ascii="Arial" w:cs="Arial" w:eastAsia="Arial" w:hAnsi="Arial"/>
                <w:sz w:val="14"/>
                <w:szCs w:val="14"/>
                <w:b w:val="1"/>
                <w:bCs w:val="1"/>
                <w:color w:val="auto"/>
              </w:rPr>
              <w:t>Chair of the Board</w:t>
            </w:r>
          </w:p>
        </w:tc>
        <w:tc>
          <w:tcPr>
            <w:tcW w:w="2820" w:type="dxa"/>
            <w:vAlign w:val="bottom"/>
          </w:tcPr>
          <w:p>
            <w:pPr>
              <w:ind w:left="40"/>
              <w:spacing w:after="0"/>
              <w:rPr>
                <w:sz w:val="20"/>
                <w:szCs w:val="20"/>
                <w:color w:val="auto"/>
              </w:rPr>
            </w:pPr>
            <w:r>
              <w:rPr>
                <w:rFonts w:ascii="Arial" w:cs="Arial" w:eastAsia="Arial" w:hAnsi="Arial"/>
                <w:sz w:val="29"/>
                <w:szCs w:val="29"/>
                <w:color w:val="5576D1"/>
              </w:rPr>
              <w:t>$35,000</w:t>
            </w:r>
          </w:p>
        </w:tc>
        <w:tc>
          <w:tcPr>
            <w:tcW w:w="0" w:type="dxa"/>
            <w:vAlign w:val="bottom"/>
          </w:tcPr>
          <w:p>
            <w:pPr>
              <w:spacing w:after="0"/>
              <w:rPr>
                <w:sz w:val="1"/>
                <w:szCs w:val="1"/>
                <w:color w:val="auto"/>
              </w:rPr>
            </w:pPr>
          </w:p>
        </w:tc>
      </w:tr>
      <w:tr>
        <w:trPr>
          <w:trHeight w:val="70"/>
        </w:trPr>
        <w:tc>
          <w:tcPr>
            <w:tcW w:w="5600" w:type="dxa"/>
            <w:vAlign w:val="bottom"/>
          </w:tcPr>
          <w:p>
            <w:pPr>
              <w:spacing w:after="0"/>
              <w:rPr>
                <w:sz w:val="6"/>
                <w:szCs w:val="6"/>
                <w:color w:val="auto"/>
              </w:rPr>
            </w:pPr>
          </w:p>
        </w:tc>
        <w:tc>
          <w:tcPr>
            <w:tcW w:w="2800" w:type="dxa"/>
            <w:vAlign w:val="bottom"/>
            <w:tcBorders>
              <w:bottom w:val="single" w:sz="8" w:color="D9D9D9"/>
            </w:tcBorders>
          </w:tcPr>
          <w:p>
            <w:pPr>
              <w:spacing w:after="0"/>
              <w:rPr>
                <w:sz w:val="6"/>
                <w:szCs w:val="6"/>
                <w:color w:val="auto"/>
              </w:rPr>
            </w:pPr>
          </w:p>
        </w:tc>
        <w:tc>
          <w:tcPr>
            <w:tcW w:w="2820" w:type="dxa"/>
            <w:vAlign w:val="bottom"/>
            <w:tcBorders>
              <w:bottom w:val="single" w:sz="8" w:color="D9D9D9"/>
            </w:tcBorders>
          </w:tcPr>
          <w:p>
            <w:pPr>
              <w:spacing w:after="0"/>
              <w:rPr>
                <w:sz w:val="6"/>
                <w:szCs w:val="6"/>
                <w:color w:val="auto"/>
              </w:rPr>
            </w:pPr>
          </w:p>
        </w:tc>
        <w:tc>
          <w:tcPr>
            <w:tcW w:w="0" w:type="dxa"/>
            <w:vAlign w:val="bottom"/>
          </w:tcPr>
          <w:p>
            <w:pPr>
              <w:spacing w:after="0"/>
              <w:rPr>
                <w:sz w:val="1"/>
                <w:szCs w:val="1"/>
                <w:color w:val="auto"/>
              </w:rPr>
            </w:pPr>
          </w:p>
        </w:tc>
      </w:tr>
      <w:tr>
        <w:trPr>
          <w:trHeight w:val="436"/>
        </w:trPr>
        <w:tc>
          <w:tcPr>
            <w:tcW w:w="5600" w:type="dxa"/>
            <w:vAlign w:val="bottom"/>
          </w:tcPr>
          <w:p>
            <w:pPr>
              <w:spacing w:after="0"/>
              <w:rPr>
                <w:sz w:val="24"/>
                <w:szCs w:val="24"/>
                <w:color w:val="auto"/>
              </w:rPr>
            </w:pPr>
          </w:p>
        </w:tc>
        <w:tc>
          <w:tcPr>
            <w:tcW w:w="2800" w:type="dxa"/>
            <w:vAlign w:val="bottom"/>
          </w:tcPr>
          <w:p>
            <w:pPr>
              <w:ind w:left="20"/>
              <w:spacing w:after="0"/>
              <w:rPr>
                <w:sz w:val="20"/>
                <w:szCs w:val="20"/>
                <w:color w:val="auto"/>
              </w:rPr>
            </w:pPr>
            <w:r>
              <w:rPr>
                <w:rFonts w:ascii="Arial" w:cs="Arial" w:eastAsia="Arial" w:hAnsi="Arial"/>
                <w:sz w:val="14"/>
                <w:szCs w:val="14"/>
                <w:b w:val="1"/>
                <w:bCs w:val="1"/>
                <w:color w:val="auto"/>
              </w:rPr>
              <w:t>Audit and Risk Committee Chair</w:t>
            </w:r>
          </w:p>
        </w:tc>
        <w:tc>
          <w:tcPr>
            <w:tcW w:w="2820" w:type="dxa"/>
            <w:vAlign w:val="bottom"/>
          </w:tcPr>
          <w:p>
            <w:pPr>
              <w:ind w:left="40"/>
              <w:spacing w:after="0"/>
              <w:rPr>
                <w:sz w:val="20"/>
                <w:szCs w:val="20"/>
                <w:color w:val="auto"/>
              </w:rPr>
            </w:pPr>
            <w:r>
              <w:rPr>
                <w:rFonts w:ascii="Arial" w:cs="Arial" w:eastAsia="Arial" w:hAnsi="Arial"/>
                <w:sz w:val="29"/>
                <w:szCs w:val="29"/>
                <w:color w:val="5576D1"/>
              </w:rPr>
              <w:t>$25,000</w:t>
            </w:r>
          </w:p>
        </w:tc>
        <w:tc>
          <w:tcPr>
            <w:tcW w:w="0" w:type="dxa"/>
            <w:vAlign w:val="bottom"/>
          </w:tcPr>
          <w:p>
            <w:pPr>
              <w:spacing w:after="0"/>
              <w:rPr>
                <w:sz w:val="1"/>
                <w:szCs w:val="1"/>
                <w:color w:val="auto"/>
              </w:rPr>
            </w:pPr>
          </w:p>
        </w:tc>
      </w:tr>
      <w:tr>
        <w:trPr>
          <w:trHeight w:val="70"/>
        </w:trPr>
        <w:tc>
          <w:tcPr>
            <w:tcW w:w="5600" w:type="dxa"/>
            <w:vAlign w:val="bottom"/>
          </w:tcPr>
          <w:p>
            <w:pPr>
              <w:spacing w:after="0"/>
              <w:rPr>
                <w:sz w:val="6"/>
                <w:szCs w:val="6"/>
                <w:color w:val="auto"/>
              </w:rPr>
            </w:pPr>
          </w:p>
        </w:tc>
        <w:tc>
          <w:tcPr>
            <w:tcW w:w="2800" w:type="dxa"/>
            <w:vAlign w:val="bottom"/>
            <w:tcBorders>
              <w:bottom w:val="single" w:sz="8" w:color="D9D9D9"/>
            </w:tcBorders>
          </w:tcPr>
          <w:p>
            <w:pPr>
              <w:spacing w:after="0"/>
              <w:rPr>
                <w:sz w:val="6"/>
                <w:szCs w:val="6"/>
                <w:color w:val="auto"/>
              </w:rPr>
            </w:pPr>
          </w:p>
        </w:tc>
        <w:tc>
          <w:tcPr>
            <w:tcW w:w="2820" w:type="dxa"/>
            <w:vAlign w:val="bottom"/>
            <w:tcBorders>
              <w:bottom w:val="single" w:sz="8" w:color="D9D9D9"/>
            </w:tcBorders>
          </w:tcPr>
          <w:p>
            <w:pPr>
              <w:spacing w:after="0"/>
              <w:rPr>
                <w:sz w:val="6"/>
                <w:szCs w:val="6"/>
                <w:color w:val="auto"/>
              </w:rPr>
            </w:pPr>
          </w:p>
        </w:tc>
        <w:tc>
          <w:tcPr>
            <w:tcW w:w="0" w:type="dxa"/>
            <w:vAlign w:val="bottom"/>
          </w:tcPr>
          <w:p>
            <w:pPr>
              <w:spacing w:after="0"/>
              <w:rPr>
                <w:sz w:val="1"/>
                <w:szCs w:val="1"/>
                <w:color w:val="auto"/>
              </w:rPr>
            </w:pPr>
          </w:p>
        </w:tc>
      </w:tr>
      <w:tr>
        <w:trPr>
          <w:trHeight w:val="436"/>
        </w:trPr>
        <w:tc>
          <w:tcPr>
            <w:tcW w:w="5600" w:type="dxa"/>
            <w:vAlign w:val="bottom"/>
          </w:tcPr>
          <w:p>
            <w:pPr>
              <w:spacing w:after="0"/>
              <w:rPr>
                <w:sz w:val="24"/>
                <w:szCs w:val="24"/>
                <w:color w:val="auto"/>
              </w:rPr>
            </w:pPr>
          </w:p>
        </w:tc>
        <w:tc>
          <w:tcPr>
            <w:tcW w:w="2800" w:type="dxa"/>
            <w:vAlign w:val="bottom"/>
          </w:tcPr>
          <w:p>
            <w:pPr>
              <w:ind w:left="20"/>
              <w:spacing w:after="0"/>
              <w:rPr>
                <w:sz w:val="20"/>
                <w:szCs w:val="20"/>
                <w:color w:val="auto"/>
              </w:rPr>
            </w:pPr>
            <w:r>
              <w:rPr>
                <w:rFonts w:ascii="Arial" w:cs="Arial" w:eastAsia="Arial" w:hAnsi="Arial"/>
                <w:sz w:val="14"/>
                <w:szCs w:val="14"/>
                <w:b w:val="1"/>
                <w:bCs w:val="1"/>
                <w:color w:val="auto"/>
              </w:rPr>
              <w:t>Compensation Committee Chair</w:t>
            </w:r>
          </w:p>
        </w:tc>
        <w:tc>
          <w:tcPr>
            <w:tcW w:w="2820" w:type="dxa"/>
            <w:vAlign w:val="bottom"/>
          </w:tcPr>
          <w:p>
            <w:pPr>
              <w:ind w:left="40"/>
              <w:spacing w:after="0"/>
              <w:rPr>
                <w:sz w:val="20"/>
                <w:szCs w:val="20"/>
                <w:color w:val="auto"/>
              </w:rPr>
            </w:pPr>
            <w:r>
              <w:rPr>
                <w:rFonts w:ascii="Arial" w:cs="Arial" w:eastAsia="Arial" w:hAnsi="Arial"/>
                <w:sz w:val="29"/>
                <w:szCs w:val="29"/>
                <w:color w:val="5576D1"/>
              </w:rPr>
              <w:t>$10,000</w:t>
            </w:r>
          </w:p>
        </w:tc>
        <w:tc>
          <w:tcPr>
            <w:tcW w:w="0" w:type="dxa"/>
            <w:vAlign w:val="bottom"/>
          </w:tcPr>
          <w:p>
            <w:pPr>
              <w:spacing w:after="0"/>
              <w:rPr>
                <w:sz w:val="1"/>
                <w:szCs w:val="1"/>
                <w:color w:val="auto"/>
              </w:rPr>
            </w:pPr>
          </w:p>
        </w:tc>
      </w:tr>
      <w:tr>
        <w:trPr>
          <w:trHeight w:val="70"/>
        </w:trPr>
        <w:tc>
          <w:tcPr>
            <w:tcW w:w="5600" w:type="dxa"/>
            <w:vAlign w:val="bottom"/>
          </w:tcPr>
          <w:p>
            <w:pPr>
              <w:spacing w:after="0"/>
              <w:rPr>
                <w:sz w:val="6"/>
                <w:szCs w:val="6"/>
                <w:color w:val="auto"/>
              </w:rPr>
            </w:pPr>
          </w:p>
        </w:tc>
        <w:tc>
          <w:tcPr>
            <w:tcW w:w="2800" w:type="dxa"/>
            <w:vAlign w:val="bottom"/>
            <w:tcBorders>
              <w:bottom w:val="single" w:sz="8" w:color="D9D9D9"/>
            </w:tcBorders>
          </w:tcPr>
          <w:p>
            <w:pPr>
              <w:spacing w:after="0"/>
              <w:rPr>
                <w:sz w:val="6"/>
                <w:szCs w:val="6"/>
                <w:color w:val="auto"/>
              </w:rPr>
            </w:pPr>
          </w:p>
        </w:tc>
        <w:tc>
          <w:tcPr>
            <w:tcW w:w="2820" w:type="dxa"/>
            <w:vAlign w:val="bottom"/>
            <w:tcBorders>
              <w:bottom w:val="single" w:sz="8" w:color="D9D9D9"/>
            </w:tcBorders>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5600" w:type="dxa"/>
            <w:vAlign w:val="bottom"/>
          </w:tcPr>
          <w:p>
            <w:pPr>
              <w:spacing w:after="0"/>
              <w:rPr>
                <w:sz w:val="21"/>
                <w:szCs w:val="21"/>
                <w:color w:val="auto"/>
              </w:rPr>
            </w:pPr>
          </w:p>
        </w:tc>
        <w:tc>
          <w:tcPr>
            <w:tcW w:w="2800" w:type="dxa"/>
            <w:vAlign w:val="bottom"/>
          </w:tcPr>
          <w:p>
            <w:pPr>
              <w:ind w:left="20"/>
              <w:spacing w:after="0"/>
              <w:rPr>
                <w:sz w:val="20"/>
                <w:szCs w:val="20"/>
                <w:color w:val="auto"/>
              </w:rPr>
            </w:pPr>
            <w:r>
              <w:rPr>
                <w:rFonts w:ascii="Arial" w:cs="Arial" w:eastAsia="Arial" w:hAnsi="Arial"/>
                <w:sz w:val="14"/>
                <w:szCs w:val="14"/>
                <w:b w:val="1"/>
                <w:bCs w:val="1"/>
                <w:color w:val="auto"/>
              </w:rPr>
              <w:t>Nominating and Governance Committee</w:t>
            </w:r>
          </w:p>
        </w:tc>
        <w:tc>
          <w:tcPr>
            <w:tcW w:w="2820" w:type="dxa"/>
            <w:vAlign w:val="bottom"/>
            <w:vMerge w:val="restart"/>
          </w:tcPr>
          <w:p>
            <w:pPr>
              <w:ind w:left="40"/>
              <w:spacing w:after="0"/>
              <w:rPr>
                <w:sz w:val="20"/>
                <w:szCs w:val="20"/>
                <w:color w:val="auto"/>
              </w:rPr>
            </w:pPr>
            <w:r>
              <w:rPr>
                <w:rFonts w:ascii="Arial" w:cs="Arial" w:eastAsia="Arial" w:hAnsi="Arial"/>
                <w:sz w:val="29"/>
                <w:szCs w:val="29"/>
                <w:color w:val="5576D1"/>
              </w:rPr>
              <w:t>$7,500</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18"/>
                <w:szCs w:val="18"/>
                <w:color w:val="auto"/>
              </w:rPr>
            </w:pPr>
          </w:p>
        </w:tc>
        <w:tc>
          <w:tcPr>
            <w:tcW w:w="2800" w:type="dxa"/>
            <w:vAlign w:val="bottom"/>
          </w:tcPr>
          <w:p>
            <w:pPr>
              <w:ind w:left="20"/>
              <w:spacing w:after="0"/>
              <w:rPr>
                <w:sz w:val="20"/>
                <w:szCs w:val="20"/>
                <w:color w:val="auto"/>
              </w:rPr>
            </w:pPr>
            <w:r>
              <w:rPr>
                <w:rFonts w:ascii="Arial" w:cs="Arial" w:eastAsia="Arial" w:hAnsi="Arial"/>
                <w:sz w:val="14"/>
                <w:szCs w:val="14"/>
                <w:b w:val="1"/>
                <w:bCs w:val="1"/>
                <w:color w:val="auto"/>
              </w:rPr>
              <w:t>Chair</w:t>
            </w:r>
          </w:p>
        </w:tc>
        <w:tc>
          <w:tcPr>
            <w:tcW w:w="2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5600" w:type="dxa"/>
            <w:vAlign w:val="bottom"/>
          </w:tcPr>
          <w:p>
            <w:pPr>
              <w:spacing w:after="0"/>
              <w:rPr>
                <w:sz w:val="3"/>
                <w:szCs w:val="3"/>
                <w:color w:val="auto"/>
              </w:rPr>
            </w:pPr>
          </w:p>
        </w:tc>
        <w:tc>
          <w:tcPr>
            <w:tcW w:w="2800" w:type="dxa"/>
            <w:vAlign w:val="bottom"/>
            <w:tcBorders>
              <w:bottom w:val="single" w:sz="8" w:color="D9D9D9"/>
            </w:tcBorders>
          </w:tcPr>
          <w:p>
            <w:pPr>
              <w:spacing w:after="0"/>
              <w:rPr>
                <w:sz w:val="3"/>
                <w:szCs w:val="3"/>
                <w:color w:val="auto"/>
              </w:rPr>
            </w:pPr>
          </w:p>
        </w:tc>
        <w:tc>
          <w:tcPr>
            <w:tcW w:w="2820" w:type="dxa"/>
            <w:vAlign w:val="bottom"/>
            <w:tcBorders>
              <w:bottom w:val="single" w:sz="8" w:color="D9D9D9"/>
            </w:tcBorders>
          </w:tcPr>
          <w:p>
            <w:pPr>
              <w:spacing w:after="0"/>
              <w:rPr>
                <w:sz w:val="3"/>
                <w:szCs w:val="3"/>
                <w:color w:val="auto"/>
              </w:rPr>
            </w:pPr>
          </w:p>
        </w:tc>
        <w:tc>
          <w:tcPr>
            <w:tcW w:w="0" w:type="dxa"/>
            <w:vAlign w:val="bottom"/>
          </w:tcPr>
          <w:p>
            <w:pPr>
              <w:spacing w:after="0"/>
              <w:rPr>
                <w:sz w:val="1"/>
                <w:szCs w:val="1"/>
                <w:color w:val="auto"/>
              </w:rPr>
            </w:pPr>
          </w:p>
        </w:tc>
      </w:tr>
      <w:tr>
        <w:trPr>
          <w:trHeight w:val="437"/>
        </w:trPr>
        <w:tc>
          <w:tcPr>
            <w:tcW w:w="5600" w:type="dxa"/>
            <w:vAlign w:val="bottom"/>
          </w:tcPr>
          <w:p>
            <w:pPr>
              <w:spacing w:after="0"/>
              <w:rPr>
                <w:sz w:val="24"/>
                <w:szCs w:val="24"/>
                <w:color w:val="auto"/>
              </w:rPr>
            </w:pPr>
          </w:p>
        </w:tc>
        <w:tc>
          <w:tcPr>
            <w:tcW w:w="2800" w:type="dxa"/>
            <w:vAlign w:val="bottom"/>
          </w:tcPr>
          <w:p>
            <w:pPr>
              <w:ind w:left="20"/>
              <w:spacing w:after="0"/>
              <w:rPr>
                <w:sz w:val="20"/>
                <w:szCs w:val="20"/>
                <w:color w:val="auto"/>
              </w:rPr>
            </w:pPr>
            <w:r>
              <w:rPr>
                <w:rFonts w:ascii="Arial" w:cs="Arial" w:eastAsia="Arial" w:hAnsi="Arial"/>
                <w:sz w:val="14"/>
                <w:szCs w:val="14"/>
                <w:b w:val="1"/>
                <w:bCs w:val="1"/>
                <w:color w:val="auto"/>
              </w:rPr>
              <w:t>Finance Committee Chair</w:t>
            </w:r>
          </w:p>
        </w:tc>
        <w:tc>
          <w:tcPr>
            <w:tcW w:w="2820" w:type="dxa"/>
            <w:vAlign w:val="bottom"/>
          </w:tcPr>
          <w:p>
            <w:pPr>
              <w:ind w:left="40"/>
              <w:spacing w:after="0"/>
              <w:rPr>
                <w:sz w:val="20"/>
                <w:szCs w:val="20"/>
                <w:color w:val="auto"/>
              </w:rPr>
            </w:pPr>
            <w:r>
              <w:rPr>
                <w:rFonts w:ascii="Arial" w:cs="Arial" w:eastAsia="Arial" w:hAnsi="Arial"/>
                <w:sz w:val="29"/>
                <w:szCs w:val="29"/>
                <w:color w:val="5576D1"/>
              </w:rPr>
              <w:t>$10,000</w:t>
            </w:r>
          </w:p>
        </w:tc>
        <w:tc>
          <w:tcPr>
            <w:tcW w:w="0" w:type="dxa"/>
            <w:vAlign w:val="bottom"/>
          </w:tcPr>
          <w:p>
            <w:pPr>
              <w:spacing w:after="0"/>
              <w:rPr>
                <w:sz w:val="1"/>
                <w:szCs w:val="1"/>
                <w:color w:val="auto"/>
              </w:rPr>
            </w:pPr>
          </w:p>
        </w:tc>
      </w:tr>
      <w:tr>
        <w:trPr>
          <w:trHeight w:val="70"/>
        </w:trPr>
        <w:tc>
          <w:tcPr>
            <w:tcW w:w="5600" w:type="dxa"/>
            <w:vAlign w:val="bottom"/>
          </w:tcPr>
          <w:p>
            <w:pPr>
              <w:spacing w:after="0"/>
              <w:rPr>
                <w:sz w:val="6"/>
                <w:szCs w:val="6"/>
                <w:color w:val="auto"/>
              </w:rPr>
            </w:pPr>
          </w:p>
        </w:tc>
        <w:tc>
          <w:tcPr>
            <w:tcW w:w="2800" w:type="dxa"/>
            <w:vAlign w:val="bottom"/>
            <w:tcBorders>
              <w:bottom w:val="single" w:sz="8" w:color="FF7F32"/>
            </w:tcBorders>
          </w:tcPr>
          <w:p>
            <w:pPr>
              <w:spacing w:after="0"/>
              <w:rPr>
                <w:sz w:val="6"/>
                <w:szCs w:val="6"/>
                <w:color w:val="auto"/>
              </w:rPr>
            </w:pPr>
          </w:p>
        </w:tc>
        <w:tc>
          <w:tcPr>
            <w:tcW w:w="2820" w:type="dxa"/>
            <w:vAlign w:val="bottom"/>
            <w:tcBorders>
              <w:bottom w:val="single" w:sz="8" w:color="FF7F32"/>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200" w:hanging="192"/>
        <w:spacing w:after="0"/>
        <w:tabs>
          <w:tab w:leader="none" w:pos="200" w:val="left"/>
        </w:tabs>
        <w:numPr>
          <w:ilvl w:val="0"/>
          <w:numId w:val="51"/>
        </w:numPr>
        <w:rPr>
          <w:rFonts w:ascii="Arial" w:cs="Arial" w:eastAsia="Arial" w:hAnsi="Arial"/>
          <w:sz w:val="13"/>
          <w:szCs w:val="13"/>
          <w:color w:val="202945"/>
        </w:rPr>
      </w:pPr>
      <w:r>
        <w:rPr>
          <w:rFonts w:ascii="Arial" w:cs="Arial" w:eastAsia="Arial" w:hAnsi="Arial"/>
          <w:sz w:val="13"/>
          <w:szCs w:val="13"/>
          <w:color w:val="202945"/>
        </w:rPr>
        <w:t>vesting on the first anniversary of the grant date (but eligible for prorated vesting upon separation of service for each completed calendar quarter of service following the grant date).</w:t>
      </w:r>
    </w:p>
    <w:p>
      <w:pPr>
        <w:spacing w:after="0" w:line="151" w:lineRule="exact"/>
        <w:rPr>
          <w:sz w:val="20"/>
          <w:szCs w:val="20"/>
          <w:color w:val="auto"/>
        </w:rPr>
      </w:pPr>
    </w:p>
    <w:p>
      <w:pPr>
        <w:ind w:right="560"/>
        <w:spacing w:after="0" w:line="356" w:lineRule="auto"/>
        <w:rPr>
          <w:sz w:val="20"/>
          <w:szCs w:val="20"/>
          <w:color w:val="auto"/>
        </w:rPr>
      </w:pPr>
      <w:r>
        <w:rPr>
          <w:rFonts w:ascii="Arial" w:cs="Arial" w:eastAsia="Arial" w:hAnsi="Arial"/>
          <w:sz w:val="16"/>
          <w:szCs w:val="16"/>
          <w:color w:val="auto"/>
        </w:rPr>
        <w:t>No additional cash retainers are provided for non-Chair service on Board committees, we do not pay our directors meeting attendance fees under the program, and cash retainers are generally payable monthly in arrears.</w:t>
      </w:r>
    </w:p>
    <w:p>
      <w:pPr>
        <w:spacing w:after="0" w:line="48" w:lineRule="exact"/>
        <w:rPr>
          <w:sz w:val="20"/>
          <w:szCs w:val="20"/>
          <w:color w:val="auto"/>
        </w:rPr>
      </w:pPr>
    </w:p>
    <w:p>
      <w:pPr>
        <w:ind w:right="40"/>
        <w:spacing w:after="0" w:line="326" w:lineRule="auto"/>
        <w:rPr>
          <w:sz w:val="20"/>
          <w:szCs w:val="20"/>
          <w:color w:val="auto"/>
        </w:rPr>
      </w:pPr>
      <w:r>
        <w:rPr>
          <w:rFonts w:ascii="Arial" w:cs="Arial" w:eastAsia="Arial" w:hAnsi="Arial"/>
          <w:sz w:val="16"/>
          <w:szCs w:val="16"/>
          <w:color w:val="auto"/>
        </w:rPr>
        <w:t>In addition to these cash retainers, and reflective of the Compensation Committee’s and the Board’s belief that equity compensation is key in linking the interests of our non-employee directors and our executives with those of our shareholders, our non-employee directors are eligible to receive an annual grant of restricted stock units (“RSUs”) worth approximately $150,000, vesting on the first anniversary of the grant date (but eligible for prorated vesting upon separation of service for each completed calendar quarter of service following the grant date). In accordance with this program, each of our non-employee directors serving on the Board as of May 12, 2025 received a grant of 19,157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115570</wp:posOffset>
            </wp:positionV>
            <wp:extent cx="925830" cy="26543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925830" cy="265430"/>
                    </a:xfrm>
                    <a:prstGeom prst="rect">
                      <a:avLst/>
                    </a:prstGeom>
                    <a:noFill/>
                  </pic:spPr>
                </pic:pic>
              </a:graphicData>
            </a:graphic>
          </wp:anchor>
        </w:drawing>
      </w:r>
    </w:p>
    <w:p>
      <w:pPr>
        <w:spacing w:after="0" w:line="320"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auto"/>
        </w:rPr>
        <w:t>39</w:t>
      </w:r>
      <w:r>
        <w:rPr>
          <w:sz w:val="20"/>
          <w:szCs w:val="20"/>
          <w:color w:val="auto"/>
        </w:rPr>
        <w:tab/>
      </w:r>
      <w:r>
        <w:rPr>
          <w:rFonts w:ascii="Arial" w:cs="Arial" w:eastAsia="Arial" w:hAnsi="Arial"/>
          <w:sz w:val="12"/>
          <w:szCs w:val="12"/>
          <w:b w:val="1"/>
          <w:bCs w:val="1"/>
          <w:color w:val="FF7F32"/>
        </w:rPr>
        <w:t xml:space="preserve">2026 </w:t>
      </w:r>
      <w:r>
        <w:rPr>
          <w:rFonts w:ascii="Arial" w:cs="Arial" w:eastAsia="Arial" w:hAnsi="Arial"/>
          <w:sz w:val="12"/>
          <w:szCs w:val="12"/>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425450</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42" w:name="page43"/>
    <w:bookmarkEnd w:id="42"/>
    <w:p>
      <w:pPr>
        <w:spacing w:after="0"/>
        <w:rPr>
          <w:sz w:val="20"/>
          <w:szCs w:val="20"/>
          <w:color w:val="auto"/>
        </w:rPr>
      </w:pPr>
      <w:r>
        <w:rPr>
          <w:rFonts w:ascii="Arial" w:cs="Arial" w:eastAsia="Arial" w:hAnsi="Arial"/>
          <w:sz w:val="13"/>
          <w:szCs w:val="13"/>
          <w:color w:val="202945"/>
        </w:rPr>
        <w:t>Compensation of Non-Employee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32"/>
          <w:szCs w:val="32"/>
          <w:b w:val="1"/>
          <w:bCs w:val="1"/>
          <w:color w:val="202945"/>
        </w:rPr>
        <w:t>Stock Ownership Guidelines</w:t>
      </w:r>
    </w:p>
    <w:p>
      <w:pPr>
        <w:spacing w:after="0" w:line="269"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 xml:space="preserve">The Board has adopted the Stock Ownership Guidelines (the “Guidelines”) for directors and executive officers. Under the Guidelines, the Chief Executive Officer is required to own shares of Common Stock with a value of at least three times his or her base salary, and the Chief Financial Officer and other executive officers are required to own shares of Common Stock with a value of at least one times his or her base salary. The executive officers have five years to attain such level of ownership. Each non-employee director is required to own shares of Common Stock with a value of at least five times the sum of his or her annual cash retainer. Each non-employee director has five years to comply following the commencement of his or her service on the Board. As of the date of this proxy statement, each executive officer and director is in compliance with the applicable stock ownership requirements or is in the applicable grace period for compliance. The Guidelines are posted on our website at </w:t>
      </w:r>
      <w:r>
        <w:rPr>
          <w:rFonts w:ascii="Arial" w:cs="Arial" w:eastAsia="Arial" w:hAnsi="Arial"/>
          <w:sz w:val="16"/>
          <w:szCs w:val="16"/>
          <w:i w:val="1"/>
          <w:iCs w:val="1"/>
          <w:color w:val="auto"/>
        </w:rPr>
        <w:t>www.cantaloupe.com</w:t>
      </w:r>
      <w:r>
        <w:rPr>
          <w:rFonts w:ascii="Arial" w:cs="Arial" w:eastAsia="Arial" w:hAnsi="Arial"/>
          <w:sz w:val="16"/>
          <w:szCs w:val="16"/>
          <w:color w:val="auto"/>
        </w:rPr>
        <w:t>.</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32"/>
          <w:szCs w:val="32"/>
          <w:b w:val="1"/>
          <w:bCs w:val="1"/>
          <w:color w:val="202945"/>
        </w:rPr>
        <w:t>Fiscal Year 2025 Director Compensation</w:t>
      </w:r>
    </w:p>
    <w:p>
      <w:pPr>
        <w:spacing w:after="0" w:line="269" w:lineRule="exact"/>
        <w:rPr>
          <w:sz w:val="20"/>
          <w:szCs w:val="20"/>
          <w:color w:val="auto"/>
        </w:rPr>
      </w:pPr>
    </w:p>
    <w:p>
      <w:pPr>
        <w:ind w:right="340"/>
        <w:spacing w:after="0" w:line="356" w:lineRule="auto"/>
        <w:rPr>
          <w:sz w:val="20"/>
          <w:szCs w:val="20"/>
          <w:color w:val="auto"/>
        </w:rPr>
      </w:pPr>
      <w:r>
        <w:rPr>
          <w:rFonts w:ascii="Arial" w:cs="Arial" w:eastAsia="Arial" w:hAnsi="Arial"/>
          <w:sz w:val="16"/>
          <w:szCs w:val="16"/>
          <w:color w:val="auto"/>
        </w:rPr>
        <w:t>The table below summarizes the compensation of each individual who served as a non-employee director during the fiscal year ended June 30, 2025. In addition, the footnotes below include the outstanding equity awards held by each non-employee director as of June 30, 2025.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00" w:type="dxa"/>
            <w:vAlign w:val="bottom"/>
          </w:tcPr>
          <w:p>
            <w:pPr>
              <w:spacing w:after="0"/>
              <w:rPr>
                <w:sz w:val="17"/>
                <w:szCs w:val="17"/>
                <w:color w:val="auto"/>
              </w:rPr>
            </w:pPr>
          </w:p>
        </w:tc>
        <w:tc>
          <w:tcPr>
            <w:tcW w:w="4040" w:type="dxa"/>
            <w:vAlign w:val="bottom"/>
            <w:gridSpan w:val="2"/>
          </w:tcPr>
          <w:p>
            <w:pPr>
              <w:ind w:left="3000"/>
              <w:spacing w:after="0"/>
              <w:rPr>
                <w:sz w:val="20"/>
                <w:szCs w:val="20"/>
                <w:color w:val="auto"/>
              </w:rPr>
            </w:pPr>
            <w:r>
              <w:rPr>
                <w:rFonts w:ascii="Arial" w:cs="Arial" w:eastAsia="Arial" w:hAnsi="Arial"/>
                <w:sz w:val="14"/>
                <w:szCs w:val="14"/>
                <w:b w:val="1"/>
                <w:bCs w:val="1"/>
                <w:color w:val="404040"/>
              </w:rPr>
              <w:t>Fees Earned</w:t>
            </w: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500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b w:val="1"/>
                <w:bCs w:val="1"/>
                <w:color w:val="404040"/>
              </w:rPr>
              <w:t>or Paid in</w:t>
            </w:r>
          </w:p>
        </w:tc>
        <w:tc>
          <w:tcPr>
            <w:tcW w:w="300" w:type="dxa"/>
            <w:vAlign w:val="bottom"/>
          </w:tcPr>
          <w:p>
            <w:pPr>
              <w:spacing w:after="0"/>
              <w:rPr>
                <w:sz w:val="17"/>
                <w:szCs w:val="17"/>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404040"/>
              </w:rPr>
              <w:t>Stock</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45"/>
        </w:trPr>
        <w:tc>
          <w:tcPr>
            <w:tcW w:w="5000" w:type="dxa"/>
            <w:vAlign w:val="bottom"/>
            <w:tcBorders>
              <w:bottom w:val="single" w:sz="8" w:color="FF7F32"/>
            </w:tcBorders>
          </w:tcPr>
          <w:p>
            <w:pPr>
              <w:ind w:left="20"/>
              <w:spacing w:after="0"/>
              <w:rPr>
                <w:sz w:val="20"/>
                <w:szCs w:val="20"/>
                <w:color w:val="auto"/>
              </w:rPr>
            </w:pPr>
            <w:r>
              <w:rPr>
                <w:rFonts w:ascii="Arial" w:cs="Arial" w:eastAsia="Arial" w:hAnsi="Arial"/>
                <w:sz w:val="14"/>
                <w:szCs w:val="14"/>
                <w:b w:val="1"/>
                <w:bCs w:val="1"/>
                <w:color w:val="404040"/>
              </w:rPr>
              <w:t>Name</w:t>
            </w:r>
          </w:p>
        </w:tc>
        <w:tc>
          <w:tcPr>
            <w:tcW w:w="3140" w:type="dxa"/>
            <w:vAlign w:val="bottom"/>
            <w:tcBorders>
              <w:bottom w:val="single" w:sz="8" w:color="FF7F32"/>
            </w:tcBorders>
          </w:tcPr>
          <w:p>
            <w:pPr>
              <w:spacing w:after="0"/>
              <w:rPr>
                <w:sz w:val="21"/>
                <w:szCs w:val="21"/>
                <w:color w:val="auto"/>
              </w:rPr>
            </w:pPr>
          </w:p>
        </w:tc>
        <w:tc>
          <w:tcPr>
            <w:tcW w:w="900" w:type="dxa"/>
            <w:vAlign w:val="bottom"/>
            <w:tcBorders>
              <w:bottom w:val="single" w:sz="8" w:color="FF7F32"/>
            </w:tcBorders>
          </w:tcPr>
          <w:p>
            <w:pPr>
              <w:jc w:val="right"/>
              <w:ind w:right="128"/>
              <w:spacing w:after="0"/>
              <w:rPr>
                <w:sz w:val="20"/>
                <w:szCs w:val="20"/>
                <w:color w:val="auto"/>
              </w:rPr>
            </w:pPr>
            <w:r>
              <w:rPr>
                <w:rFonts w:ascii="Arial" w:cs="Arial" w:eastAsia="Arial" w:hAnsi="Arial"/>
                <w:sz w:val="14"/>
                <w:szCs w:val="14"/>
                <w:b w:val="1"/>
                <w:bCs w:val="1"/>
                <w:color w:val="404040"/>
              </w:rPr>
              <w:t>Cash ($)</w:t>
            </w:r>
          </w:p>
        </w:tc>
        <w:tc>
          <w:tcPr>
            <w:tcW w:w="1180" w:type="dxa"/>
            <w:vAlign w:val="bottom"/>
            <w:tcBorders>
              <w:bottom w:val="single" w:sz="8" w:color="FF7F32"/>
            </w:tcBorders>
            <w:gridSpan w:val="2"/>
          </w:tcPr>
          <w:p>
            <w:pPr>
              <w:jc w:val="right"/>
              <w:ind w:right="48"/>
              <w:spacing w:after="0"/>
              <w:rPr>
                <w:sz w:val="20"/>
                <w:szCs w:val="20"/>
                <w:color w:val="auto"/>
              </w:rPr>
            </w:pPr>
            <w:r>
              <w:rPr>
                <w:rFonts w:ascii="Arial" w:cs="Arial" w:eastAsia="Arial" w:hAnsi="Arial"/>
                <w:sz w:val="14"/>
                <w:szCs w:val="14"/>
                <w:b w:val="1"/>
                <w:bCs w:val="1"/>
                <w:color w:val="404040"/>
              </w:rPr>
              <w:t>Awards ($)</w:t>
            </w:r>
            <w:r>
              <w:rPr>
                <w:rFonts w:ascii="Arial" w:cs="Arial" w:eastAsia="Arial" w:hAnsi="Arial"/>
                <w:sz w:val="18"/>
                <w:szCs w:val="18"/>
                <w:b w:val="1"/>
                <w:bCs w:val="1"/>
                <w:color w:val="404040"/>
                <w:vertAlign w:val="superscript"/>
              </w:rPr>
              <w:t>(1)</w:t>
            </w:r>
          </w:p>
        </w:tc>
        <w:tc>
          <w:tcPr>
            <w:tcW w:w="240" w:type="dxa"/>
            <w:vAlign w:val="bottom"/>
            <w:tcBorders>
              <w:bottom w:val="single" w:sz="8" w:color="FF7F32"/>
            </w:tcBorders>
          </w:tcPr>
          <w:p>
            <w:pPr>
              <w:spacing w:after="0"/>
              <w:rPr>
                <w:sz w:val="21"/>
                <w:szCs w:val="21"/>
                <w:color w:val="auto"/>
              </w:rPr>
            </w:pPr>
          </w:p>
        </w:tc>
        <w:tc>
          <w:tcPr>
            <w:tcW w:w="780" w:type="dxa"/>
            <w:vAlign w:val="bottom"/>
            <w:tcBorders>
              <w:bottom w:val="single" w:sz="8" w:color="FF7F32"/>
            </w:tcBorders>
          </w:tcPr>
          <w:p>
            <w:pPr>
              <w:jc w:val="right"/>
              <w:spacing w:after="0"/>
              <w:rPr>
                <w:sz w:val="20"/>
                <w:szCs w:val="20"/>
                <w:color w:val="auto"/>
              </w:rPr>
            </w:pPr>
            <w:r>
              <w:rPr>
                <w:rFonts w:ascii="Arial" w:cs="Arial" w:eastAsia="Arial" w:hAnsi="Arial"/>
                <w:sz w:val="14"/>
                <w:szCs w:val="14"/>
                <w:b w:val="1"/>
                <w:bCs w:val="1"/>
                <w:color w:val="404040"/>
              </w:rPr>
              <w:t>Total ($)</w:t>
            </w:r>
          </w:p>
        </w:tc>
      </w:tr>
      <w:tr>
        <w:trPr>
          <w:trHeight w:val="291"/>
        </w:trPr>
        <w:tc>
          <w:tcPr>
            <w:tcW w:w="5000" w:type="dxa"/>
            <w:vAlign w:val="bottom"/>
            <w:tcBorders>
              <w:bottom w:val="single" w:sz="8" w:color="D9D9D9"/>
            </w:tcBorders>
          </w:tcPr>
          <w:p>
            <w:pPr>
              <w:ind w:left="20"/>
              <w:spacing w:after="0"/>
              <w:rPr>
                <w:sz w:val="20"/>
                <w:szCs w:val="20"/>
                <w:color w:val="auto"/>
              </w:rPr>
            </w:pPr>
            <w:r>
              <w:rPr>
                <w:rFonts w:ascii="Arial" w:cs="Arial" w:eastAsia="Arial" w:hAnsi="Arial"/>
                <w:sz w:val="14"/>
                <w:szCs w:val="14"/>
                <w:b w:val="1"/>
                <w:bCs w:val="1"/>
                <w:color w:val="FF7F32"/>
              </w:rPr>
              <w:t>Douglas G. Bergeron, Chair</w:t>
            </w:r>
            <w:r>
              <w:rPr>
                <w:rFonts w:ascii="Arial" w:cs="Arial" w:eastAsia="Arial" w:hAnsi="Arial"/>
                <w:sz w:val="18"/>
                <w:szCs w:val="18"/>
                <w:b w:val="1"/>
                <w:bCs w:val="1"/>
                <w:color w:val="FF7F32"/>
                <w:vertAlign w:val="superscript"/>
              </w:rPr>
              <w:t>(2)</w:t>
            </w:r>
          </w:p>
        </w:tc>
        <w:tc>
          <w:tcPr>
            <w:tcW w:w="3140" w:type="dxa"/>
            <w:vAlign w:val="bottom"/>
            <w:tcBorders>
              <w:bottom w:val="single" w:sz="8" w:color="D9D9D9"/>
            </w:tcBorders>
          </w:tcPr>
          <w:p>
            <w:pPr>
              <w:ind w:left="300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D9D9D9"/>
            </w:tcBorders>
          </w:tcPr>
          <w:p>
            <w:pPr>
              <w:jc w:val="right"/>
              <w:ind w:right="288"/>
              <w:spacing w:after="0"/>
              <w:rPr>
                <w:sz w:val="20"/>
                <w:szCs w:val="20"/>
                <w:color w:val="auto"/>
              </w:rPr>
            </w:pPr>
            <w:r>
              <w:rPr>
                <w:rFonts w:ascii="Arial" w:cs="Arial" w:eastAsia="Arial" w:hAnsi="Arial"/>
                <w:sz w:val="14"/>
                <w:szCs w:val="14"/>
                <w:color w:val="auto"/>
              </w:rPr>
              <w:t>85,000</w:t>
            </w:r>
          </w:p>
        </w:tc>
        <w:tc>
          <w:tcPr>
            <w:tcW w:w="300" w:type="dxa"/>
            <w:vAlign w:val="bottom"/>
            <w:tcBorders>
              <w:bottom w:val="single" w:sz="8" w:color="D9D9D9"/>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9D9D9"/>
            </w:tcBorders>
          </w:tcPr>
          <w:p>
            <w:pPr>
              <w:jc w:val="right"/>
              <w:ind w:right="48"/>
              <w:spacing w:after="0"/>
              <w:rPr>
                <w:sz w:val="20"/>
                <w:szCs w:val="20"/>
                <w:color w:val="auto"/>
              </w:rPr>
            </w:pPr>
            <w:r>
              <w:rPr>
                <w:rFonts w:ascii="Arial" w:cs="Arial" w:eastAsia="Arial" w:hAnsi="Arial"/>
                <w:sz w:val="14"/>
                <w:szCs w:val="14"/>
                <w:color w:val="auto"/>
              </w:rPr>
              <w:t>100,000.00</w:t>
            </w:r>
          </w:p>
        </w:tc>
        <w:tc>
          <w:tcPr>
            <w:tcW w:w="240" w:type="dxa"/>
            <w:vAlign w:val="bottom"/>
            <w:tcBorders>
              <w:bottom w:val="single" w:sz="8" w:color="D9D9D9"/>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9D9D9"/>
            </w:tcBorders>
          </w:tcPr>
          <w:p>
            <w:pPr>
              <w:jc w:val="right"/>
              <w:spacing w:after="0"/>
              <w:rPr>
                <w:sz w:val="20"/>
                <w:szCs w:val="20"/>
                <w:color w:val="auto"/>
              </w:rPr>
            </w:pPr>
            <w:r>
              <w:rPr>
                <w:rFonts w:ascii="Arial" w:cs="Arial" w:eastAsia="Arial" w:hAnsi="Arial"/>
                <w:sz w:val="14"/>
                <w:szCs w:val="14"/>
                <w:color w:val="auto"/>
              </w:rPr>
              <w:t>185,000.00</w:t>
            </w:r>
          </w:p>
        </w:tc>
      </w:tr>
      <w:tr>
        <w:trPr>
          <w:trHeight w:val="290"/>
        </w:trPr>
        <w:tc>
          <w:tcPr>
            <w:tcW w:w="5000" w:type="dxa"/>
            <w:vAlign w:val="bottom"/>
            <w:tcBorders>
              <w:bottom w:val="single" w:sz="8" w:color="D9D9D9"/>
            </w:tcBorders>
          </w:tcPr>
          <w:p>
            <w:pPr>
              <w:ind w:left="20"/>
              <w:spacing w:after="0"/>
              <w:rPr>
                <w:sz w:val="20"/>
                <w:szCs w:val="20"/>
                <w:color w:val="auto"/>
              </w:rPr>
            </w:pPr>
            <w:r>
              <w:rPr>
                <w:rFonts w:ascii="Arial" w:cs="Arial" w:eastAsia="Arial" w:hAnsi="Arial"/>
                <w:sz w:val="14"/>
                <w:szCs w:val="14"/>
                <w:b w:val="1"/>
                <w:bCs w:val="1"/>
                <w:color w:val="FF7F32"/>
              </w:rPr>
              <w:t>Lisa P. Baird</w:t>
            </w:r>
            <w:r>
              <w:rPr>
                <w:rFonts w:ascii="Arial" w:cs="Arial" w:eastAsia="Arial" w:hAnsi="Arial"/>
                <w:sz w:val="18"/>
                <w:szCs w:val="18"/>
                <w:b w:val="1"/>
                <w:bCs w:val="1"/>
                <w:color w:val="FF7F32"/>
                <w:vertAlign w:val="superscript"/>
              </w:rPr>
              <w:t>(2)</w:t>
            </w:r>
          </w:p>
        </w:tc>
        <w:tc>
          <w:tcPr>
            <w:tcW w:w="3140" w:type="dxa"/>
            <w:vAlign w:val="bottom"/>
            <w:tcBorders>
              <w:bottom w:val="single" w:sz="8" w:color="D9D9D9"/>
            </w:tcBorders>
          </w:tcPr>
          <w:p>
            <w:pPr>
              <w:ind w:left="300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D9D9D9"/>
            </w:tcBorders>
          </w:tcPr>
          <w:p>
            <w:pPr>
              <w:jc w:val="right"/>
              <w:ind w:right="288"/>
              <w:spacing w:after="0"/>
              <w:rPr>
                <w:sz w:val="20"/>
                <w:szCs w:val="20"/>
                <w:color w:val="auto"/>
              </w:rPr>
            </w:pPr>
            <w:r>
              <w:rPr>
                <w:rFonts w:ascii="Arial" w:cs="Arial" w:eastAsia="Arial" w:hAnsi="Arial"/>
                <w:sz w:val="14"/>
                <w:szCs w:val="14"/>
                <w:color w:val="auto"/>
              </w:rPr>
              <w:t>50,000</w:t>
            </w:r>
          </w:p>
        </w:tc>
        <w:tc>
          <w:tcPr>
            <w:tcW w:w="300" w:type="dxa"/>
            <w:vAlign w:val="bottom"/>
            <w:tcBorders>
              <w:bottom w:val="single" w:sz="8" w:color="D9D9D9"/>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9D9D9"/>
            </w:tcBorders>
          </w:tcPr>
          <w:p>
            <w:pPr>
              <w:jc w:val="right"/>
              <w:ind w:right="48"/>
              <w:spacing w:after="0"/>
              <w:rPr>
                <w:sz w:val="20"/>
                <w:szCs w:val="20"/>
                <w:color w:val="auto"/>
              </w:rPr>
            </w:pPr>
            <w:r>
              <w:rPr>
                <w:rFonts w:ascii="Arial" w:cs="Arial" w:eastAsia="Arial" w:hAnsi="Arial"/>
                <w:sz w:val="14"/>
                <w:szCs w:val="14"/>
                <w:color w:val="auto"/>
              </w:rPr>
              <w:t>100,000.00</w:t>
            </w:r>
          </w:p>
        </w:tc>
        <w:tc>
          <w:tcPr>
            <w:tcW w:w="240" w:type="dxa"/>
            <w:vAlign w:val="bottom"/>
            <w:tcBorders>
              <w:bottom w:val="single" w:sz="8" w:color="D9D9D9"/>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9D9D9"/>
            </w:tcBorders>
          </w:tcPr>
          <w:p>
            <w:pPr>
              <w:jc w:val="right"/>
              <w:spacing w:after="0"/>
              <w:rPr>
                <w:sz w:val="20"/>
                <w:szCs w:val="20"/>
                <w:color w:val="auto"/>
              </w:rPr>
            </w:pPr>
            <w:r>
              <w:rPr>
                <w:rFonts w:ascii="Arial" w:cs="Arial" w:eastAsia="Arial" w:hAnsi="Arial"/>
                <w:sz w:val="14"/>
                <w:szCs w:val="14"/>
                <w:color w:val="auto"/>
              </w:rPr>
              <w:t>150,000.00</w:t>
            </w:r>
          </w:p>
        </w:tc>
      </w:tr>
      <w:tr>
        <w:trPr>
          <w:trHeight w:val="290"/>
        </w:trPr>
        <w:tc>
          <w:tcPr>
            <w:tcW w:w="5000" w:type="dxa"/>
            <w:vAlign w:val="bottom"/>
            <w:tcBorders>
              <w:bottom w:val="single" w:sz="8" w:color="D9D9D9"/>
            </w:tcBorders>
          </w:tcPr>
          <w:p>
            <w:pPr>
              <w:ind w:left="20"/>
              <w:spacing w:after="0"/>
              <w:rPr>
                <w:sz w:val="20"/>
                <w:szCs w:val="20"/>
                <w:color w:val="auto"/>
              </w:rPr>
            </w:pPr>
            <w:r>
              <w:rPr>
                <w:rFonts w:ascii="Arial" w:cs="Arial" w:eastAsia="Arial" w:hAnsi="Arial"/>
                <w:sz w:val="14"/>
                <w:szCs w:val="14"/>
                <w:b w:val="1"/>
                <w:bCs w:val="1"/>
                <w:color w:val="FF7F32"/>
              </w:rPr>
              <w:t>Ian Harris</w:t>
            </w:r>
            <w:r>
              <w:rPr>
                <w:rFonts w:ascii="Arial" w:cs="Arial" w:eastAsia="Arial" w:hAnsi="Arial"/>
                <w:sz w:val="18"/>
                <w:szCs w:val="18"/>
                <w:b w:val="1"/>
                <w:bCs w:val="1"/>
                <w:color w:val="FF7F32"/>
                <w:vertAlign w:val="superscript"/>
              </w:rPr>
              <w:t>(2)</w:t>
            </w:r>
          </w:p>
        </w:tc>
        <w:tc>
          <w:tcPr>
            <w:tcW w:w="3140" w:type="dxa"/>
            <w:vAlign w:val="bottom"/>
            <w:tcBorders>
              <w:bottom w:val="single" w:sz="8" w:color="D9D9D9"/>
            </w:tcBorders>
          </w:tcPr>
          <w:p>
            <w:pPr>
              <w:ind w:left="300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D9D9D9"/>
            </w:tcBorders>
          </w:tcPr>
          <w:p>
            <w:pPr>
              <w:jc w:val="right"/>
              <w:ind w:right="288"/>
              <w:spacing w:after="0"/>
              <w:rPr>
                <w:sz w:val="20"/>
                <w:szCs w:val="20"/>
                <w:color w:val="auto"/>
              </w:rPr>
            </w:pPr>
            <w:r>
              <w:rPr>
                <w:rFonts w:ascii="Arial" w:cs="Arial" w:eastAsia="Arial" w:hAnsi="Arial"/>
                <w:sz w:val="14"/>
                <w:szCs w:val="14"/>
                <w:color w:val="auto"/>
              </w:rPr>
              <w:t>50,000</w:t>
            </w:r>
          </w:p>
        </w:tc>
        <w:tc>
          <w:tcPr>
            <w:tcW w:w="300" w:type="dxa"/>
            <w:vAlign w:val="bottom"/>
            <w:tcBorders>
              <w:bottom w:val="single" w:sz="8" w:color="D9D9D9"/>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9D9D9"/>
            </w:tcBorders>
          </w:tcPr>
          <w:p>
            <w:pPr>
              <w:jc w:val="right"/>
              <w:ind w:right="48"/>
              <w:spacing w:after="0"/>
              <w:rPr>
                <w:sz w:val="20"/>
                <w:szCs w:val="20"/>
                <w:color w:val="auto"/>
              </w:rPr>
            </w:pPr>
            <w:r>
              <w:rPr>
                <w:rFonts w:ascii="Arial" w:cs="Arial" w:eastAsia="Arial" w:hAnsi="Arial"/>
                <w:sz w:val="14"/>
                <w:szCs w:val="14"/>
                <w:color w:val="auto"/>
              </w:rPr>
              <w:t>100,000.00</w:t>
            </w:r>
          </w:p>
        </w:tc>
        <w:tc>
          <w:tcPr>
            <w:tcW w:w="240" w:type="dxa"/>
            <w:vAlign w:val="bottom"/>
            <w:tcBorders>
              <w:bottom w:val="single" w:sz="8" w:color="D9D9D9"/>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9D9D9"/>
            </w:tcBorders>
          </w:tcPr>
          <w:p>
            <w:pPr>
              <w:jc w:val="right"/>
              <w:spacing w:after="0"/>
              <w:rPr>
                <w:sz w:val="20"/>
                <w:szCs w:val="20"/>
                <w:color w:val="auto"/>
              </w:rPr>
            </w:pPr>
            <w:r>
              <w:rPr>
                <w:rFonts w:ascii="Arial" w:cs="Arial" w:eastAsia="Arial" w:hAnsi="Arial"/>
                <w:sz w:val="14"/>
                <w:szCs w:val="14"/>
                <w:color w:val="auto"/>
              </w:rPr>
              <w:t>150,000.00</w:t>
            </w:r>
          </w:p>
        </w:tc>
      </w:tr>
      <w:tr>
        <w:trPr>
          <w:trHeight w:val="290"/>
        </w:trPr>
        <w:tc>
          <w:tcPr>
            <w:tcW w:w="5000" w:type="dxa"/>
            <w:vAlign w:val="bottom"/>
            <w:tcBorders>
              <w:bottom w:val="single" w:sz="8" w:color="D9D9D9"/>
            </w:tcBorders>
          </w:tcPr>
          <w:p>
            <w:pPr>
              <w:ind w:left="20"/>
              <w:spacing w:after="0"/>
              <w:rPr>
                <w:sz w:val="20"/>
                <w:szCs w:val="20"/>
                <w:color w:val="auto"/>
              </w:rPr>
            </w:pPr>
            <w:r>
              <w:rPr>
                <w:rFonts w:ascii="Arial" w:cs="Arial" w:eastAsia="Arial" w:hAnsi="Arial"/>
                <w:sz w:val="14"/>
                <w:szCs w:val="14"/>
                <w:b w:val="1"/>
                <w:bCs w:val="1"/>
                <w:color w:val="FF7F32"/>
              </w:rPr>
              <w:t>Jacob Lamm</w:t>
            </w:r>
            <w:r>
              <w:rPr>
                <w:rFonts w:ascii="Arial" w:cs="Arial" w:eastAsia="Arial" w:hAnsi="Arial"/>
                <w:sz w:val="18"/>
                <w:szCs w:val="18"/>
                <w:b w:val="1"/>
                <w:bCs w:val="1"/>
                <w:color w:val="FF7F32"/>
                <w:vertAlign w:val="superscript"/>
              </w:rPr>
              <w:t>(2)</w:t>
            </w:r>
          </w:p>
        </w:tc>
        <w:tc>
          <w:tcPr>
            <w:tcW w:w="3140" w:type="dxa"/>
            <w:vAlign w:val="bottom"/>
            <w:tcBorders>
              <w:bottom w:val="single" w:sz="8" w:color="D9D9D9"/>
            </w:tcBorders>
          </w:tcPr>
          <w:p>
            <w:pPr>
              <w:ind w:left="300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D9D9D9"/>
            </w:tcBorders>
          </w:tcPr>
          <w:p>
            <w:pPr>
              <w:jc w:val="right"/>
              <w:ind w:right="288"/>
              <w:spacing w:after="0"/>
              <w:rPr>
                <w:sz w:val="20"/>
                <w:szCs w:val="20"/>
                <w:color w:val="auto"/>
              </w:rPr>
            </w:pPr>
            <w:r>
              <w:rPr>
                <w:rFonts w:ascii="Arial" w:cs="Arial" w:eastAsia="Arial" w:hAnsi="Arial"/>
                <w:sz w:val="14"/>
                <w:szCs w:val="14"/>
                <w:color w:val="auto"/>
              </w:rPr>
              <w:t>57,500</w:t>
            </w:r>
          </w:p>
        </w:tc>
        <w:tc>
          <w:tcPr>
            <w:tcW w:w="300" w:type="dxa"/>
            <w:vAlign w:val="bottom"/>
            <w:tcBorders>
              <w:bottom w:val="single" w:sz="8" w:color="D9D9D9"/>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9D9D9"/>
            </w:tcBorders>
          </w:tcPr>
          <w:p>
            <w:pPr>
              <w:jc w:val="right"/>
              <w:ind w:right="48"/>
              <w:spacing w:after="0"/>
              <w:rPr>
                <w:sz w:val="20"/>
                <w:szCs w:val="20"/>
                <w:color w:val="auto"/>
              </w:rPr>
            </w:pPr>
            <w:r>
              <w:rPr>
                <w:rFonts w:ascii="Arial" w:cs="Arial" w:eastAsia="Arial" w:hAnsi="Arial"/>
                <w:sz w:val="14"/>
                <w:szCs w:val="14"/>
                <w:color w:val="auto"/>
              </w:rPr>
              <w:t>100,000.00</w:t>
            </w:r>
          </w:p>
        </w:tc>
        <w:tc>
          <w:tcPr>
            <w:tcW w:w="240" w:type="dxa"/>
            <w:vAlign w:val="bottom"/>
            <w:tcBorders>
              <w:bottom w:val="single" w:sz="8" w:color="D9D9D9"/>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9D9D9"/>
            </w:tcBorders>
          </w:tcPr>
          <w:p>
            <w:pPr>
              <w:jc w:val="right"/>
              <w:spacing w:after="0"/>
              <w:rPr>
                <w:sz w:val="20"/>
                <w:szCs w:val="20"/>
                <w:color w:val="auto"/>
              </w:rPr>
            </w:pPr>
            <w:r>
              <w:rPr>
                <w:rFonts w:ascii="Arial" w:cs="Arial" w:eastAsia="Arial" w:hAnsi="Arial"/>
                <w:sz w:val="14"/>
                <w:szCs w:val="14"/>
                <w:color w:val="auto"/>
              </w:rPr>
              <w:t>157,500.00</w:t>
            </w:r>
          </w:p>
        </w:tc>
      </w:tr>
      <w:tr>
        <w:trPr>
          <w:trHeight w:val="290"/>
        </w:trPr>
        <w:tc>
          <w:tcPr>
            <w:tcW w:w="5000" w:type="dxa"/>
            <w:vAlign w:val="bottom"/>
            <w:tcBorders>
              <w:bottom w:val="single" w:sz="8" w:color="D9D9D9"/>
            </w:tcBorders>
          </w:tcPr>
          <w:p>
            <w:pPr>
              <w:ind w:left="20"/>
              <w:spacing w:after="0"/>
              <w:rPr>
                <w:sz w:val="20"/>
                <w:szCs w:val="20"/>
                <w:color w:val="auto"/>
              </w:rPr>
            </w:pPr>
            <w:r>
              <w:rPr>
                <w:rFonts w:ascii="Arial" w:cs="Arial" w:eastAsia="Arial" w:hAnsi="Arial"/>
                <w:sz w:val="14"/>
                <w:szCs w:val="14"/>
                <w:b w:val="1"/>
                <w:bCs w:val="1"/>
                <w:color w:val="FF7F32"/>
              </w:rPr>
              <w:t>Michael K. Passilla</w:t>
            </w:r>
            <w:r>
              <w:rPr>
                <w:rFonts w:ascii="Arial" w:cs="Arial" w:eastAsia="Arial" w:hAnsi="Arial"/>
                <w:sz w:val="18"/>
                <w:szCs w:val="18"/>
                <w:b w:val="1"/>
                <w:bCs w:val="1"/>
                <w:color w:val="FF7F32"/>
                <w:vertAlign w:val="superscript"/>
              </w:rPr>
              <w:t>(2)</w:t>
            </w:r>
          </w:p>
        </w:tc>
        <w:tc>
          <w:tcPr>
            <w:tcW w:w="3140" w:type="dxa"/>
            <w:vAlign w:val="bottom"/>
            <w:tcBorders>
              <w:bottom w:val="single" w:sz="8" w:color="D9D9D9"/>
            </w:tcBorders>
          </w:tcPr>
          <w:p>
            <w:pPr>
              <w:ind w:left="300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D9D9D9"/>
            </w:tcBorders>
          </w:tcPr>
          <w:p>
            <w:pPr>
              <w:jc w:val="right"/>
              <w:ind w:right="288"/>
              <w:spacing w:after="0"/>
              <w:rPr>
                <w:sz w:val="20"/>
                <w:szCs w:val="20"/>
                <w:color w:val="auto"/>
              </w:rPr>
            </w:pPr>
            <w:r>
              <w:rPr>
                <w:rFonts w:ascii="Arial" w:cs="Arial" w:eastAsia="Arial" w:hAnsi="Arial"/>
                <w:sz w:val="14"/>
                <w:szCs w:val="14"/>
                <w:color w:val="auto"/>
              </w:rPr>
              <w:t>60,000</w:t>
            </w:r>
          </w:p>
        </w:tc>
        <w:tc>
          <w:tcPr>
            <w:tcW w:w="300" w:type="dxa"/>
            <w:vAlign w:val="bottom"/>
            <w:tcBorders>
              <w:bottom w:val="single" w:sz="8" w:color="D9D9D9"/>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9D9D9"/>
            </w:tcBorders>
          </w:tcPr>
          <w:p>
            <w:pPr>
              <w:jc w:val="right"/>
              <w:ind w:right="48"/>
              <w:spacing w:after="0"/>
              <w:rPr>
                <w:sz w:val="20"/>
                <w:szCs w:val="20"/>
                <w:color w:val="auto"/>
              </w:rPr>
            </w:pPr>
            <w:r>
              <w:rPr>
                <w:rFonts w:ascii="Arial" w:cs="Arial" w:eastAsia="Arial" w:hAnsi="Arial"/>
                <w:sz w:val="14"/>
                <w:szCs w:val="14"/>
                <w:color w:val="auto"/>
              </w:rPr>
              <w:t>100,000.00</w:t>
            </w:r>
          </w:p>
        </w:tc>
        <w:tc>
          <w:tcPr>
            <w:tcW w:w="240" w:type="dxa"/>
            <w:vAlign w:val="bottom"/>
            <w:tcBorders>
              <w:bottom w:val="single" w:sz="8" w:color="D9D9D9"/>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9D9D9"/>
            </w:tcBorders>
          </w:tcPr>
          <w:p>
            <w:pPr>
              <w:jc w:val="right"/>
              <w:spacing w:after="0"/>
              <w:rPr>
                <w:sz w:val="20"/>
                <w:szCs w:val="20"/>
                <w:color w:val="auto"/>
              </w:rPr>
            </w:pPr>
            <w:r>
              <w:rPr>
                <w:rFonts w:ascii="Arial" w:cs="Arial" w:eastAsia="Arial" w:hAnsi="Arial"/>
                <w:sz w:val="14"/>
                <w:szCs w:val="14"/>
                <w:color w:val="auto"/>
              </w:rPr>
              <w:t>160,000.00</w:t>
            </w:r>
          </w:p>
        </w:tc>
      </w:tr>
      <w:tr>
        <w:trPr>
          <w:trHeight w:val="290"/>
        </w:trPr>
        <w:tc>
          <w:tcPr>
            <w:tcW w:w="5000" w:type="dxa"/>
            <w:vAlign w:val="bottom"/>
            <w:tcBorders>
              <w:bottom w:val="single" w:sz="8" w:color="D9D9D9"/>
            </w:tcBorders>
          </w:tcPr>
          <w:p>
            <w:pPr>
              <w:ind w:left="20"/>
              <w:spacing w:after="0"/>
              <w:rPr>
                <w:sz w:val="20"/>
                <w:szCs w:val="20"/>
                <w:color w:val="auto"/>
              </w:rPr>
            </w:pPr>
            <w:r>
              <w:rPr>
                <w:rFonts w:ascii="Arial" w:cs="Arial" w:eastAsia="Arial" w:hAnsi="Arial"/>
                <w:sz w:val="14"/>
                <w:szCs w:val="14"/>
                <w:b w:val="1"/>
                <w:bCs w:val="1"/>
                <w:color w:val="FF7F32"/>
              </w:rPr>
              <w:t>Ellen Richey</w:t>
            </w:r>
            <w:r>
              <w:rPr>
                <w:rFonts w:ascii="Arial" w:cs="Arial" w:eastAsia="Arial" w:hAnsi="Arial"/>
                <w:sz w:val="18"/>
                <w:szCs w:val="18"/>
                <w:b w:val="1"/>
                <w:bCs w:val="1"/>
                <w:color w:val="FF7F32"/>
                <w:vertAlign w:val="superscript"/>
              </w:rPr>
              <w:t>(2)</w:t>
            </w:r>
          </w:p>
        </w:tc>
        <w:tc>
          <w:tcPr>
            <w:tcW w:w="3140" w:type="dxa"/>
            <w:vAlign w:val="bottom"/>
            <w:tcBorders>
              <w:bottom w:val="single" w:sz="8" w:color="D9D9D9"/>
            </w:tcBorders>
          </w:tcPr>
          <w:p>
            <w:pPr>
              <w:ind w:left="300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D9D9D9"/>
            </w:tcBorders>
          </w:tcPr>
          <w:p>
            <w:pPr>
              <w:jc w:val="right"/>
              <w:ind w:right="288"/>
              <w:spacing w:after="0"/>
              <w:rPr>
                <w:sz w:val="20"/>
                <w:szCs w:val="20"/>
                <w:color w:val="auto"/>
              </w:rPr>
            </w:pPr>
            <w:r>
              <w:rPr>
                <w:rFonts w:ascii="Arial" w:cs="Arial" w:eastAsia="Arial" w:hAnsi="Arial"/>
                <w:sz w:val="14"/>
                <w:szCs w:val="14"/>
                <w:color w:val="auto"/>
              </w:rPr>
              <w:t>60,000</w:t>
            </w:r>
          </w:p>
        </w:tc>
        <w:tc>
          <w:tcPr>
            <w:tcW w:w="300" w:type="dxa"/>
            <w:vAlign w:val="bottom"/>
            <w:tcBorders>
              <w:bottom w:val="single" w:sz="8" w:color="D9D9D9"/>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9D9D9"/>
            </w:tcBorders>
          </w:tcPr>
          <w:p>
            <w:pPr>
              <w:jc w:val="right"/>
              <w:ind w:right="48"/>
              <w:spacing w:after="0"/>
              <w:rPr>
                <w:sz w:val="20"/>
                <w:szCs w:val="20"/>
                <w:color w:val="auto"/>
              </w:rPr>
            </w:pPr>
            <w:r>
              <w:rPr>
                <w:rFonts w:ascii="Arial" w:cs="Arial" w:eastAsia="Arial" w:hAnsi="Arial"/>
                <w:sz w:val="14"/>
                <w:szCs w:val="14"/>
                <w:color w:val="auto"/>
              </w:rPr>
              <w:t>100,000.00</w:t>
            </w:r>
          </w:p>
        </w:tc>
        <w:tc>
          <w:tcPr>
            <w:tcW w:w="240" w:type="dxa"/>
            <w:vAlign w:val="bottom"/>
            <w:tcBorders>
              <w:bottom w:val="single" w:sz="8" w:color="D9D9D9"/>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9D9D9"/>
            </w:tcBorders>
          </w:tcPr>
          <w:p>
            <w:pPr>
              <w:jc w:val="right"/>
              <w:spacing w:after="0"/>
              <w:rPr>
                <w:sz w:val="20"/>
                <w:szCs w:val="20"/>
                <w:color w:val="auto"/>
              </w:rPr>
            </w:pPr>
            <w:r>
              <w:rPr>
                <w:rFonts w:ascii="Arial" w:cs="Arial" w:eastAsia="Arial" w:hAnsi="Arial"/>
                <w:sz w:val="14"/>
                <w:szCs w:val="14"/>
                <w:color w:val="auto"/>
              </w:rPr>
              <w:t>160,000.00</w:t>
            </w:r>
          </w:p>
        </w:tc>
      </w:tr>
      <w:tr>
        <w:trPr>
          <w:trHeight w:val="291"/>
        </w:trPr>
        <w:tc>
          <w:tcPr>
            <w:tcW w:w="5000" w:type="dxa"/>
            <w:vAlign w:val="bottom"/>
            <w:tcBorders>
              <w:bottom w:val="single" w:sz="8" w:color="D9D9D9"/>
            </w:tcBorders>
          </w:tcPr>
          <w:p>
            <w:pPr>
              <w:ind w:left="20"/>
              <w:spacing w:after="0"/>
              <w:rPr>
                <w:sz w:val="20"/>
                <w:szCs w:val="20"/>
                <w:color w:val="auto"/>
              </w:rPr>
            </w:pPr>
            <w:r>
              <w:rPr>
                <w:rFonts w:ascii="Arial" w:cs="Arial" w:eastAsia="Arial" w:hAnsi="Arial"/>
                <w:sz w:val="14"/>
                <w:szCs w:val="14"/>
                <w:b w:val="1"/>
                <w:bCs w:val="1"/>
                <w:color w:val="FF7F32"/>
              </w:rPr>
              <w:t>Anne M. Smalling</w:t>
            </w:r>
            <w:r>
              <w:rPr>
                <w:rFonts w:ascii="Arial" w:cs="Arial" w:eastAsia="Arial" w:hAnsi="Arial"/>
                <w:sz w:val="18"/>
                <w:szCs w:val="18"/>
                <w:b w:val="1"/>
                <w:bCs w:val="1"/>
                <w:color w:val="FF7F32"/>
                <w:vertAlign w:val="superscript"/>
              </w:rPr>
              <w:t>(2)</w:t>
            </w:r>
          </w:p>
        </w:tc>
        <w:tc>
          <w:tcPr>
            <w:tcW w:w="3140" w:type="dxa"/>
            <w:vAlign w:val="bottom"/>
            <w:tcBorders>
              <w:bottom w:val="single" w:sz="8" w:color="D9D9D9"/>
            </w:tcBorders>
          </w:tcPr>
          <w:p>
            <w:pPr>
              <w:ind w:left="300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D9D9D9"/>
            </w:tcBorders>
          </w:tcPr>
          <w:p>
            <w:pPr>
              <w:jc w:val="right"/>
              <w:ind w:right="288"/>
              <w:spacing w:after="0"/>
              <w:rPr>
                <w:sz w:val="20"/>
                <w:szCs w:val="20"/>
                <w:color w:val="auto"/>
              </w:rPr>
            </w:pPr>
            <w:r>
              <w:rPr>
                <w:rFonts w:ascii="Arial" w:cs="Arial" w:eastAsia="Arial" w:hAnsi="Arial"/>
                <w:sz w:val="14"/>
                <w:szCs w:val="14"/>
                <w:color w:val="auto"/>
              </w:rPr>
              <w:t>57,500</w:t>
            </w:r>
          </w:p>
        </w:tc>
        <w:tc>
          <w:tcPr>
            <w:tcW w:w="300" w:type="dxa"/>
            <w:vAlign w:val="bottom"/>
            <w:tcBorders>
              <w:bottom w:val="single" w:sz="8" w:color="D9D9D9"/>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9D9D9"/>
            </w:tcBorders>
          </w:tcPr>
          <w:p>
            <w:pPr>
              <w:jc w:val="right"/>
              <w:ind w:right="48"/>
              <w:spacing w:after="0"/>
              <w:rPr>
                <w:sz w:val="20"/>
                <w:szCs w:val="20"/>
                <w:color w:val="auto"/>
              </w:rPr>
            </w:pPr>
            <w:r>
              <w:rPr>
                <w:rFonts w:ascii="Arial" w:cs="Arial" w:eastAsia="Arial" w:hAnsi="Arial"/>
                <w:sz w:val="14"/>
                <w:szCs w:val="14"/>
                <w:color w:val="auto"/>
              </w:rPr>
              <w:t>100,000.00</w:t>
            </w:r>
          </w:p>
        </w:tc>
        <w:tc>
          <w:tcPr>
            <w:tcW w:w="240" w:type="dxa"/>
            <w:vAlign w:val="bottom"/>
            <w:tcBorders>
              <w:bottom w:val="single" w:sz="8" w:color="D9D9D9"/>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9D9D9"/>
            </w:tcBorders>
          </w:tcPr>
          <w:p>
            <w:pPr>
              <w:jc w:val="right"/>
              <w:spacing w:after="0"/>
              <w:rPr>
                <w:sz w:val="20"/>
                <w:szCs w:val="20"/>
                <w:color w:val="auto"/>
              </w:rPr>
            </w:pPr>
            <w:r>
              <w:rPr>
                <w:rFonts w:ascii="Arial" w:cs="Arial" w:eastAsia="Arial" w:hAnsi="Arial"/>
                <w:sz w:val="14"/>
                <w:szCs w:val="14"/>
                <w:color w:val="auto"/>
              </w:rPr>
              <w:t>157,500.00</w:t>
            </w:r>
          </w:p>
        </w:tc>
      </w:tr>
      <w:tr>
        <w:trPr>
          <w:trHeight w:val="290"/>
        </w:trPr>
        <w:tc>
          <w:tcPr>
            <w:tcW w:w="5000" w:type="dxa"/>
            <w:vAlign w:val="bottom"/>
            <w:tcBorders>
              <w:bottom w:val="single" w:sz="8" w:color="FF7F32"/>
            </w:tcBorders>
          </w:tcPr>
          <w:p>
            <w:pPr>
              <w:ind w:left="20"/>
              <w:spacing w:after="0"/>
              <w:rPr>
                <w:sz w:val="20"/>
                <w:szCs w:val="20"/>
                <w:color w:val="auto"/>
              </w:rPr>
            </w:pPr>
            <w:r>
              <w:rPr>
                <w:rFonts w:ascii="Arial" w:cs="Arial" w:eastAsia="Arial" w:hAnsi="Arial"/>
                <w:sz w:val="14"/>
                <w:szCs w:val="14"/>
                <w:b w:val="1"/>
                <w:bCs w:val="1"/>
                <w:color w:val="FF7F32"/>
              </w:rPr>
              <w:t>Shannon S. Warren</w:t>
            </w:r>
            <w:r>
              <w:rPr>
                <w:rFonts w:ascii="Arial" w:cs="Arial" w:eastAsia="Arial" w:hAnsi="Arial"/>
                <w:sz w:val="18"/>
                <w:szCs w:val="18"/>
                <w:b w:val="1"/>
                <w:bCs w:val="1"/>
                <w:color w:val="FF7F32"/>
                <w:vertAlign w:val="superscript"/>
              </w:rPr>
              <w:t>(2)</w:t>
            </w:r>
          </w:p>
        </w:tc>
        <w:tc>
          <w:tcPr>
            <w:tcW w:w="3140" w:type="dxa"/>
            <w:vAlign w:val="bottom"/>
            <w:tcBorders>
              <w:bottom w:val="single" w:sz="8" w:color="FF7F32"/>
            </w:tcBorders>
          </w:tcPr>
          <w:p>
            <w:pPr>
              <w:ind w:left="300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FF7F32"/>
            </w:tcBorders>
          </w:tcPr>
          <w:p>
            <w:pPr>
              <w:jc w:val="right"/>
              <w:ind w:right="288"/>
              <w:spacing w:after="0"/>
              <w:rPr>
                <w:sz w:val="20"/>
                <w:szCs w:val="20"/>
                <w:color w:val="auto"/>
              </w:rPr>
            </w:pPr>
            <w:r>
              <w:rPr>
                <w:rFonts w:ascii="Arial" w:cs="Arial" w:eastAsia="Arial" w:hAnsi="Arial"/>
                <w:sz w:val="14"/>
                <w:szCs w:val="14"/>
                <w:color w:val="auto"/>
              </w:rPr>
              <w:t>75,000</w:t>
            </w:r>
          </w:p>
        </w:tc>
        <w:tc>
          <w:tcPr>
            <w:tcW w:w="300" w:type="dxa"/>
            <w:vAlign w:val="bottom"/>
            <w:tcBorders>
              <w:bottom w:val="single" w:sz="8" w:color="FF7F32"/>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FF7F32"/>
            </w:tcBorders>
          </w:tcPr>
          <w:p>
            <w:pPr>
              <w:jc w:val="right"/>
              <w:ind w:right="48"/>
              <w:spacing w:after="0"/>
              <w:rPr>
                <w:sz w:val="20"/>
                <w:szCs w:val="20"/>
                <w:color w:val="auto"/>
              </w:rPr>
            </w:pPr>
            <w:r>
              <w:rPr>
                <w:rFonts w:ascii="Arial" w:cs="Arial" w:eastAsia="Arial" w:hAnsi="Arial"/>
                <w:sz w:val="14"/>
                <w:szCs w:val="14"/>
                <w:color w:val="auto"/>
              </w:rPr>
              <w:t>100,000.00</w:t>
            </w:r>
          </w:p>
        </w:tc>
        <w:tc>
          <w:tcPr>
            <w:tcW w:w="240" w:type="dxa"/>
            <w:vAlign w:val="bottom"/>
            <w:tcBorders>
              <w:bottom w:val="single" w:sz="8" w:color="FF7F32"/>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FF7F32"/>
            </w:tcBorders>
          </w:tcPr>
          <w:p>
            <w:pPr>
              <w:jc w:val="right"/>
              <w:spacing w:after="0"/>
              <w:rPr>
                <w:sz w:val="20"/>
                <w:szCs w:val="20"/>
                <w:color w:val="auto"/>
              </w:rPr>
            </w:pPr>
            <w:r>
              <w:rPr>
                <w:rFonts w:ascii="Arial" w:cs="Arial" w:eastAsia="Arial" w:hAnsi="Arial"/>
                <w:sz w:val="14"/>
                <w:szCs w:val="14"/>
                <w:color w:val="auto"/>
              </w:rPr>
              <w:t>175,000.00</w:t>
            </w:r>
          </w:p>
        </w:tc>
      </w:tr>
    </w:tbl>
    <w:p>
      <w:pPr>
        <w:spacing w:after="0" w:line="212" w:lineRule="exact"/>
        <w:rPr>
          <w:sz w:val="20"/>
          <w:szCs w:val="20"/>
          <w:color w:val="auto"/>
        </w:rPr>
      </w:pPr>
    </w:p>
    <w:p>
      <w:pPr>
        <w:ind w:left="200" w:right="40" w:hanging="192"/>
        <w:spacing w:after="0" w:line="283" w:lineRule="auto"/>
        <w:tabs>
          <w:tab w:leader="none" w:pos="200" w:val="left"/>
        </w:tabs>
        <w:numPr>
          <w:ilvl w:val="0"/>
          <w:numId w:val="52"/>
        </w:numPr>
        <w:rPr>
          <w:rFonts w:ascii="Arial" w:cs="Arial" w:eastAsia="Arial" w:hAnsi="Arial"/>
          <w:sz w:val="16"/>
          <w:szCs w:val="16"/>
          <w:color w:val="202945"/>
          <w:vertAlign w:val="superscript"/>
        </w:rPr>
      </w:pPr>
      <w:r>
        <w:rPr>
          <w:rFonts w:ascii="Arial" w:cs="Arial" w:eastAsia="Arial" w:hAnsi="Arial"/>
          <w:sz w:val="13"/>
          <w:szCs w:val="13"/>
          <w:color w:val="202945"/>
        </w:rPr>
        <w:t>The grant date fair value of the RSU awards shown in this column are computed in accordance with FASB ASC Topic 718. Please see Note 12 - ("Stock Based Compensation Plans") to the Company's consolidated financial statements for the fiscal year ending June 30, 2025, as filled on Form 10-K with the SC on September 8, 2025, for further information on how we compute the value of equity awards.</w:t>
      </w:r>
    </w:p>
    <w:p>
      <w:pPr>
        <w:spacing w:after="0" w:line="78" w:lineRule="exact"/>
        <w:rPr>
          <w:rFonts w:ascii="Arial" w:cs="Arial" w:eastAsia="Arial" w:hAnsi="Arial"/>
          <w:sz w:val="16"/>
          <w:szCs w:val="16"/>
          <w:color w:val="202945"/>
          <w:vertAlign w:val="superscript"/>
        </w:rPr>
      </w:pPr>
    </w:p>
    <w:p>
      <w:pPr>
        <w:ind w:left="200" w:right="20" w:hanging="192"/>
        <w:spacing w:after="0" w:line="293" w:lineRule="auto"/>
        <w:tabs>
          <w:tab w:leader="none" w:pos="186" w:val="left"/>
        </w:tabs>
        <w:numPr>
          <w:ilvl w:val="0"/>
          <w:numId w:val="52"/>
        </w:numPr>
        <w:rPr>
          <w:rFonts w:ascii="Arial" w:cs="Arial" w:eastAsia="Arial" w:hAnsi="Arial"/>
          <w:sz w:val="16"/>
          <w:szCs w:val="16"/>
          <w:color w:val="202945"/>
          <w:vertAlign w:val="superscript"/>
        </w:rPr>
      </w:pPr>
      <w:r>
        <w:rPr>
          <w:rFonts w:ascii="Arial" w:cs="Arial" w:eastAsia="Arial" w:hAnsi="Arial"/>
          <w:sz w:val="13"/>
          <w:szCs w:val="13"/>
          <w:color w:val="202945"/>
        </w:rPr>
        <w:t>As of June 30, 2025, (i) directors Bergeron, Baird, Lamm, Passilla, Richey, Smalling, and Warren each had 120,000 unexercised stock options outstanding (which were granted on May 6, 2020 and have an exercise price of $6.49 per share) and (ii) director Harris had 87,500 unexercised stock options outstanding (which were granted on February 7, 2022 and have an exercise price of $8.02), in each case, with 25% of such options vesting on the first anniversary of the grant date (but eligible for prorated vesting upon separation of service for each completed calendar quarter of service following the grant date), and the remaining 75% of such options vesting in equal quarterly installments over the three-year period following the first anniversary of the grant date. Each of these directors also have 19,157 RSUs that will vest on May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142240</wp:posOffset>
            </wp:positionV>
            <wp:extent cx="925830" cy="26543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925830" cy="265430"/>
                    </a:xfrm>
                    <a:prstGeom prst="rect">
                      <a:avLst/>
                    </a:prstGeom>
                    <a:noFill/>
                  </pic:spPr>
                </pic:pic>
              </a:graphicData>
            </a:graphic>
          </wp:anchor>
        </w:drawing>
      </w:r>
    </w:p>
    <w:p>
      <w:pPr>
        <w:spacing w:after="0" w:line="362"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auto"/>
        </w:rPr>
        <w:t>40</w:t>
      </w:r>
      <w:r>
        <w:rPr>
          <w:sz w:val="20"/>
          <w:szCs w:val="20"/>
          <w:color w:val="auto"/>
        </w:rPr>
        <w:tab/>
      </w:r>
      <w:r>
        <w:rPr>
          <w:rFonts w:ascii="Arial" w:cs="Arial" w:eastAsia="Arial" w:hAnsi="Arial"/>
          <w:sz w:val="12"/>
          <w:szCs w:val="12"/>
          <w:b w:val="1"/>
          <w:bCs w:val="1"/>
          <w:color w:val="FF7F32"/>
        </w:rPr>
        <w:t xml:space="preserve">2026 </w:t>
      </w:r>
      <w:r>
        <w:rPr>
          <w:rFonts w:ascii="Arial" w:cs="Arial" w:eastAsia="Arial" w:hAnsi="Arial"/>
          <w:sz w:val="12"/>
          <w:szCs w:val="12"/>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3" w:name="page44"/>
    <w:bookmarkEnd w:id="43"/>
    <w:p>
      <w:pPr>
        <w:spacing w:after="0"/>
        <w:rPr>
          <w:sz w:val="20"/>
          <w:szCs w:val="20"/>
          <w:color w:val="auto"/>
        </w:rPr>
      </w:pPr>
      <w:r>
        <w:rPr>
          <w:rFonts w:ascii="Arial" w:cs="Arial" w:eastAsia="Arial" w:hAnsi="Arial"/>
          <w:sz w:val="50"/>
          <w:szCs w:val="50"/>
          <w:b w:val="1"/>
          <w:bCs w:val="1"/>
          <w:color w:val="FF7F32"/>
        </w:rPr>
        <w:t>Certain Information About Management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32"/>
          <w:szCs w:val="32"/>
          <w:b w:val="1"/>
          <w:bCs w:val="1"/>
          <w:color w:val="202945"/>
        </w:rPr>
        <w:t>Executive Officers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820" w:type="dxa"/>
            <w:vAlign w:val="bottom"/>
          </w:tcPr>
          <w:p>
            <w:pPr>
              <w:ind w:left="20"/>
              <w:spacing w:after="0"/>
              <w:rPr>
                <w:sz w:val="20"/>
                <w:szCs w:val="20"/>
                <w:color w:val="auto"/>
              </w:rPr>
            </w:pPr>
            <w:r>
              <w:rPr>
                <w:rFonts w:ascii="Arial" w:cs="Arial" w:eastAsia="Arial" w:hAnsi="Arial"/>
                <w:sz w:val="14"/>
                <w:szCs w:val="14"/>
                <w:b w:val="1"/>
                <w:bCs w:val="1"/>
                <w:color w:val="404040"/>
              </w:rPr>
              <w:t>Name</w:t>
            </w:r>
          </w:p>
        </w:tc>
        <w:tc>
          <w:tcPr>
            <w:tcW w:w="1260" w:type="dxa"/>
            <w:vAlign w:val="bottom"/>
          </w:tcPr>
          <w:p>
            <w:pPr>
              <w:ind w:left="460"/>
              <w:spacing w:after="0"/>
              <w:rPr>
                <w:sz w:val="20"/>
                <w:szCs w:val="20"/>
                <w:color w:val="auto"/>
              </w:rPr>
            </w:pPr>
            <w:r>
              <w:rPr>
                <w:rFonts w:ascii="Arial" w:cs="Arial" w:eastAsia="Arial" w:hAnsi="Arial"/>
                <w:sz w:val="14"/>
                <w:szCs w:val="14"/>
                <w:b w:val="1"/>
                <w:bCs w:val="1"/>
                <w:color w:val="404040"/>
              </w:rPr>
              <w:t>Age</w:t>
            </w:r>
          </w:p>
        </w:tc>
        <w:tc>
          <w:tcPr>
            <w:tcW w:w="8160" w:type="dxa"/>
            <w:vAlign w:val="bottom"/>
          </w:tcPr>
          <w:p>
            <w:pPr>
              <w:ind w:left="520"/>
              <w:spacing w:after="0"/>
              <w:rPr>
                <w:sz w:val="20"/>
                <w:szCs w:val="20"/>
                <w:color w:val="auto"/>
              </w:rPr>
            </w:pPr>
            <w:r>
              <w:rPr>
                <w:rFonts w:ascii="Arial" w:cs="Arial" w:eastAsia="Arial" w:hAnsi="Arial"/>
                <w:sz w:val="14"/>
                <w:szCs w:val="14"/>
                <w:b w:val="1"/>
                <w:bCs w:val="1"/>
                <w:color w:val="404040"/>
              </w:rPr>
              <w:t>Position(s)</w:t>
            </w:r>
          </w:p>
        </w:tc>
      </w:tr>
      <w:tr>
        <w:trPr>
          <w:trHeight w:val="43"/>
        </w:trPr>
        <w:tc>
          <w:tcPr>
            <w:tcW w:w="1820" w:type="dxa"/>
            <w:vAlign w:val="bottom"/>
            <w:tcBorders>
              <w:bottom w:val="single" w:sz="8" w:color="FF7F32"/>
            </w:tcBorders>
          </w:tcPr>
          <w:p>
            <w:pPr>
              <w:spacing w:after="0"/>
              <w:rPr>
                <w:sz w:val="3"/>
                <w:szCs w:val="3"/>
                <w:color w:val="auto"/>
              </w:rPr>
            </w:pPr>
          </w:p>
        </w:tc>
        <w:tc>
          <w:tcPr>
            <w:tcW w:w="1260" w:type="dxa"/>
            <w:vAlign w:val="bottom"/>
            <w:tcBorders>
              <w:bottom w:val="single" w:sz="8" w:color="FF7F32"/>
            </w:tcBorders>
          </w:tcPr>
          <w:p>
            <w:pPr>
              <w:spacing w:after="0"/>
              <w:rPr>
                <w:sz w:val="3"/>
                <w:szCs w:val="3"/>
                <w:color w:val="auto"/>
              </w:rPr>
            </w:pPr>
          </w:p>
        </w:tc>
        <w:tc>
          <w:tcPr>
            <w:tcW w:w="8160" w:type="dxa"/>
            <w:vAlign w:val="bottom"/>
            <w:tcBorders>
              <w:bottom w:val="single" w:sz="8" w:color="FF7F32"/>
            </w:tcBorders>
          </w:tcPr>
          <w:p>
            <w:pPr>
              <w:spacing w:after="0"/>
              <w:rPr>
                <w:sz w:val="3"/>
                <w:szCs w:val="3"/>
                <w:color w:val="auto"/>
              </w:rPr>
            </w:pPr>
          </w:p>
        </w:tc>
      </w:tr>
      <w:tr>
        <w:trPr>
          <w:trHeight w:val="248"/>
        </w:trPr>
        <w:tc>
          <w:tcPr>
            <w:tcW w:w="1820" w:type="dxa"/>
            <w:vAlign w:val="bottom"/>
          </w:tcPr>
          <w:p>
            <w:pPr>
              <w:ind w:left="20"/>
              <w:spacing w:after="0"/>
              <w:rPr>
                <w:sz w:val="20"/>
                <w:szCs w:val="20"/>
                <w:color w:val="auto"/>
              </w:rPr>
            </w:pPr>
            <w:r>
              <w:rPr>
                <w:rFonts w:ascii="Arial" w:cs="Arial" w:eastAsia="Arial" w:hAnsi="Arial"/>
                <w:sz w:val="14"/>
                <w:szCs w:val="14"/>
                <w:b w:val="1"/>
                <w:bCs w:val="1"/>
                <w:color w:val="FF7F32"/>
              </w:rPr>
              <w:t>Ravi Venkatesan</w:t>
            </w:r>
          </w:p>
        </w:tc>
        <w:tc>
          <w:tcPr>
            <w:tcW w:w="1260" w:type="dxa"/>
            <w:vAlign w:val="bottom"/>
          </w:tcPr>
          <w:p>
            <w:pPr>
              <w:ind w:left="460"/>
              <w:spacing w:after="0"/>
              <w:rPr>
                <w:sz w:val="20"/>
                <w:szCs w:val="20"/>
                <w:color w:val="auto"/>
              </w:rPr>
            </w:pPr>
            <w:r>
              <w:rPr>
                <w:rFonts w:ascii="Arial" w:cs="Arial" w:eastAsia="Arial" w:hAnsi="Arial"/>
                <w:sz w:val="14"/>
                <w:szCs w:val="14"/>
                <w:color w:val="auto"/>
              </w:rPr>
              <w:t>49</w:t>
            </w:r>
          </w:p>
        </w:tc>
        <w:tc>
          <w:tcPr>
            <w:tcW w:w="8160" w:type="dxa"/>
            <w:vAlign w:val="bottom"/>
          </w:tcPr>
          <w:p>
            <w:pPr>
              <w:ind w:left="520"/>
              <w:spacing w:after="0"/>
              <w:rPr>
                <w:sz w:val="20"/>
                <w:szCs w:val="20"/>
                <w:color w:val="auto"/>
              </w:rPr>
            </w:pPr>
            <w:r>
              <w:rPr>
                <w:rFonts w:ascii="Arial" w:cs="Arial" w:eastAsia="Arial" w:hAnsi="Arial"/>
                <w:sz w:val="14"/>
                <w:szCs w:val="14"/>
                <w:color w:val="auto"/>
              </w:rPr>
              <w:t>Chief Executive Officer</w:t>
            </w:r>
          </w:p>
        </w:tc>
      </w:tr>
      <w:tr>
        <w:trPr>
          <w:trHeight w:val="43"/>
        </w:trPr>
        <w:tc>
          <w:tcPr>
            <w:tcW w:w="1820" w:type="dxa"/>
            <w:vAlign w:val="bottom"/>
            <w:tcBorders>
              <w:bottom w:val="single" w:sz="8" w:color="D9D9D9"/>
            </w:tcBorders>
          </w:tcPr>
          <w:p>
            <w:pPr>
              <w:spacing w:after="0"/>
              <w:rPr>
                <w:sz w:val="3"/>
                <w:szCs w:val="3"/>
                <w:color w:val="auto"/>
              </w:rPr>
            </w:pPr>
          </w:p>
        </w:tc>
        <w:tc>
          <w:tcPr>
            <w:tcW w:w="1260" w:type="dxa"/>
            <w:vAlign w:val="bottom"/>
            <w:tcBorders>
              <w:bottom w:val="single" w:sz="8" w:color="D9D9D9"/>
            </w:tcBorders>
          </w:tcPr>
          <w:p>
            <w:pPr>
              <w:spacing w:after="0"/>
              <w:rPr>
                <w:sz w:val="3"/>
                <w:szCs w:val="3"/>
                <w:color w:val="auto"/>
              </w:rPr>
            </w:pPr>
          </w:p>
        </w:tc>
        <w:tc>
          <w:tcPr>
            <w:tcW w:w="8160" w:type="dxa"/>
            <w:vAlign w:val="bottom"/>
            <w:tcBorders>
              <w:bottom w:val="single" w:sz="8" w:color="D9D9D9"/>
            </w:tcBorders>
          </w:tcPr>
          <w:p>
            <w:pPr>
              <w:spacing w:after="0"/>
              <w:rPr>
                <w:sz w:val="3"/>
                <w:szCs w:val="3"/>
                <w:color w:val="auto"/>
              </w:rPr>
            </w:pPr>
          </w:p>
        </w:tc>
      </w:tr>
      <w:tr>
        <w:trPr>
          <w:trHeight w:val="248"/>
        </w:trPr>
        <w:tc>
          <w:tcPr>
            <w:tcW w:w="1820" w:type="dxa"/>
            <w:vAlign w:val="bottom"/>
          </w:tcPr>
          <w:p>
            <w:pPr>
              <w:ind w:left="20"/>
              <w:spacing w:after="0"/>
              <w:rPr>
                <w:sz w:val="20"/>
                <w:szCs w:val="20"/>
                <w:color w:val="auto"/>
              </w:rPr>
            </w:pPr>
            <w:r>
              <w:rPr>
                <w:rFonts w:ascii="Arial" w:cs="Arial" w:eastAsia="Arial" w:hAnsi="Arial"/>
                <w:sz w:val="14"/>
                <w:szCs w:val="14"/>
                <w:b w:val="1"/>
                <w:bCs w:val="1"/>
                <w:color w:val="FF7F32"/>
              </w:rPr>
              <w:t>Scott Stewart</w:t>
            </w:r>
          </w:p>
        </w:tc>
        <w:tc>
          <w:tcPr>
            <w:tcW w:w="1260" w:type="dxa"/>
            <w:vAlign w:val="bottom"/>
          </w:tcPr>
          <w:p>
            <w:pPr>
              <w:ind w:left="460"/>
              <w:spacing w:after="0"/>
              <w:rPr>
                <w:sz w:val="20"/>
                <w:szCs w:val="20"/>
                <w:color w:val="auto"/>
              </w:rPr>
            </w:pPr>
            <w:r>
              <w:rPr>
                <w:rFonts w:ascii="Arial" w:cs="Arial" w:eastAsia="Arial" w:hAnsi="Arial"/>
                <w:sz w:val="14"/>
                <w:szCs w:val="14"/>
                <w:color w:val="auto"/>
              </w:rPr>
              <w:t>52</w:t>
            </w:r>
          </w:p>
        </w:tc>
        <w:tc>
          <w:tcPr>
            <w:tcW w:w="8160" w:type="dxa"/>
            <w:vAlign w:val="bottom"/>
          </w:tcPr>
          <w:p>
            <w:pPr>
              <w:ind w:left="520"/>
              <w:spacing w:after="0"/>
              <w:rPr>
                <w:sz w:val="20"/>
                <w:szCs w:val="20"/>
                <w:color w:val="auto"/>
              </w:rPr>
            </w:pPr>
            <w:r>
              <w:rPr>
                <w:rFonts w:ascii="Arial" w:cs="Arial" w:eastAsia="Arial" w:hAnsi="Arial"/>
                <w:sz w:val="14"/>
                <w:szCs w:val="14"/>
                <w:color w:val="auto"/>
              </w:rPr>
              <w:t>Chief Financial Officer</w:t>
            </w:r>
          </w:p>
        </w:tc>
      </w:tr>
      <w:tr>
        <w:trPr>
          <w:trHeight w:val="43"/>
        </w:trPr>
        <w:tc>
          <w:tcPr>
            <w:tcW w:w="1820" w:type="dxa"/>
            <w:vAlign w:val="bottom"/>
            <w:tcBorders>
              <w:bottom w:val="single" w:sz="8" w:color="D9D9D9"/>
            </w:tcBorders>
          </w:tcPr>
          <w:p>
            <w:pPr>
              <w:spacing w:after="0"/>
              <w:rPr>
                <w:sz w:val="3"/>
                <w:szCs w:val="3"/>
                <w:color w:val="auto"/>
              </w:rPr>
            </w:pPr>
          </w:p>
        </w:tc>
        <w:tc>
          <w:tcPr>
            <w:tcW w:w="1260" w:type="dxa"/>
            <w:vAlign w:val="bottom"/>
            <w:tcBorders>
              <w:bottom w:val="single" w:sz="8" w:color="D9D9D9"/>
            </w:tcBorders>
          </w:tcPr>
          <w:p>
            <w:pPr>
              <w:spacing w:after="0"/>
              <w:rPr>
                <w:sz w:val="3"/>
                <w:szCs w:val="3"/>
                <w:color w:val="auto"/>
              </w:rPr>
            </w:pPr>
          </w:p>
        </w:tc>
        <w:tc>
          <w:tcPr>
            <w:tcW w:w="8160" w:type="dxa"/>
            <w:vAlign w:val="bottom"/>
            <w:tcBorders>
              <w:bottom w:val="single" w:sz="8" w:color="D9D9D9"/>
            </w:tcBorders>
          </w:tcPr>
          <w:p>
            <w:pPr>
              <w:spacing w:after="0"/>
              <w:rPr>
                <w:sz w:val="3"/>
                <w:szCs w:val="3"/>
                <w:color w:val="auto"/>
              </w:rPr>
            </w:pPr>
          </w:p>
        </w:tc>
      </w:tr>
      <w:tr>
        <w:trPr>
          <w:trHeight w:val="248"/>
        </w:trPr>
        <w:tc>
          <w:tcPr>
            <w:tcW w:w="1820" w:type="dxa"/>
            <w:vAlign w:val="bottom"/>
          </w:tcPr>
          <w:p>
            <w:pPr>
              <w:ind w:left="20"/>
              <w:spacing w:after="0"/>
              <w:rPr>
                <w:sz w:val="20"/>
                <w:szCs w:val="20"/>
                <w:color w:val="auto"/>
              </w:rPr>
            </w:pPr>
            <w:r>
              <w:rPr>
                <w:rFonts w:ascii="Arial" w:cs="Arial" w:eastAsia="Arial" w:hAnsi="Arial"/>
                <w:sz w:val="14"/>
                <w:szCs w:val="14"/>
                <w:b w:val="1"/>
                <w:bCs w:val="1"/>
                <w:color w:val="FF7F32"/>
              </w:rPr>
              <w:t>Jeffrey Dumbrell</w:t>
            </w:r>
          </w:p>
        </w:tc>
        <w:tc>
          <w:tcPr>
            <w:tcW w:w="1260" w:type="dxa"/>
            <w:vAlign w:val="bottom"/>
          </w:tcPr>
          <w:p>
            <w:pPr>
              <w:ind w:left="460"/>
              <w:spacing w:after="0"/>
              <w:rPr>
                <w:sz w:val="20"/>
                <w:szCs w:val="20"/>
                <w:color w:val="auto"/>
              </w:rPr>
            </w:pPr>
            <w:r>
              <w:rPr>
                <w:rFonts w:ascii="Arial" w:cs="Arial" w:eastAsia="Arial" w:hAnsi="Arial"/>
                <w:sz w:val="14"/>
                <w:szCs w:val="14"/>
                <w:color w:val="auto"/>
              </w:rPr>
              <w:t>56</w:t>
            </w:r>
          </w:p>
        </w:tc>
        <w:tc>
          <w:tcPr>
            <w:tcW w:w="8160" w:type="dxa"/>
            <w:vAlign w:val="bottom"/>
          </w:tcPr>
          <w:p>
            <w:pPr>
              <w:ind w:left="520"/>
              <w:spacing w:after="0"/>
              <w:rPr>
                <w:sz w:val="20"/>
                <w:szCs w:val="20"/>
                <w:color w:val="auto"/>
              </w:rPr>
            </w:pPr>
            <w:r>
              <w:rPr>
                <w:rFonts w:ascii="Arial" w:cs="Arial" w:eastAsia="Arial" w:hAnsi="Arial"/>
                <w:sz w:val="14"/>
                <w:szCs w:val="14"/>
                <w:color w:val="auto"/>
              </w:rPr>
              <w:t>Chief Revenue Officer</w:t>
            </w:r>
          </w:p>
        </w:tc>
      </w:tr>
      <w:tr>
        <w:trPr>
          <w:trHeight w:val="43"/>
        </w:trPr>
        <w:tc>
          <w:tcPr>
            <w:tcW w:w="1820" w:type="dxa"/>
            <w:vAlign w:val="bottom"/>
            <w:tcBorders>
              <w:bottom w:val="single" w:sz="8" w:color="D9D9D9"/>
            </w:tcBorders>
          </w:tcPr>
          <w:p>
            <w:pPr>
              <w:spacing w:after="0"/>
              <w:rPr>
                <w:sz w:val="3"/>
                <w:szCs w:val="3"/>
                <w:color w:val="auto"/>
              </w:rPr>
            </w:pPr>
          </w:p>
        </w:tc>
        <w:tc>
          <w:tcPr>
            <w:tcW w:w="1260" w:type="dxa"/>
            <w:vAlign w:val="bottom"/>
            <w:tcBorders>
              <w:bottom w:val="single" w:sz="8" w:color="D9D9D9"/>
            </w:tcBorders>
          </w:tcPr>
          <w:p>
            <w:pPr>
              <w:spacing w:after="0"/>
              <w:rPr>
                <w:sz w:val="3"/>
                <w:szCs w:val="3"/>
                <w:color w:val="auto"/>
              </w:rPr>
            </w:pPr>
          </w:p>
        </w:tc>
        <w:tc>
          <w:tcPr>
            <w:tcW w:w="8160" w:type="dxa"/>
            <w:vAlign w:val="bottom"/>
            <w:tcBorders>
              <w:bottom w:val="single" w:sz="8" w:color="D9D9D9"/>
            </w:tcBorders>
          </w:tcPr>
          <w:p>
            <w:pPr>
              <w:spacing w:after="0"/>
              <w:rPr>
                <w:sz w:val="3"/>
                <w:szCs w:val="3"/>
                <w:color w:val="auto"/>
              </w:rPr>
            </w:pPr>
          </w:p>
        </w:tc>
      </w:tr>
      <w:tr>
        <w:trPr>
          <w:trHeight w:val="248"/>
        </w:trPr>
        <w:tc>
          <w:tcPr>
            <w:tcW w:w="1820" w:type="dxa"/>
            <w:vAlign w:val="bottom"/>
          </w:tcPr>
          <w:p>
            <w:pPr>
              <w:ind w:left="20"/>
              <w:spacing w:after="0"/>
              <w:rPr>
                <w:sz w:val="20"/>
                <w:szCs w:val="20"/>
                <w:color w:val="auto"/>
              </w:rPr>
            </w:pPr>
            <w:r>
              <w:rPr>
                <w:rFonts w:ascii="Arial" w:cs="Arial" w:eastAsia="Arial" w:hAnsi="Arial"/>
                <w:sz w:val="14"/>
                <w:szCs w:val="14"/>
                <w:b w:val="1"/>
                <w:bCs w:val="1"/>
                <w:color w:val="FF7F32"/>
              </w:rPr>
              <w:t>Anna Novoseletsky</w:t>
            </w:r>
          </w:p>
        </w:tc>
        <w:tc>
          <w:tcPr>
            <w:tcW w:w="1260" w:type="dxa"/>
            <w:vAlign w:val="bottom"/>
          </w:tcPr>
          <w:p>
            <w:pPr>
              <w:ind w:left="460"/>
              <w:spacing w:after="0"/>
              <w:rPr>
                <w:sz w:val="20"/>
                <w:szCs w:val="20"/>
                <w:color w:val="auto"/>
              </w:rPr>
            </w:pPr>
            <w:r>
              <w:rPr>
                <w:rFonts w:ascii="Arial" w:cs="Arial" w:eastAsia="Arial" w:hAnsi="Arial"/>
                <w:sz w:val="14"/>
                <w:szCs w:val="14"/>
                <w:color w:val="auto"/>
              </w:rPr>
              <w:t>48</w:t>
            </w:r>
          </w:p>
        </w:tc>
        <w:tc>
          <w:tcPr>
            <w:tcW w:w="8160" w:type="dxa"/>
            <w:vAlign w:val="bottom"/>
          </w:tcPr>
          <w:p>
            <w:pPr>
              <w:ind w:left="520"/>
              <w:spacing w:after="0"/>
              <w:rPr>
                <w:sz w:val="20"/>
                <w:szCs w:val="20"/>
                <w:color w:val="auto"/>
              </w:rPr>
            </w:pPr>
            <w:r>
              <w:rPr>
                <w:rFonts w:ascii="Arial" w:cs="Arial" w:eastAsia="Arial" w:hAnsi="Arial"/>
                <w:sz w:val="14"/>
                <w:szCs w:val="14"/>
                <w:color w:val="auto"/>
              </w:rPr>
              <w:t>Chief Legal and Compliance Officer and General Counsel</w:t>
            </w:r>
          </w:p>
        </w:tc>
      </w:tr>
      <w:tr>
        <w:trPr>
          <w:trHeight w:val="43"/>
        </w:trPr>
        <w:tc>
          <w:tcPr>
            <w:tcW w:w="1820" w:type="dxa"/>
            <w:vAlign w:val="bottom"/>
            <w:tcBorders>
              <w:bottom w:val="single" w:sz="8" w:color="D9D9D9"/>
            </w:tcBorders>
          </w:tcPr>
          <w:p>
            <w:pPr>
              <w:spacing w:after="0"/>
              <w:rPr>
                <w:sz w:val="3"/>
                <w:szCs w:val="3"/>
                <w:color w:val="auto"/>
              </w:rPr>
            </w:pPr>
          </w:p>
        </w:tc>
        <w:tc>
          <w:tcPr>
            <w:tcW w:w="1260" w:type="dxa"/>
            <w:vAlign w:val="bottom"/>
            <w:tcBorders>
              <w:bottom w:val="single" w:sz="8" w:color="D9D9D9"/>
            </w:tcBorders>
          </w:tcPr>
          <w:p>
            <w:pPr>
              <w:spacing w:after="0"/>
              <w:rPr>
                <w:sz w:val="3"/>
                <w:szCs w:val="3"/>
                <w:color w:val="auto"/>
              </w:rPr>
            </w:pPr>
          </w:p>
        </w:tc>
        <w:tc>
          <w:tcPr>
            <w:tcW w:w="8160" w:type="dxa"/>
            <w:vAlign w:val="bottom"/>
            <w:tcBorders>
              <w:bottom w:val="single" w:sz="8" w:color="D9D9D9"/>
            </w:tcBorders>
          </w:tcPr>
          <w:p>
            <w:pPr>
              <w:spacing w:after="0"/>
              <w:rPr>
                <w:sz w:val="3"/>
                <w:szCs w:val="3"/>
                <w:color w:val="auto"/>
              </w:rPr>
            </w:pPr>
          </w:p>
        </w:tc>
      </w:tr>
      <w:tr>
        <w:trPr>
          <w:trHeight w:val="248"/>
        </w:trPr>
        <w:tc>
          <w:tcPr>
            <w:tcW w:w="1820" w:type="dxa"/>
            <w:vAlign w:val="bottom"/>
          </w:tcPr>
          <w:p>
            <w:pPr>
              <w:ind w:left="20"/>
              <w:spacing w:after="0"/>
              <w:rPr>
                <w:sz w:val="20"/>
                <w:szCs w:val="20"/>
                <w:color w:val="auto"/>
              </w:rPr>
            </w:pPr>
            <w:r>
              <w:rPr>
                <w:rFonts w:ascii="Arial" w:cs="Arial" w:eastAsia="Arial" w:hAnsi="Arial"/>
                <w:sz w:val="14"/>
                <w:szCs w:val="14"/>
                <w:b w:val="1"/>
                <w:bCs w:val="1"/>
                <w:color w:val="FF7F32"/>
              </w:rPr>
              <w:t>Jared Grachek</w:t>
            </w:r>
          </w:p>
        </w:tc>
        <w:tc>
          <w:tcPr>
            <w:tcW w:w="1260" w:type="dxa"/>
            <w:vAlign w:val="bottom"/>
          </w:tcPr>
          <w:p>
            <w:pPr>
              <w:ind w:left="460"/>
              <w:spacing w:after="0"/>
              <w:rPr>
                <w:sz w:val="20"/>
                <w:szCs w:val="20"/>
                <w:color w:val="auto"/>
              </w:rPr>
            </w:pPr>
            <w:r>
              <w:rPr>
                <w:rFonts w:ascii="Arial" w:cs="Arial" w:eastAsia="Arial" w:hAnsi="Arial"/>
                <w:sz w:val="14"/>
                <w:szCs w:val="14"/>
                <w:color w:val="auto"/>
              </w:rPr>
              <w:t>39</w:t>
            </w:r>
          </w:p>
        </w:tc>
        <w:tc>
          <w:tcPr>
            <w:tcW w:w="8160" w:type="dxa"/>
            <w:vAlign w:val="bottom"/>
          </w:tcPr>
          <w:p>
            <w:pPr>
              <w:ind w:left="520"/>
              <w:spacing w:after="0"/>
              <w:rPr>
                <w:sz w:val="20"/>
                <w:szCs w:val="20"/>
                <w:color w:val="auto"/>
              </w:rPr>
            </w:pPr>
            <w:r>
              <w:rPr>
                <w:rFonts w:ascii="Arial" w:cs="Arial" w:eastAsia="Arial" w:hAnsi="Arial"/>
                <w:sz w:val="14"/>
                <w:szCs w:val="14"/>
                <w:color w:val="auto"/>
              </w:rPr>
              <w:t>Chief Accounting Officer</w:t>
            </w:r>
          </w:p>
        </w:tc>
      </w:tr>
      <w:tr>
        <w:trPr>
          <w:trHeight w:val="43"/>
        </w:trPr>
        <w:tc>
          <w:tcPr>
            <w:tcW w:w="1820" w:type="dxa"/>
            <w:vAlign w:val="bottom"/>
            <w:tcBorders>
              <w:bottom w:val="single" w:sz="8" w:color="FF7F32"/>
            </w:tcBorders>
          </w:tcPr>
          <w:p>
            <w:pPr>
              <w:spacing w:after="0"/>
              <w:rPr>
                <w:sz w:val="3"/>
                <w:szCs w:val="3"/>
                <w:color w:val="auto"/>
              </w:rPr>
            </w:pPr>
          </w:p>
        </w:tc>
        <w:tc>
          <w:tcPr>
            <w:tcW w:w="1260" w:type="dxa"/>
            <w:vAlign w:val="bottom"/>
            <w:tcBorders>
              <w:bottom w:val="single" w:sz="8" w:color="FF7F32"/>
            </w:tcBorders>
          </w:tcPr>
          <w:p>
            <w:pPr>
              <w:spacing w:after="0"/>
              <w:rPr>
                <w:sz w:val="3"/>
                <w:szCs w:val="3"/>
                <w:color w:val="auto"/>
              </w:rPr>
            </w:pPr>
          </w:p>
        </w:tc>
        <w:tc>
          <w:tcPr>
            <w:tcW w:w="8160" w:type="dxa"/>
            <w:vAlign w:val="bottom"/>
            <w:tcBorders>
              <w:bottom w:val="single" w:sz="8" w:color="FF7F32"/>
            </w:tcBorders>
          </w:tcPr>
          <w:p>
            <w:pPr>
              <w:spacing w:after="0"/>
              <w:rPr>
                <w:sz w:val="3"/>
                <w:szCs w:val="3"/>
                <w:color w:val="auto"/>
              </w:rPr>
            </w:pPr>
          </w:p>
        </w:tc>
      </w:tr>
    </w:tbl>
    <w:p>
      <w:pPr>
        <w:spacing w:after="0" w:line="215" w:lineRule="exact"/>
        <w:rPr>
          <w:sz w:val="20"/>
          <w:szCs w:val="20"/>
          <w:color w:val="auto"/>
        </w:rPr>
      </w:pPr>
    </w:p>
    <w:p>
      <w:pPr>
        <w:ind w:right="580"/>
        <w:spacing w:after="0" w:line="356" w:lineRule="auto"/>
        <w:rPr>
          <w:sz w:val="20"/>
          <w:szCs w:val="20"/>
          <w:color w:val="auto"/>
        </w:rPr>
      </w:pPr>
      <w:r>
        <w:rPr>
          <w:rFonts w:ascii="Arial" w:cs="Arial" w:eastAsia="Arial" w:hAnsi="Arial"/>
          <w:sz w:val="16"/>
          <w:szCs w:val="16"/>
          <w:color w:val="auto"/>
        </w:rPr>
        <w:t>The following is detailed information about each of our executive officers other than Mr. Venkatesan whose biographical information is included under “Proposal 1: Election of Directors”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132320" cy="30943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32320" cy="309435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Arial" w:cs="Arial" w:eastAsia="Arial" w:hAnsi="Arial"/>
          <w:sz w:val="26"/>
          <w:szCs w:val="26"/>
          <w:b w:val="1"/>
          <w:bCs w:val="1"/>
          <w:color w:val="202945"/>
        </w:rPr>
        <w:t>Scott Stewart</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Chief Financial Officer</w:t>
      </w:r>
    </w:p>
    <w:p>
      <w:pPr>
        <w:spacing w:after="0" w:line="17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since February 2022</w:t>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1321435</wp:posOffset>
            </wp:positionV>
            <wp:extent cx="925830" cy="26606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925830" cy="266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right="340"/>
        <w:spacing w:after="0" w:line="330" w:lineRule="auto"/>
        <w:rPr>
          <w:sz w:val="20"/>
          <w:szCs w:val="20"/>
          <w:color w:val="auto"/>
        </w:rPr>
      </w:pPr>
      <w:r>
        <w:rPr>
          <w:rFonts w:ascii="Arial" w:cs="Arial" w:eastAsia="Arial" w:hAnsi="Arial"/>
          <w:sz w:val="16"/>
          <w:szCs w:val="16"/>
          <w:color w:val="auto"/>
        </w:rPr>
        <w:t>As Chief Financial Officer, Mr. Stewart oversees the Company’s finance organization, including financial strategy and operations, accounting and financial reporting, planning and analysis, tax, treasury, and investor relations. Prior to becoming Chief Financial Officer, Mr. Stewart served as the Chief Accounting Officer of Cantaloupe from September 2020 until January 2022.</w:t>
      </w:r>
    </w:p>
    <w:p>
      <w:pPr>
        <w:spacing w:after="0" w:line="68" w:lineRule="exact"/>
        <w:rPr>
          <w:sz w:val="20"/>
          <w:szCs w:val="20"/>
          <w:color w:val="auto"/>
        </w:rPr>
      </w:pPr>
    </w:p>
    <w:p>
      <w:pPr>
        <w:ind w:right="60"/>
        <w:spacing w:after="0" w:line="322" w:lineRule="auto"/>
        <w:rPr>
          <w:sz w:val="20"/>
          <w:szCs w:val="20"/>
          <w:color w:val="auto"/>
        </w:rPr>
      </w:pPr>
      <w:r>
        <w:rPr>
          <w:rFonts w:ascii="Arial" w:cs="Arial" w:eastAsia="Arial" w:hAnsi="Arial"/>
          <w:sz w:val="16"/>
          <w:szCs w:val="16"/>
          <w:color w:val="auto"/>
        </w:rPr>
        <w:t>Mr. Stewart joined Cantaloupe after serving 13 years with the Intercontinental Exchange (ICE), which operates exchanges and clearing houses across the globe, such as the New York Stock Exchange (NYSE), and provides data services and technology solutions to financial institutions, investors and corporations. During his time at ICE, Mr. Stewart served in various positions, most recently as Assistant Controller, where his responsibilities included managing and overseeing the production of external financial statements, implementation of new accounting standards, maintaining corporate controls and ensuring SOX compliance across all accounting processes. Following ICE’s acquisition of NYSE, Mr. Stewart supervised the integration of NYSE’s accounting function into ICE’s accounting group, including the transition of employees, consolidation of job functions, roles and responsibilities, and moving the NYSE accounting function from New York to Atlanta. Prior to his employment with ICE, Mr. Stewart was a Senior Auditor at Ernst &amp; Young from 2003 until 2007.</w:t>
      </w:r>
    </w:p>
    <w:p>
      <w:pPr>
        <w:spacing w:after="0" w:line="79" w:lineRule="exact"/>
        <w:rPr>
          <w:sz w:val="20"/>
          <w:szCs w:val="20"/>
          <w:color w:val="auto"/>
        </w:rPr>
      </w:pPr>
    </w:p>
    <w:p>
      <w:pPr>
        <w:ind w:right="160"/>
        <w:spacing w:after="0" w:line="356" w:lineRule="auto"/>
        <w:rPr>
          <w:sz w:val="20"/>
          <w:szCs w:val="20"/>
          <w:color w:val="auto"/>
        </w:rPr>
      </w:pPr>
      <w:r>
        <w:rPr>
          <w:rFonts w:ascii="Arial" w:cs="Arial" w:eastAsia="Arial" w:hAnsi="Arial"/>
          <w:sz w:val="16"/>
          <w:szCs w:val="16"/>
          <w:color w:val="auto"/>
        </w:rPr>
        <w:t>A graduate of Clemson University, Mr. Stewart holds both a Bachelor of Science in Accounting and Master of Professional Accountancy. He is also a certified public accountant.</w:t>
      </w:r>
    </w:p>
    <w:p>
      <w:pPr>
        <w:spacing w:after="0" w:line="200" w:lineRule="exact"/>
        <w:rPr>
          <w:sz w:val="20"/>
          <w:szCs w:val="20"/>
          <w:color w:val="auto"/>
        </w:rPr>
      </w:pPr>
    </w:p>
    <w:p>
      <w:pPr>
        <w:sectPr>
          <w:pgSz w:w="11900" w:h="16838" w:orient="portrait"/>
          <w:cols w:equalWidth="0" w:num="2">
            <w:col w:w="2760" w:space="720"/>
            <w:col w:w="7760"/>
          </w:cols>
          <w:pgMar w:left="320" w:top="133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auto"/>
        </w:rPr>
        <w:t>41</w:t>
      </w:r>
      <w:r>
        <w:rPr>
          <w:sz w:val="20"/>
          <w:szCs w:val="20"/>
          <w:color w:val="auto"/>
        </w:rPr>
        <w:tab/>
      </w:r>
      <w:r>
        <w:rPr>
          <w:rFonts w:ascii="Arial" w:cs="Arial" w:eastAsia="Arial" w:hAnsi="Arial"/>
          <w:sz w:val="12"/>
          <w:szCs w:val="12"/>
          <w:b w:val="1"/>
          <w:bCs w:val="1"/>
          <w:color w:val="FF7F32"/>
        </w:rPr>
        <w:t xml:space="preserve">2026 </w:t>
      </w:r>
      <w:r>
        <w:rPr>
          <w:rFonts w:ascii="Arial" w:cs="Arial" w:eastAsia="Arial" w:hAnsi="Arial"/>
          <w:sz w:val="12"/>
          <w:szCs w:val="12"/>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425450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type w:val="continuous"/>
        </w:sectPr>
      </w:pPr>
    </w:p>
    <w:bookmarkStart w:id="44" w:name="page45"/>
    <w:bookmarkEnd w:id="4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202945"/>
        </w:rPr>
        <w:t>Jeffrey Dumbrell</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Chief Revenue Officer</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since January 2022</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ind w:right="760"/>
        <w:spacing w:after="0" w:line="356" w:lineRule="auto"/>
        <w:rPr>
          <w:sz w:val="20"/>
          <w:szCs w:val="20"/>
          <w:color w:val="auto"/>
        </w:rPr>
      </w:pPr>
      <w:r>
        <w:rPr>
          <w:rFonts w:ascii="Arial" w:cs="Arial" w:eastAsia="Arial" w:hAnsi="Arial"/>
          <w:sz w:val="16"/>
          <w:szCs w:val="16"/>
          <w:color w:val="auto"/>
        </w:rPr>
        <w:t>Mr. Dumbrell has over 20 years of experience building and scaling high-performing payments and technology organizations globally.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-2204085</wp:posOffset>
            </wp:positionH>
            <wp:positionV relativeFrom="paragraph">
              <wp:posOffset>-568325</wp:posOffset>
            </wp:positionV>
            <wp:extent cx="7132320" cy="24771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32320" cy="2477135"/>
                    </a:xfrm>
                    <a:prstGeom prst="rect">
                      <a:avLst/>
                    </a:prstGeom>
                    <a:noFill/>
                  </pic:spPr>
                </pic:pic>
              </a:graphicData>
            </a:graphic>
          </wp:anchor>
        </w:drawing>
      </w:r>
    </w:p>
    <w:p>
      <w:pPr>
        <w:spacing w:after="0" w:line="28" w:lineRule="exact"/>
        <w:rPr>
          <w:sz w:val="20"/>
          <w:szCs w:val="20"/>
          <w:color w:val="auto"/>
        </w:rPr>
      </w:pPr>
    </w:p>
    <w:p>
      <w:pPr>
        <w:ind w:right="20"/>
        <w:spacing w:after="0" w:line="323" w:lineRule="auto"/>
        <w:rPr>
          <w:sz w:val="20"/>
          <w:szCs w:val="20"/>
          <w:color w:val="auto"/>
        </w:rPr>
      </w:pPr>
      <w:r>
        <w:rPr>
          <w:rFonts w:ascii="Arial" w:cs="Arial" w:eastAsia="Arial" w:hAnsi="Arial"/>
          <w:sz w:val="16"/>
          <w:szCs w:val="16"/>
          <w:color w:val="auto"/>
        </w:rPr>
        <w:t>Prior to joining Cantaloupe, Mr. Dumbrell served as Senior Vice President, Strategic Partnerships at Boost Payment Solutions from July 2021 until December 2021. From 2018 to 2021, Mr. Dumbrell was a partner at Boyden Global and president at SCP Holdings, Inc. From 2013 until 2016, Mr. Dumbrell co-founded and was CEO of PowaPOS, a B2B infrastructure provider of tablet and smartphone-based payments technology for the point-of-sale industry, prior to its sale to SuperCom (Nasdaq: SPCB) in 2016. From 2008 to 2013, Dumbrell served as EVP of Europe, Middle East, Africa and Asia Pacific at VeriFone Systems, Inc. where revenue grew during his tenure from approximately $350 million to over $900 million across 50+ countries. Prior to that role, Dumbrell led VeriFone’s North America effort for five years, growing revenue to over $350 million. While at VeriFone he expanded the company’s highly successful channel partnership relationships in the US, Canada, and throughout Europe and the Middle East.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-2204085</wp:posOffset>
            </wp:positionH>
            <wp:positionV relativeFrom="paragraph">
              <wp:posOffset>965200</wp:posOffset>
            </wp:positionV>
            <wp:extent cx="7132320" cy="286321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32320" cy="2863215"/>
                    </a:xfrm>
                    <a:prstGeom prst="rect">
                      <a:avLst/>
                    </a:prstGeom>
                    <a:noFill/>
                  </pic:spPr>
                </pic:pic>
              </a:graphicData>
            </a:graphic>
          </wp:anchor>
        </w:drawing>
      </w:r>
    </w:p>
    <w:p>
      <w:pPr>
        <w:spacing w:after="0" w:line="233" w:lineRule="exact"/>
        <w:rPr>
          <w:sz w:val="20"/>
          <w:szCs w:val="20"/>
          <w:color w:val="auto"/>
        </w:rPr>
      </w:pPr>
    </w:p>
    <w:p>
      <w:pPr>
        <w:sectPr>
          <w:pgSz w:w="11900" w:h="16838" w:orient="portrait"/>
          <w:cols w:equalWidth="0" w:num="2">
            <w:col w:w="2740" w:space="720"/>
            <w:col w:w="774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202945"/>
        </w:rPr>
        <w:t>Anna Novoseletsky</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Chief Legal and Compliance Officer</w:t>
      </w:r>
    </w:p>
    <w:p>
      <w:pPr>
        <w:spacing w:after="0" w:line="59" w:lineRule="exact"/>
        <w:rPr>
          <w:sz w:val="20"/>
          <w:szCs w:val="20"/>
          <w:color w:val="auto"/>
        </w:rPr>
      </w:pPr>
    </w:p>
    <w:p>
      <w:pPr>
        <w:ind w:left="200" w:right="420" w:firstLine="1"/>
        <w:spacing w:after="0" w:line="384" w:lineRule="auto"/>
        <w:tabs>
          <w:tab w:leader="none" w:pos="362"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color w:val="auto"/>
        </w:rPr>
        <w:t>General Counsel, Corporate Secretary</w:t>
      </w:r>
    </w:p>
    <w:p>
      <w:pPr>
        <w:spacing w:after="0" w:line="1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since January 2023</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497840</wp:posOffset>
            </wp:positionH>
            <wp:positionV relativeFrom="paragraph">
              <wp:posOffset>661670</wp:posOffset>
            </wp:positionV>
            <wp:extent cx="925830" cy="26543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925830" cy="265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line="324" w:lineRule="auto"/>
        <w:rPr>
          <w:sz w:val="20"/>
          <w:szCs w:val="20"/>
          <w:color w:val="auto"/>
        </w:rPr>
      </w:pPr>
      <w:r>
        <w:rPr>
          <w:rFonts w:ascii="Arial" w:cs="Arial" w:eastAsia="Arial" w:hAnsi="Arial"/>
          <w:sz w:val="16"/>
          <w:szCs w:val="16"/>
          <w:color w:val="auto"/>
        </w:rPr>
        <w:t>Ms. Novoseletsky is a seasoned attorney with expertise in global payments, digitization, and e-commerce. Prior to joining Cantaloupe, Ms. Novoseletsky was VP &amp; Associate General Counsel and Head of Legal at Discover Financial Services, where she partnered with senior executives to set strategy within the payments business to evaluate risk on various global business initiatives, focused on corporate governance and regulatory framework of the payments service industry, and was General Counsel for Discover Network, PULSE Network, and Diners Club International.</w:t>
      </w:r>
    </w:p>
    <w:p>
      <w:pPr>
        <w:spacing w:after="0" w:line="76" w:lineRule="exact"/>
        <w:rPr>
          <w:sz w:val="20"/>
          <w:szCs w:val="20"/>
          <w:color w:val="auto"/>
        </w:rPr>
      </w:pPr>
    </w:p>
    <w:p>
      <w:pPr>
        <w:spacing w:after="0" w:line="325" w:lineRule="auto"/>
        <w:rPr>
          <w:sz w:val="20"/>
          <w:szCs w:val="20"/>
          <w:color w:val="auto"/>
        </w:rPr>
      </w:pPr>
      <w:r>
        <w:rPr>
          <w:rFonts w:ascii="Arial" w:cs="Arial" w:eastAsia="Arial" w:hAnsi="Arial"/>
          <w:sz w:val="16"/>
          <w:szCs w:val="16"/>
          <w:color w:val="auto"/>
        </w:rPr>
        <w:t>Ms. Novoseletsky earned her Juris Doctor degree from Northwestern University School of Law and her Bachelor and Master of Laws from the Ukrainian State Law Academy with highest honors. Ms. Novoseletsky is an active member of the Legal Aid Society’s Advisory Board of the Metropolitan Family Services of Chicago and devotes significant time to volunteerism and pro bono work. Previously she practiced at Latham &amp; Watkins LLP, one of the premier global business law firms, where she started her practice focusing on public and private mergers and acquisitions and advising independent directors in conflict-of-interest transactions, and public company representation. Prior to that role, Ms. Novoseletsky started her legal career in Russia and Ukraine, practicing law under the umbrella of a consulting company in Moscow.</w:t>
      </w:r>
    </w:p>
    <w:p>
      <w:pPr>
        <w:spacing w:after="0" w:line="230" w:lineRule="exact"/>
        <w:rPr>
          <w:sz w:val="20"/>
          <w:szCs w:val="20"/>
          <w:color w:val="auto"/>
        </w:rPr>
      </w:pPr>
    </w:p>
    <w:p>
      <w:pPr>
        <w:sectPr>
          <w:pgSz w:w="11900" w:h="16838" w:orient="portrait"/>
          <w:cols w:equalWidth="0" w:num="2">
            <w:col w:w="2940" w:space="520"/>
            <w:col w:w="7740"/>
          </w:cols>
          <w:pgMar w:left="34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tabs>
          <w:tab w:leader="none" w:pos="9940" w:val="left"/>
        </w:tabs>
        <w:rPr>
          <w:sz w:val="20"/>
          <w:szCs w:val="20"/>
          <w:color w:val="auto"/>
        </w:rPr>
      </w:pPr>
      <w:r>
        <w:rPr>
          <w:rFonts w:ascii="Arial" w:cs="Arial" w:eastAsia="Arial" w:hAnsi="Arial"/>
          <w:sz w:val="12"/>
          <w:szCs w:val="12"/>
          <w:b w:val="1"/>
          <w:bCs w:val="1"/>
          <w:color w:val="auto"/>
        </w:rPr>
        <w:t>42</w:t>
      </w:r>
      <w:r>
        <w:rPr>
          <w:sz w:val="20"/>
          <w:szCs w:val="20"/>
          <w:color w:val="auto"/>
        </w:rPr>
        <w:tab/>
      </w:r>
      <w:r>
        <w:rPr>
          <w:rFonts w:ascii="Arial" w:cs="Arial" w:eastAsia="Arial" w:hAnsi="Arial"/>
          <w:sz w:val="12"/>
          <w:szCs w:val="12"/>
          <w:b w:val="1"/>
          <w:bCs w:val="1"/>
          <w:color w:val="FF7F32"/>
        </w:rPr>
        <w:t xml:space="preserve">2026 </w:t>
      </w:r>
      <w:r>
        <w:rPr>
          <w:rFonts w:ascii="Arial" w:cs="Arial" w:eastAsia="Arial" w:hAnsi="Arial"/>
          <w:sz w:val="12"/>
          <w:szCs w:val="12"/>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433705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type w:val="continuous"/>
        </w:sectPr>
      </w:pPr>
    </w:p>
    <w:bookmarkStart w:id="45" w:name="page46"/>
    <w:bookmarkEnd w:id="4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20"/>
        <w:spacing w:after="0"/>
        <w:rPr>
          <w:sz w:val="20"/>
          <w:szCs w:val="20"/>
          <w:color w:val="auto"/>
        </w:rPr>
      </w:pPr>
      <w:r>
        <w:rPr>
          <w:rFonts w:ascii="Arial" w:cs="Arial" w:eastAsia="Arial" w:hAnsi="Arial"/>
          <w:sz w:val="27"/>
          <w:szCs w:val="27"/>
          <w:b w:val="1"/>
          <w:bCs w:val="1"/>
          <w:color w:val="202945"/>
        </w:rPr>
        <w:t>Jared Grachek</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Chief Accounting Officer</w:t>
      </w:r>
    </w:p>
    <w:p>
      <w:pPr>
        <w:spacing w:after="0" w:line="15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 xml:space="preserve">since </w:t>
      </w:r>
      <w:r>
        <w:rPr>
          <w:rFonts w:ascii="Arial" w:cs="Arial" w:eastAsia="Arial" w:hAnsi="Arial"/>
          <w:sz w:val="16"/>
          <w:szCs w:val="16"/>
          <w:color w:val="auto"/>
        </w:rPr>
        <w:t>May</w:t>
      </w:r>
      <w:r>
        <w:rPr>
          <w:rFonts w:ascii="Arial" w:cs="Arial" w:eastAsia="Arial" w:hAnsi="Arial"/>
          <w:sz w:val="17"/>
          <w:szCs w:val="17"/>
          <w:color w:val="auto"/>
        </w:rPr>
        <w:t xml:space="preserve"> 2023</w:t>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3"/>
          <w:szCs w:val="13"/>
          <w:color w:val="202945"/>
        </w:rPr>
        <w:t>Certain Information About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-2204085</wp:posOffset>
            </wp:positionH>
            <wp:positionV relativeFrom="paragraph">
              <wp:posOffset>601980</wp:posOffset>
            </wp:positionV>
            <wp:extent cx="7132320" cy="255460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32320" cy="255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40"/>
        <w:spacing w:after="0" w:line="324" w:lineRule="auto"/>
        <w:rPr>
          <w:sz w:val="20"/>
          <w:szCs w:val="20"/>
          <w:color w:val="auto"/>
        </w:rPr>
      </w:pPr>
      <w:r>
        <w:rPr>
          <w:rFonts w:ascii="Arial" w:cs="Arial" w:eastAsia="Arial" w:hAnsi="Arial"/>
          <w:sz w:val="16"/>
          <w:szCs w:val="16"/>
          <w:color w:val="auto"/>
        </w:rPr>
        <w:t>As Chief Accounting Officer, Mr. Grachek serves as Cantaloupe’s principal accounting officer, overseeing all accounting and financial reporting processes. From April 2021 to May 2023, Mr. Grachek worked as the Controller for Lending Point, a large private equity backed financial technology company, where he was directly responsible for all accounting operations including financial reporting, technical accounting, and tax compliance. From May 2008 to March 2021, Mr. Grachek worked in the audit practice at the accounting firm Ernst &amp; Young where he served public and private companies in the financial technology and capital markets industries. Mr. Grachek is a financial professional with more than fifteen years of combined industry and public accounting (Big 4) experience supporting SEC registrants and rapidly growing private companies externally though audit and consulting engagements and internally through the controllership function.</w:t>
      </w:r>
    </w:p>
    <w:p>
      <w:pPr>
        <w:spacing w:after="0" w:line="73" w:lineRule="exact"/>
        <w:rPr>
          <w:sz w:val="20"/>
          <w:szCs w:val="20"/>
          <w:color w:val="auto"/>
        </w:rPr>
      </w:pPr>
    </w:p>
    <w:p>
      <w:pPr>
        <w:jc w:val="both"/>
        <w:ind w:right="400"/>
        <w:spacing w:after="0" w:line="330" w:lineRule="auto"/>
        <w:rPr>
          <w:sz w:val="20"/>
          <w:szCs w:val="20"/>
          <w:color w:val="auto"/>
        </w:rPr>
      </w:pPr>
      <w:r>
        <w:rPr>
          <w:rFonts w:ascii="Arial" w:cs="Arial" w:eastAsia="Arial" w:hAnsi="Arial"/>
          <w:sz w:val="16"/>
          <w:szCs w:val="16"/>
          <w:color w:val="auto"/>
        </w:rPr>
        <w:t>Mr. Grachek earned his Master's in Business Administration from Emory University Goizueta Business School, his Master of Science in Accountancy from the University of Notre Dame - Mendoza College of Business and his Bachelor of Business Administration in Finance from the University of Georgia -Terry College of Business. Mr. Grachek is also a Certified Public Accountant.</w:t>
      </w:r>
    </w:p>
    <w:p>
      <w:pPr>
        <w:spacing w:after="0" w:line="200" w:lineRule="exact"/>
        <w:rPr>
          <w:sz w:val="20"/>
          <w:szCs w:val="20"/>
          <w:color w:val="auto"/>
        </w:rPr>
      </w:pPr>
    </w:p>
    <w:p>
      <w:pPr>
        <w:sectPr>
          <w:pgSz w:w="11900" w:h="16838" w:orient="portrait"/>
          <w:cols w:equalWidth="0" w:num="2">
            <w:col w:w="2760" w:space="720"/>
            <w:col w:w="7760"/>
          </w:cols>
          <w:pgMar w:left="320" w:top="257" w:right="33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There are no family relationships among our directors or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200660</wp:posOffset>
            </wp:positionV>
            <wp:extent cx="925830" cy="26606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925830" cy="26606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b w:val="1"/>
                <w:bCs w:val="1"/>
                <w:color w:val="FF7F32"/>
              </w:rPr>
              <w:t xml:space="preserve">2026 </w:t>
            </w:r>
            <w:r>
              <w:rPr>
                <w:rFonts w:ascii="Arial" w:cs="Arial" w:eastAsia="Arial" w:hAnsi="Arial"/>
                <w:sz w:val="13"/>
                <w:szCs w:val="13"/>
                <w:color w:val="000000"/>
              </w:rPr>
              <w:t>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auto"/>
              </w:rPr>
              <w:t>43</w:t>
            </w:r>
          </w:p>
        </w:tc>
      </w:tr>
      <w:tr>
        <w:trPr>
          <w:trHeight w:val="420"/>
        </w:trPr>
        <w:tc>
          <w:tcPr>
            <w:tcW w:w="618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type w:val="continuous"/>
        </w:sectPr>
      </w:pPr>
    </w:p>
    <w:bookmarkStart w:id="46" w:name="page47"/>
    <w:bookmarkEnd w:id="46"/>
    <w:p>
      <w:pPr>
        <w:spacing w:after="0" w:line="1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111442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32320" cy="1114425"/>
                    </a:xfrm>
                    <a:prstGeom prst="rect">
                      <a:avLst/>
                    </a:prstGeom>
                    <a:noFill/>
                  </pic:spPr>
                </pic:pic>
              </a:graphicData>
            </a:graphic>
          </wp:anchor>
        </w:drawing>
      </w:r>
    </w:p>
    <w:p>
      <w:pPr>
        <w:ind w:left="280"/>
        <w:spacing w:after="0"/>
        <w:rPr>
          <w:sz w:val="20"/>
          <w:szCs w:val="20"/>
          <w:color w:val="auto"/>
        </w:rPr>
      </w:pPr>
      <w:r>
        <w:rPr>
          <w:rFonts w:ascii="Arial" w:cs="Arial" w:eastAsia="Arial" w:hAnsi="Arial"/>
          <w:sz w:val="22"/>
          <w:szCs w:val="22"/>
          <w:b w:val="1"/>
          <w:bCs w:val="1"/>
          <w:color w:val="auto"/>
        </w:rPr>
        <w:t>Proposal 2</w:t>
      </w:r>
    </w:p>
    <w:p>
      <w:pPr>
        <w:spacing w:after="0" w:line="48" w:lineRule="exact"/>
        <w:rPr>
          <w:sz w:val="20"/>
          <w:szCs w:val="20"/>
          <w:color w:val="auto"/>
        </w:rPr>
      </w:pPr>
    </w:p>
    <w:p>
      <w:pPr>
        <w:ind w:left="280" w:right="1180"/>
        <w:spacing w:after="0" w:line="326" w:lineRule="auto"/>
        <w:rPr>
          <w:sz w:val="20"/>
          <w:szCs w:val="20"/>
          <w:color w:val="auto"/>
        </w:rPr>
      </w:pPr>
      <w:r>
        <w:rPr>
          <w:rFonts w:ascii="Arial" w:cs="Arial" w:eastAsia="Arial" w:hAnsi="Arial"/>
          <w:sz w:val="36"/>
          <w:szCs w:val="36"/>
          <w:color w:val="auto"/>
        </w:rPr>
        <w:t>Advisory Vote to Approve Compensation of Named Executive Officers</w:t>
      </w:r>
    </w:p>
    <w:p>
      <w:pPr>
        <w:spacing w:after="0" w:line="344" w:lineRule="exact"/>
        <w:rPr>
          <w:sz w:val="20"/>
          <w:szCs w:val="20"/>
          <w:color w:val="auto"/>
        </w:rPr>
      </w:pPr>
    </w:p>
    <w:p>
      <w:pPr>
        <w:ind w:right="140"/>
        <w:spacing w:after="0" w:line="345" w:lineRule="auto"/>
        <w:rPr>
          <w:sz w:val="20"/>
          <w:szCs w:val="20"/>
          <w:color w:val="auto"/>
        </w:rPr>
      </w:pPr>
      <w:r>
        <w:rPr>
          <w:rFonts w:ascii="Arial" w:cs="Arial" w:eastAsia="Arial" w:hAnsi="Arial"/>
          <w:sz w:val="16"/>
          <w:szCs w:val="16"/>
          <w:color w:val="auto"/>
        </w:rPr>
        <w:t>As required by Section 14A of the Exchange Act, shareholders are entitled to a non-binding vote on the compensation of our named executive officers (sometimes referred to as “say-on-pay”). At the 2025 Annual Meeting of Shareholders held on November 20, 2024, our shareholders expressed support for the Company’s fiscal 2024 NEO compensation programs, with our advisory “say-on-pay” vote receiving over 98% support.</w:t>
      </w:r>
    </w:p>
    <w:p>
      <w:pPr>
        <w:spacing w:after="0" w:line="57" w:lineRule="exact"/>
        <w:rPr>
          <w:sz w:val="20"/>
          <w:szCs w:val="20"/>
          <w:color w:val="auto"/>
        </w:rPr>
      </w:pPr>
    </w:p>
    <w:p>
      <w:pPr>
        <w:ind w:right="80"/>
        <w:spacing w:after="0" w:line="330" w:lineRule="auto"/>
        <w:rPr>
          <w:sz w:val="20"/>
          <w:szCs w:val="20"/>
          <w:color w:val="auto"/>
        </w:rPr>
      </w:pPr>
      <w:r>
        <w:rPr>
          <w:rFonts w:ascii="Arial" w:cs="Arial" w:eastAsia="Arial" w:hAnsi="Arial"/>
          <w:sz w:val="16"/>
          <w:szCs w:val="16"/>
          <w:color w:val="auto"/>
        </w:rPr>
        <w:t>We are asking our shareholders to indicate their support and approval for our named executive officer compensation, as described under the Compensation Discussion and Analysis section of this proxy statement, including the tables that follow which describes in detail our executive compensation programs and the decisions made by the Compensation Committee and our Board. In deciding how to vote on this proposal, the Board encourages you to read the Compensation Discussion and Analysis and the tables that follow.</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The Board recommends that shareholders approve, on an advisory basis, the following resolution:</w:t>
      </w:r>
    </w:p>
    <w:p>
      <w:pPr>
        <w:spacing w:after="0" w:line="167" w:lineRule="exact"/>
        <w:rPr>
          <w:sz w:val="20"/>
          <w:szCs w:val="20"/>
          <w:color w:val="auto"/>
        </w:rPr>
      </w:pPr>
    </w:p>
    <w:p>
      <w:pPr>
        <w:ind w:left="340" w:right="20"/>
        <w:spacing w:after="0" w:line="328" w:lineRule="auto"/>
        <w:rPr>
          <w:sz w:val="20"/>
          <w:szCs w:val="20"/>
          <w:color w:val="auto"/>
        </w:rPr>
      </w:pPr>
      <w:r>
        <w:rPr>
          <w:rFonts w:ascii="Arial" w:cs="Arial" w:eastAsia="Arial" w:hAnsi="Arial"/>
          <w:sz w:val="16"/>
          <w:szCs w:val="16"/>
          <w:color w:val="auto"/>
        </w:rPr>
        <w:t>“RESOLVED, that the compensation paid to the Company’s named executive officers, as disclosed pursuant to Item 402 of Regulation S-K, including the Compensation Discussion and Analysis, compensation tables and narrative discussion, in the Company’s proxy statement for the 2026 Annual Meeting of Shareholders, is hereby approved. The say-on-pay vote is advisory, and therefore not binding on the Company, the Compensation Committee or our Board of Directors. However, our Board of Directors and our Compensation Committee value the opinions of our shareholders, and, to the extent there is any significant vote against the named executive officer compensation as disclosed in this proxy statement, they will consider any shareholder’s concerns, and the Compensation Committee will evaluate whether any actions are necessary to address those concerns.”</w:t>
      </w:r>
    </w:p>
    <w:p>
      <w:pPr>
        <w:spacing w:after="0" w:line="71" w:lineRule="exact"/>
        <w:rPr>
          <w:sz w:val="20"/>
          <w:szCs w:val="20"/>
          <w:color w:val="auto"/>
        </w:rPr>
      </w:pPr>
    </w:p>
    <w:p>
      <w:pPr>
        <w:jc w:val="both"/>
        <w:ind w:right="20"/>
        <w:spacing w:after="0" w:line="336" w:lineRule="auto"/>
        <w:rPr>
          <w:sz w:val="20"/>
          <w:szCs w:val="20"/>
          <w:color w:val="auto"/>
        </w:rPr>
      </w:pPr>
      <w:r>
        <w:rPr>
          <w:rFonts w:ascii="Arial" w:cs="Arial" w:eastAsia="Arial" w:hAnsi="Arial"/>
          <w:sz w:val="16"/>
          <w:szCs w:val="16"/>
          <w:color w:val="auto"/>
        </w:rPr>
        <w:t>The affirmative vote of a majority of the votes cast by all holders of the issued and outstanding shares of Common Stock and Series A Preferred Stock voting together (with each share of Common Stock entitled to one vote, and each share of Series A Preferred Stock entitled to 0.1988 of a vote, with any fractional vote being rounded to the nearest whole number) is required for approval of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96837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32320" cy="96837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jc w:val="center"/>
        <w:spacing w:after="0" w:line="377" w:lineRule="auto"/>
        <w:rPr>
          <w:sz w:val="20"/>
          <w:szCs w:val="20"/>
          <w:color w:val="auto"/>
        </w:rPr>
      </w:pPr>
      <w:r>
        <w:rPr>
          <w:rFonts w:ascii="Arial" w:cs="Arial" w:eastAsia="Arial" w:hAnsi="Arial"/>
          <w:sz w:val="28"/>
          <w:szCs w:val="28"/>
          <w:color w:val="auto"/>
        </w:rPr>
        <w:t xml:space="preserve">The Board of Directors recommends that you vote, on an advisory basis, </w:t>
      </w:r>
      <w:r>
        <w:rPr>
          <w:rFonts w:ascii="Arial" w:cs="Arial" w:eastAsia="Arial" w:hAnsi="Arial"/>
          <w:sz w:val="28"/>
          <w:szCs w:val="28"/>
          <w:b w:val="1"/>
          <w:bCs w:val="1"/>
          <w:color w:val="FF7F32"/>
        </w:rPr>
        <w:t>“FOR”</w:t>
      </w:r>
      <w:r>
        <w:rPr>
          <w:rFonts w:ascii="Arial" w:cs="Arial" w:eastAsia="Arial" w:hAnsi="Arial"/>
          <w:sz w:val="28"/>
          <w:szCs w:val="28"/>
          <w:color w:val="auto"/>
        </w:rPr>
        <w:t xml:space="preserve"> the proposal to approve the compensation of the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450850</wp:posOffset>
            </wp:positionV>
            <wp:extent cx="925830" cy="26543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92583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b w:val="1"/>
                <w:bCs w:val="1"/>
                <w:color w:val="FF7F32"/>
              </w:rPr>
              <w:t xml:space="preserve">2026 </w:t>
            </w:r>
            <w:r>
              <w:rPr>
                <w:rFonts w:ascii="Arial" w:cs="Arial" w:eastAsia="Arial" w:hAnsi="Arial"/>
                <w:sz w:val="13"/>
                <w:szCs w:val="13"/>
                <w:color w:val="000000"/>
              </w:rPr>
              <w:t>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auto"/>
              </w:rPr>
              <w:t>44</w:t>
            </w:r>
          </w:p>
        </w:tc>
      </w:tr>
      <w:tr>
        <w:trPr>
          <w:trHeight w:val="677"/>
        </w:trPr>
        <w:tc>
          <w:tcPr>
            <w:tcW w:w="618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rPr>
          <w:sz w:val="20"/>
          <w:szCs w:val="20"/>
          <w:color w:val="auto"/>
        </w:rPr>
      </w:pPr>
      <w:r>
        <w:rPr>
          <w:rFonts w:ascii="Arial" w:cs="Arial" w:eastAsia="Arial" w:hAnsi="Arial"/>
          <w:sz w:val="50"/>
          <w:szCs w:val="50"/>
          <w:b w:val="1"/>
          <w:bCs w:val="1"/>
          <w:color w:val="FF7F32"/>
        </w:rPr>
        <w:t>Compensation Discussion &amp; Analysis</w:t>
      </w:r>
    </w:p>
    <w:p>
      <w:pPr>
        <w:spacing w:after="0" w:line="311" w:lineRule="exact"/>
        <w:rPr>
          <w:sz w:val="20"/>
          <w:szCs w:val="20"/>
          <w:color w:val="auto"/>
        </w:rPr>
      </w:pPr>
    </w:p>
    <w:p>
      <w:pPr>
        <w:ind w:right="80"/>
        <w:spacing w:after="0" w:line="336" w:lineRule="auto"/>
        <w:rPr>
          <w:sz w:val="20"/>
          <w:szCs w:val="20"/>
          <w:color w:val="auto"/>
        </w:rPr>
      </w:pPr>
      <w:r>
        <w:rPr>
          <w:rFonts w:ascii="Arial" w:cs="Arial" w:eastAsia="Arial" w:hAnsi="Arial"/>
          <w:sz w:val="16"/>
          <w:szCs w:val="16"/>
          <w:color w:val="auto"/>
        </w:rPr>
        <w:t>The following Compensation Discussion and Analysis (“CD&amp;A”) provides information regarding our executive compensation philosophy, the elements of our executive compensation program, and the factors that were considered in the compensation actions and decisions for our named executive officers during fiscal 2025. The CD&amp;A should be read together with the compensation tables and related disclosures set forth elsewhere in this proxy statement.</w:t>
      </w:r>
    </w:p>
    <w:p>
      <w:pPr>
        <w:spacing w:after="0" w:line="78" w:lineRule="exact"/>
        <w:rPr>
          <w:sz w:val="20"/>
          <w:szCs w:val="20"/>
          <w:color w:val="auto"/>
        </w:rPr>
      </w:pPr>
    </w:p>
    <w:p>
      <w:pPr>
        <w:ind w:right="40"/>
        <w:spacing w:after="0" w:line="330" w:lineRule="auto"/>
        <w:rPr>
          <w:sz w:val="20"/>
          <w:szCs w:val="20"/>
          <w:color w:val="auto"/>
        </w:rPr>
      </w:pPr>
      <w:r>
        <w:rPr>
          <w:rFonts w:ascii="Arial" w:cs="Arial" w:eastAsia="Arial" w:hAnsi="Arial"/>
          <w:sz w:val="16"/>
          <w:szCs w:val="16"/>
          <w:color w:val="auto"/>
        </w:rPr>
        <w:t>Our Compensation Committee has been actively restructuring our compensation programs since fiscal 2022 and through fiscal 2025 to accommodate changes in our management team and to design and implement a program that the Compensation Committee believes aligns with the Company’s long-term strategic plan, reflects our pay-for-performance philosophy, encourages retention of key executives, and increases alignment between the interests of our executives and our shareholders.</w:t>
      </w:r>
    </w:p>
    <w:p>
      <w:pPr>
        <w:spacing w:after="0" w:line="133" w:lineRule="exact"/>
        <w:rPr>
          <w:sz w:val="20"/>
          <w:szCs w:val="20"/>
          <w:color w:val="auto"/>
        </w:rPr>
      </w:pPr>
    </w:p>
    <w:p>
      <w:pPr>
        <w:spacing w:after="0"/>
        <w:rPr>
          <w:sz w:val="20"/>
          <w:szCs w:val="20"/>
          <w:color w:val="auto"/>
        </w:rPr>
      </w:pPr>
      <w:r>
        <w:rPr>
          <w:rFonts w:ascii="Arial" w:cs="Arial" w:eastAsia="Arial" w:hAnsi="Arial"/>
          <w:sz w:val="32"/>
          <w:szCs w:val="32"/>
          <w:b w:val="1"/>
          <w:bCs w:val="1"/>
          <w:color w:val="202945"/>
        </w:rPr>
        <w:t>Our Named Executive Officers</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During fiscal 2025, our named executive officers (“NEOs”)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97"/>
        </w:trPr>
        <w:tc>
          <w:tcPr>
            <w:tcW w:w="2220" w:type="dxa"/>
            <w:vAlign w:val="bottom"/>
            <w:shd w:val="clear" w:color="auto" w:fill="E5EAF8"/>
          </w:tcPr>
          <w:p>
            <w:pPr>
              <w:jc w:val="center"/>
              <w:spacing w:after="0"/>
              <w:rPr>
                <w:sz w:val="20"/>
                <w:szCs w:val="20"/>
                <w:color w:val="auto"/>
              </w:rPr>
            </w:pPr>
            <w:r>
              <w:rPr>
                <w:rFonts w:ascii="Arial" w:cs="Arial" w:eastAsia="Arial" w:hAnsi="Arial"/>
                <w:sz w:val="22"/>
                <w:szCs w:val="22"/>
                <w:b w:val="1"/>
                <w:bCs w:val="1"/>
                <w:color w:val="202945"/>
                <w:w w:val="97"/>
              </w:rPr>
              <w:t>Ravi Venkatesan</w:t>
            </w:r>
          </w:p>
        </w:tc>
        <w:tc>
          <w:tcPr>
            <w:tcW w:w="2220" w:type="dxa"/>
            <w:vAlign w:val="bottom"/>
            <w:shd w:val="clear" w:color="auto" w:fill="E5EAF8"/>
          </w:tcPr>
          <w:p>
            <w:pPr>
              <w:jc w:val="center"/>
              <w:spacing w:after="0"/>
              <w:rPr>
                <w:sz w:val="20"/>
                <w:szCs w:val="20"/>
                <w:color w:val="auto"/>
              </w:rPr>
            </w:pPr>
            <w:r>
              <w:rPr>
                <w:rFonts w:ascii="Arial" w:cs="Arial" w:eastAsia="Arial" w:hAnsi="Arial"/>
                <w:sz w:val="22"/>
                <w:szCs w:val="22"/>
                <w:b w:val="1"/>
                <w:bCs w:val="1"/>
                <w:color w:val="202945"/>
                <w:w w:val="98"/>
              </w:rPr>
              <w:t>Scott Stewart</w:t>
            </w:r>
          </w:p>
        </w:tc>
        <w:tc>
          <w:tcPr>
            <w:tcW w:w="2240" w:type="dxa"/>
            <w:vAlign w:val="bottom"/>
            <w:shd w:val="clear" w:color="auto" w:fill="E5EAF8"/>
          </w:tcPr>
          <w:p>
            <w:pPr>
              <w:jc w:val="center"/>
              <w:spacing w:after="0"/>
              <w:rPr>
                <w:sz w:val="20"/>
                <w:szCs w:val="20"/>
                <w:color w:val="auto"/>
              </w:rPr>
            </w:pPr>
            <w:r>
              <w:rPr>
                <w:rFonts w:ascii="Arial" w:cs="Arial" w:eastAsia="Arial" w:hAnsi="Arial"/>
                <w:sz w:val="22"/>
                <w:szCs w:val="22"/>
                <w:b w:val="1"/>
                <w:bCs w:val="1"/>
                <w:color w:val="202945"/>
                <w:w w:val="97"/>
              </w:rPr>
              <w:t>Jeffrey Dumbrell</w:t>
            </w:r>
          </w:p>
        </w:tc>
        <w:tc>
          <w:tcPr>
            <w:tcW w:w="2160" w:type="dxa"/>
            <w:vAlign w:val="bottom"/>
            <w:shd w:val="clear" w:color="auto" w:fill="E5EAF8"/>
          </w:tcPr>
          <w:p>
            <w:pPr>
              <w:jc w:val="center"/>
              <w:spacing w:after="0"/>
              <w:rPr>
                <w:sz w:val="20"/>
                <w:szCs w:val="20"/>
                <w:color w:val="auto"/>
              </w:rPr>
            </w:pPr>
            <w:r>
              <w:rPr>
                <w:rFonts w:ascii="Arial" w:cs="Arial" w:eastAsia="Arial" w:hAnsi="Arial"/>
                <w:sz w:val="22"/>
                <w:szCs w:val="22"/>
                <w:b w:val="1"/>
                <w:bCs w:val="1"/>
                <w:color w:val="202945"/>
                <w:w w:val="98"/>
              </w:rPr>
              <w:t>Gaurav Singal</w:t>
            </w:r>
          </w:p>
        </w:tc>
        <w:tc>
          <w:tcPr>
            <w:tcW w:w="2300" w:type="dxa"/>
            <w:vAlign w:val="bottom"/>
            <w:shd w:val="clear" w:color="auto" w:fill="E5EAF8"/>
          </w:tcPr>
          <w:p>
            <w:pPr>
              <w:jc w:val="center"/>
              <w:spacing w:after="0"/>
              <w:rPr>
                <w:sz w:val="20"/>
                <w:szCs w:val="20"/>
                <w:color w:val="auto"/>
              </w:rPr>
            </w:pPr>
            <w:r>
              <w:rPr>
                <w:rFonts w:ascii="Arial" w:cs="Arial" w:eastAsia="Arial" w:hAnsi="Arial"/>
                <w:sz w:val="22"/>
                <w:szCs w:val="22"/>
                <w:b w:val="1"/>
                <w:bCs w:val="1"/>
                <w:color w:val="202945"/>
                <w:w w:val="98"/>
              </w:rPr>
              <w:t>Anna Novoseletsky</w:t>
            </w:r>
          </w:p>
        </w:tc>
      </w:tr>
      <w:tr>
        <w:trPr>
          <w:trHeight w:val="350"/>
        </w:trPr>
        <w:tc>
          <w:tcPr>
            <w:tcW w:w="2220" w:type="dxa"/>
            <w:vAlign w:val="bottom"/>
            <w:shd w:val="clear" w:color="auto" w:fill="E5EAF8"/>
          </w:tcPr>
          <w:p>
            <w:pPr>
              <w:jc w:val="center"/>
              <w:spacing w:after="0"/>
              <w:rPr>
                <w:sz w:val="20"/>
                <w:szCs w:val="20"/>
                <w:color w:val="auto"/>
              </w:rPr>
            </w:pPr>
            <w:r>
              <w:rPr>
                <w:rFonts w:ascii="Arial" w:cs="Arial" w:eastAsia="Arial" w:hAnsi="Arial"/>
                <w:sz w:val="16"/>
                <w:szCs w:val="16"/>
                <w:color w:val="auto"/>
              </w:rPr>
              <w:t>Chief Executive Officer</w:t>
            </w:r>
          </w:p>
        </w:tc>
        <w:tc>
          <w:tcPr>
            <w:tcW w:w="2220" w:type="dxa"/>
            <w:vAlign w:val="bottom"/>
            <w:shd w:val="clear" w:color="auto" w:fill="E5EAF8"/>
          </w:tcPr>
          <w:p>
            <w:pPr>
              <w:jc w:val="center"/>
              <w:spacing w:after="0"/>
              <w:rPr>
                <w:sz w:val="20"/>
                <w:szCs w:val="20"/>
                <w:color w:val="auto"/>
              </w:rPr>
            </w:pPr>
            <w:r>
              <w:rPr>
                <w:rFonts w:ascii="Arial" w:cs="Arial" w:eastAsia="Arial" w:hAnsi="Arial"/>
                <w:sz w:val="16"/>
                <w:szCs w:val="16"/>
                <w:color w:val="auto"/>
              </w:rPr>
              <w:t>Chief Financial Officer</w:t>
            </w:r>
          </w:p>
        </w:tc>
        <w:tc>
          <w:tcPr>
            <w:tcW w:w="2240" w:type="dxa"/>
            <w:vAlign w:val="bottom"/>
            <w:shd w:val="clear" w:color="auto" w:fill="E5EAF8"/>
          </w:tcPr>
          <w:p>
            <w:pPr>
              <w:jc w:val="center"/>
              <w:spacing w:after="0"/>
              <w:rPr>
                <w:sz w:val="20"/>
                <w:szCs w:val="20"/>
                <w:color w:val="auto"/>
              </w:rPr>
            </w:pPr>
            <w:r>
              <w:rPr>
                <w:rFonts w:ascii="Arial" w:cs="Arial" w:eastAsia="Arial" w:hAnsi="Arial"/>
                <w:sz w:val="16"/>
                <w:szCs w:val="16"/>
                <w:color w:val="auto"/>
              </w:rPr>
              <w:t>Chief Revenue Officer</w:t>
            </w:r>
          </w:p>
        </w:tc>
        <w:tc>
          <w:tcPr>
            <w:tcW w:w="2160" w:type="dxa"/>
            <w:vAlign w:val="bottom"/>
            <w:shd w:val="clear" w:color="auto" w:fill="E5EAF8"/>
          </w:tcPr>
          <w:p>
            <w:pPr>
              <w:jc w:val="center"/>
              <w:spacing w:after="0"/>
              <w:rPr>
                <w:sz w:val="20"/>
                <w:szCs w:val="20"/>
                <w:color w:val="auto"/>
              </w:rPr>
            </w:pPr>
            <w:r>
              <w:rPr>
                <w:rFonts w:ascii="Arial" w:cs="Arial" w:eastAsia="Arial" w:hAnsi="Arial"/>
                <w:sz w:val="16"/>
                <w:szCs w:val="16"/>
                <w:color w:val="auto"/>
              </w:rPr>
              <w:t>Former Chief Technology</w:t>
            </w:r>
          </w:p>
        </w:tc>
        <w:tc>
          <w:tcPr>
            <w:tcW w:w="2300" w:type="dxa"/>
            <w:vAlign w:val="bottom"/>
            <w:shd w:val="clear" w:color="auto" w:fill="E5EAF8"/>
          </w:tcPr>
          <w:p>
            <w:pPr>
              <w:jc w:val="center"/>
              <w:spacing w:after="0"/>
              <w:rPr>
                <w:sz w:val="20"/>
                <w:szCs w:val="20"/>
                <w:color w:val="auto"/>
              </w:rPr>
            </w:pPr>
            <w:r>
              <w:rPr>
                <w:rFonts w:ascii="Arial" w:cs="Arial" w:eastAsia="Arial" w:hAnsi="Arial"/>
                <w:sz w:val="16"/>
                <w:szCs w:val="16"/>
                <w:color w:val="auto"/>
              </w:rPr>
              <w:t>Chief Legal and Compliance</w:t>
            </w:r>
          </w:p>
        </w:tc>
      </w:tr>
      <w:tr>
        <w:trPr>
          <w:trHeight w:val="313"/>
        </w:trPr>
        <w:tc>
          <w:tcPr>
            <w:tcW w:w="2220" w:type="dxa"/>
            <w:vAlign w:val="bottom"/>
            <w:shd w:val="clear" w:color="auto" w:fill="E5EAF8"/>
          </w:tcPr>
          <w:p>
            <w:pPr>
              <w:spacing w:after="0"/>
              <w:rPr>
                <w:sz w:val="24"/>
                <w:szCs w:val="24"/>
                <w:color w:val="auto"/>
              </w:rPr>
            </w:pPr>
          </w:p>
        </w:tc>
        <w:tc>
          <w:tcPr>
            <w:tcW w:w="2220" w:type="dxa"/>
            <w:vAlign w:val="bottom"/>
            <w:shd w:val="clear" w:color="auto" w:fill="E5EAF8"/>
          </w:tcPr>
          <w:p>
            <w:pPr>
              <w:spacing w:after="0"/>
              <w:rPr>
                <w:sz w:val="24"/>
                <w:szCs w:val="24"/>
                <w:color w:val="auto"/>
              </w:rPr>
            </w:pPr>
          </w:p>
        </w:tc>
        <w:tc>
          <w:tcPr>
            <w:tcW w:w="2240" w:type="dxa"/>
            <w:vAlign w:val="bottom"/>
            <w:shd w:val="clear" w:color="auto" w:fill="E5EAF8"/>
          </w:tcPr>
          <w:p>
            <w:pPr>
              <w:spacing w:after="0"/>
              <w:rPr>
                <w:sz w:val="24"/>
                <w:szCs w:val="24"/>
                <w:color w:val="auto"/>
              </w:rPr>
            </w:pPr>
          </w:p>
        </w:tc>
        <w:tc>
          <w:tcPr>
            <w:tcW w:w="2160" w:type="dxa"/>
            <w:vAlign w:val="bottom"/>
            <w:shd w:val="clear" w:color="auto" w:fill="E5EAF8"/>
          </w:tcPr>
          <w:p>
            <w:pPr>
              <w:jc w:val="center"/>
              <w:spacing w:after="0"/>
              <w:rPr>
                <w:sz w:val="20"/>
                <w:szCs w:val="20"/>
                <w:color w:val="auto"/>
              </w:rPr>
            </w:pPr>
            <w:r>
              <w:rPr>
                <w:rFonts w:ascii="Arial" w:cs="Arial" w:eastAsia="Arial" w:hAnsi="Arial"/>
                <w:sz w:val="16"/>
                <w:szCs w:val="16"/>
                <w:color w:val="auto"/>
                <w:w w:val="96"/>
              </w:rPr>
              <w:t>Officer</w:t>
            </w:r>
            <w:r>
              <w:rPr>
                <w:rFonts w:ascii="Arial" w:cs="Arial" w:eastAsia="Arial" w:hAnsi="Arial"/>
                <w:sz w:val="21"/>
                <w:szCs w:val="21"/>
                <w:color w:val="auto"/>
                <w:w w:val="96"/>
                <w:vertAlign w:val="superscript"/>
              </w:rPr>
              <w:t>(1)</w:t>
            </w:r>
          </w:p>
        </w:tc>
        <w:tc>
          <w:tcPr>
            <w:tcW w:w="2300" w:type="dxa"/>
            <w:vAlign w:val="bottom"/>
            <w:shd w:val="clear" w:color="auto" w:fill="E5EAF8"/>
          </w:tcPr>
          <w:p>
            <w:pPr>
              <w:jc w:val="center"/>
              <w:spacing w:after="0"/>
              <w:rPr>
                <w:sz w:val="20"/>
                <w:szCs w:val="20"/>
                <w:color w:val="auto"/>
              </w:rPr>
            </w:pPr>
            <w:r>
              <w:rPr>
                <w:rFonts w:ascii="Arial" w:cs="Arial" w:eastAsia="Arial" w:hAnsi="Arial"/>
                <w:sz w:val="16"/>
                <w:szCs w:val="16"/>
                <w:color w:val="auto"/>
              </w:rPr>
              <w:t>Officer</w:t>
            </w:r>
          </w:p>
        </w:tc>
      </w:tr>
      <w:tr>
        <w:trPr>
          <w:trHeight w:val="162"/>
        </w:trPr>
        <w:tc>
          <w:tcPr>
            <w:tcW w:w="2220" w:type="dxa"/>
            <w:vAlign w:val="bottom"/>
            <w:shd w:val="clear" w:color="auto" w:fill="E5EAF8"/>
          </w:tcPr>
          <w:p>
            <w:pPr>
              <w:spacing w:after="0"/>
              <w:rPr>
                <w:sz w:val="14"/>
                <w:szCs w:val="14"/>
                <w:color w:val="auto"/>
              </w:rPr>
            </w:pPr>
          </w:p>
        </w:tc>
        <w:tc>
          <w:tcPr>
            <w:tcW w:w="2220" w:type="dxa"/>
            <w:vAlign w:val="bottom"/>
            <w:shd w:val="clear" w:color="auto" w:fill="E5EAF8"/>
          </w:tcPr>
          <w:p>
            <w:pPr>
              <w:spacing w:after="0"/>
              <w:rPr>
                <w:sz w:val="14"/>
                <w:szCs w:val="14"/>
                <w:color w:val="auto"/>
              </w:rPr>
            </w:pPr>
          </w:p>
        </w:tc>
        <w:tc>
          <w:tcPr>
            <w:tcW w:w="2240" w:type="dxa"/>
            <w:vAlign w:val="bottom"/>
            <w:shd w:val="clear" w:color="auto" w:fill="E5EAF8"/>
          </w:tcPr>
          <w:p>
            <w:pPr>
              <w:spacing w:after="0"/>
              <w:rPr>
                <w:sz w:val="14"/>
                <w:szCs w:val="14"/>
                <w:color w:val="auto"/>
              </w:rPr>
            </w:pPr>
          </w:p>
        </w:tc>
        <w:tc>
          <w:tcPr>
            <w:tcW w:w="2160" w:type="dxa"/>
            <w:vAlign w:val="bottom"/>
            <w:shd w:val="clear" w:color="auto" w:fill="E5EAF8"/>
          </w:tcPr>
          <w:p>
            <w:pPr>
              <w:spacing w:after="0"/>
              <w:rPr>
                <w:sz w:val="14"/>
                <w:szCs w:val="14"/>
                <w:color w:val="auto"/>
              </w:rPr>
            </w:pPr>
          </w:p>
        </w:tc>
        <w:tc>
          <w:tcPr>
            <w:tcW w:w="2300" w:type="dxa"/>
            <w:vAlign w:val="bottom"/>
            <w:shd w:val="clear" w:color="auto" w:fill="E5EAF8"/>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-1662430</wp:posOffset>
            </wp:positionV>
            <wp:extent cx="822960" cy="82296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22960" cy="822960"/>
                    </a:xfrm>
                    <a:prstGeom prst="rect">
                      <a:avLst/>
                    </a:prstGeom>
                    <a:noFill/>
                  </pic:spPr>
                </pic:pic>
              </a:graphicData>
            </a:graphic>
          </wp:anchor>
        </w:drawing>
        <w:drawing>
          <wp:anchor simplePos="0" relativeHeight="251657728" behindDoc="1" locked="0" layoutInCell="0" allowOverlap="1">
            <wp:simplePos x="0" y="0"/>
            <wp:positionH relativeFrom="column">
              <wp:posOffset>1710690</wp:posOffset>
            </wp:positionH>
            <wp:positionV relativeFrom="paragraph">
              <wp:posOffset>-1662430</wp:posOffset>
            </wp:positionV>
            <wp:extent cx="822960" cy="82296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22960" cy="82296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-1662430</wp:posOffset>
            </wp:positionV>
            <wp:extent cx="822960" cy="82296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22960" cy="82296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-1662430</wp:posOffset>
            </wp:positionV>
            <wp:extent cx="822960" cy="82296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22960" cy="82296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-1662430</wp:posOffset>
            </wp:positionV>
            <wp:extent cx="822960" cy="82296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22960" cy="822960"/>
                    </a:xfrm>
                    <a:prstGeom prst="rect">
                      <a:avLst/>
                    </a:prstGeom>
                    <a:noFill/>
                  </pic:spPr>
                </pic:pic>
              </a:graphicData>
            </a:graphic>
          </wp:anchor>
        </w:drawing>
      </w:r>
    </w:p>
    <w:p>
      <w:pPr>
        <w:spacing w:after="0" w:line="128" w:lineRule="exact"/>
        <w:rPr>
          <w:sz w:val="20"/>
          <w:szCs w:val="20"/>
          <w:color w:val="auto"/>
        </w:rPr>
      </w:pPr>
    </w:p>
    <w:p>
      <w:pPr>
        <w:ind w:left="980" w:hanging="648"/>
        <w:spacing w:after="0"/>
        <w:tabs>
          <w:tab w:leader="none" w:pos="9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Mr. Singal resigned from the Company, effective as of October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132080</wp:posOffset>
            </wp:positionV>
            <wp:extent cx="925830" cy="26543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925830" cy="265430"/>
                    </a:xfrm>
                    <a:prstGeom prst="rect">
                      <a:avLst/>
                    </a:prstGeom>
                    <a:noFill/>
                  </pic:spPr>
                </pic:pic>
              </a:graphicData>
            </a:graphic>
          </wp:anchor>
        </w:drawing>
      </w:r>
    </w:p>
    <w:p>
      <w:pPr>
        <w:spacing w:after="0" w:line="346"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auto"/>
        </w:rPr>
        <w:t>45</w:t>
      </w:r>
      <w:r>
        <w:rPr>
          <w:sz w:val="20"/>
          <w:szCs w:val="20"/>
          <w:color w:val="auto"/>
        </w:rPr>
        <w:tab/>
      </w:r>
      <w:r>
        <w:rPr>
          <w:rFonts w:ascii="Arial" w:cs="Arial" w:eastAsia="Arial" w:hAnsi="Arial"/>
          <w:sz w:val="12"/>
          <w:szCs w:val="12"/>
          <w:b w:val="1"/>
          <w:bCs w:val="1"/>
          <w:color w:val="FF7F32"/>
        </w:rPr>
        <w:t xml:space="preserve">2026 </w:t>
      </w:r>
      <w:r>
        <w:rPr>
          <w:rFonts w:ascii="Arial" w:cs="Arial" w:eastAsia="Arial" w:hAnsi="Arial"/>
          <w:sz w:val="12"/>
          <w:szCs w:val="12"/>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433705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48" w:name="page49"/>
    <w:bookmarkEnd w:id="48"/>
    <w:p>
      <w:pPr>
        <w:spacing w:after="0"/>
        <w:rPr>
          <w:sz w:val="20"/>
          <w:szCs w:val="20"/>
          <w:color w:val="auto"/>
        </w:rPr>
      </w:pPr>
      <w:r>
        <w:rPr>
          <w:rFonts w:ascii="Arial" w:cs="Arial" w:eastAsia="Arial" w:hAnsi="Arial"/>
          <w:sz w:val="13"/>
          <w:szCs w:val="13"/>
          <w:color w:val="202945"/>
        </w:rPr>
        <w:t>Compensation Discussion &amp;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32"/>
          <w:szCs w:val="32"/>
          <w:b w:val="1"/>
          <w:bCs w:val="1"/>
          <w:color w:val="202945"/>
        </w:rPr>
        <w:t>Table of Contents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4240" w:type="dxa"/>
            <w:vAlign w:val="bottom"/>
          </w:tcPr>
          <w:p>
            <w:pPr>
              <w:ind w:left="20"/>
              <w:spacing w:after="0"/>
              <w:rPr>
                <w:sz w:val="20"/>
                <w:szCs w:val="20"/>
                <w:color w:val="auto"/>
              </w:rPr>
            </w:pPr>
            <w:r>
              <w:rPr>
                <w:rFonts w:ascii="Arial" w:cs="Arial" w:eastAsia="Arial" w:hAnsi="Arial"/>
                <w:sz w:val="16"/>
                <w:szCs w:val="16"/>
                <w:b w:val="1"/>
                <w:bCs w:val="1"/>
                <w:color w:val="auto"/>
              </w:rPr>
              <w:t>Compensation Discussion &amp; Analysis</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45</w:t>
            </w:r>
          </w:p>
        </w:tc>
      </w:tr>
      <w:tr>
        <w:trPr>
          <w:trHeight w:val="48"/>
        </w:trPr>
        <w:tc>
          <w:tcPr>
            <w:tcW w:w="4240" w:type="dxa"/>
            <w:vAlign w:val="bottom"/>
            <w:tcBorders>
              <w:bottom w:val="single" w:sz="8" w:color="D9D9D9"/>
            </w:tcBorders>
          </w:tcPr>
          <w:p>
            <w:pPr>
              <w:spacing w:after="0"/>
              <w:rPr>
                <w:sz w:val="4"/>
                <w:szCs w:val="4"/>
                <w:color w:val="auto"/>
              </w:rPr>
            </w:pPr>
          </w:p>
        </w:tc>
        <w:tc>
          <w:tcPr>
            <w:tcW w:w="980" w:type="dxa"/>
            <w:vAlign w:val="bottom"/>
            <w:tcBorders>
              <w:bottom w:val="single" w:sz="8" w:color="D9D9D9"/>
            </w:tcBorders>
          </w:tcPr>
          <w:p>
            <w:pPr>
              <w:spacing w:after="0"/>
              <w:rPr>
                <w:sz w:val="4"/>
                <w:szCs w:val="4"/>
                <w:color w:val="auto"/>
              </w:rPr>
            </w:pPr>
          </w:p>
        </w:tc>
      </w:tr>
      <w:tr>
        <w:trPr>
          <w:trHeight w:val="275"/>
        </w:trPr>
        <w:tc>
          <w:tcPr>
            <w:tcW w:w="4240" w:type="dxa"/>
            <w:vAlign w:val="bottom"/>
          </w:tcPr>
          <w:p>
            <w:pPr>
              <w:ind w:left="240"/>
              <w:spacing w:after="0"/>
              <w:rPr>
                <w:sz w:val="20"/>
                <w:szCs w:val="20"/>
                <w:color w:val="auto"/>
              </w:rPr>
            </w:pPr>
            <w:r>
              <w:rPr>
                <w:rFonts w:ascii="Arial" w:cs="Arial" w:eastAsia="Arial" w:hAnsi="Arial"/>
                <w:sz w:val="16"/>
                <w:szCs w:val="16"/>
                <w:color w:val="auto"/>
              </w:rPr>
              <w:t>CD&amp;A At-A-Glance</w:t>
            </w:r>
          </w:p>
        </w:tc>
        <w:tc>
          <w:tcPr>
            <w:tcW w:w="98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70"/>
        </w:trPr>
        <w:tc>
          <w:tcPr>
            <w:tcW w:w="4240" w:type="dxa"/>
            <w:vAlign w:val="bottom"/>
            <w:tcBorders>
              <w:bottom w:val="single" w:sz="8" w:color="D9D9D9"/>
            </w:tcBorders>
          </w:tcPr>
          <w:p>
            <w:pPr>
              <w:spacing w:after="0"/>
              <w:rPr>
                <w:sz w:val="6"/>
                <w:szCs w:val="6"/>
                <w:color w:val="auto"/>
              </w:rPr>
            </w:pPr>
          </w:p>
        </w:tc>
        <w:tc>
          <w:tcPr>
            <w:tcW w:w="980" w:type="dxa"/>
            <w:vAlign w:val="bottom"/>
            <w:tcBorders>
              <w:bottom w:val="single" w:sz="8" w:color="D9D9D9"/>
            </w:tcBorders>
          </w:tcPr>
          <w:p>
            <w:pPr>
              <w:spacing w:after="0"/>
              <w:rPr>
                <w:sz w:val="6"/>
                <w:szCs w:val="6"/>
                <w:color w:val="auto"/>
              </w:rPr>
            </w:pPr>
          </w:p>
        </w:tc>
      </w:tr>
      <w:tr>
        <w:trPr>
          <w:trHeight w:val="275"/>
        </w:trPr>
        <w:tc>
          <w:tcPr>
            <w:tcW w:w="4240" w:type="dxa"/>
            <w:vAlign w:val="bottom"/>
          </w:tcPr>
          <w:p>
            <w:pPr>
              <w:ind w:left="240"/>
              <w:spacing w:after="0"/>
              <w:rPr>
                <w:sz w:val="20"/>
                <w:szCs w:val="20"/>
                <w:color w:val="auto"/>
              </w:rPr>
            </w:pPr>
            <w:r>
              <w:rPr>
                <w:rFonts w:ascii="Arial" w:cs="Arial" w:eastAsia="Arial" w:hAnsi="Arial"/>
                <w:sz w:val="16"/>
                <w:szCs w:val="16"/>
                <w:color w:val="auto"/>
              </w:rPr>
              <w:t>Our Compensation Philosophy</w:t>
            </w:r>
          </w:p>
        </w:tc>
        <w:tc>
          <w:tcPr>
            <w:tcW w:w="98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70"/>
        </w:trPr>
        <w:tc>
          <w:tcPr>
            <w:tcW w:w="4240" w:type="dxa"/>
            <w:vAlign w:val="bottom"/>
            <w:tcBorders>
              <w:bottom w:val="single" w:sz="8" w:color="D9D9D9"/>
            </w:tcBorders>
          </w:tcPr>
          <w:p>
            <w:pPr>
              <w:spacing w:after="0"/>
              <w:rPr>
                <w:sz w:val="6"/>
                <w:szCs w:val="6"/>
                <w:color w:val="auto"/>
              </w:rPr>
            </w:pPr>
          </w:p>
        </w:tc>
        <w:tc>
          <w:tcPr>
            <w:tcW w:w="980" w:type="dxa"/>
            <w:vAlign w:val="bottom"/>
            <w:tcBorders>
              <w:bottom w:val="single" w:sz="8" w:color="D9D9D9"/>
            </w:tcBorders>
          </w:tcPr>
          <w:p>
            <w:pPr>
              <w:spacing w:after="0"/>
              <w:rPr>
                <w:sz w:val="6"/>
                <w:szCs w:val="6"/>
                <w:color w:val="auto"/>
              </w:rPr>
            </w:pPr>
          </w:p>
        </w:tc>
      </w:tr>
      <w:tr>
        <w:trPr>
          <w:trHeight w:val="275"/>
        </w:trPr>
        <w:tc>
          <w:tcPr>
            <w:tcW w:w="4240" w:type="dxa"/>
            <w:vAlign w:val="bottom"/>
          </w:tcPr>
          <w:p>
            <w:pPr>
              <w:ind w:left="240"/>
              <w:spacing w:after="0"/>
              <w:rPr>
                <w:sz w:val="20"/>
                <w:szCs w:val="20"/>
                <w:color w:val="auto"/>
              </w:rPr>
            </w:pPr>
            <w:r>
              <w:rPr>
                <w:rFonts w:ascii="Arial" w:cs="Arial" w:eastAsia="Arial" w:hAnsi="Arial"/>
                <w:sz w:val="16"/>
                <w:szCs w:val="16"/>
                <w:color w:val="auto"/>
              </w:rPr>
              <w:t>Compensation Process</w:t>
            </w:r>
          </w:p>
        </w:tc>
        <w:tc>
          <w:tcPr>
            <w:tcW w:w="98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69"/>
        </w:trPr>
        <w:tc>
          <w:tcPr>
            <w:tcW w:w="4240" w:type="dxa"/>
            <w:vAlign w:val="bottom"/>
            <w:tcBorders>
              <w:bottom w:val="single" w:sz="8" w:color="D9D9D9"/>
            </w:tcBorders>
          </w:tcPr>
          <w:p>
            <w:pPr>
              <w:spacing w:after="0"/>
              <w:rPr>
                <w:sz w:val="6"/>
                <w:szCs w:val="6"/>
                <w:color w:val="auto"/>
              </w:rPr>
            </w:pPr>
          </w:p>
        </w:tc>
        <w:tc>
          <w:tcPr>
            <w:tcW w:w="980" w:type="dxa"/>
            <w:vAlign w:val="bottom"/>
            <w:tcBorders>
              <w:bottom w:val="single" w:sz="8" w:color="D9D9D9"/>
            </w:tcBorders>
          </w:tcPr>
          <w:p>
            <w:pPr>
              <w:spacing w:after="0"/>
              <w:rPr>
                <w:sz w:val="6"/>
                <w:szCs w:val="6"/>
                <w:color w:val="auto"/>
              </w:rPr>
            </w:pPr>
          </w:p>
        </w:tc>
      </w:tr>
      <w:tr>
        <w:trPr>
          <w:trHeight w:val="275"/>
        </w:trPr>
        <w:tc>
          <w:tcPr>
            <w:tcW w:w="4240" w:type="dxa"/>
            <w:vAlign w:val="bottom"/>
          </w:tcPr>
          <w:p>
            <w:pPr>
              <w:ind w:left="240"/>
              <w:spacing w:after="0"/>
              <w:rPr>
                <w:sz w:val="20"/>
                <w:szCs w:val="20"/>
                <w:color w:val="auto"/>
              </w:rPr>
            </w:pPr>
            <w:r>
              <w:rPr>
                <w:rFonts w:ascii="Arial" w:cs="Arial" w:eastAsia="Arial" w:hAnsi="Arial"/>
                <w:sz w:val="16"/>
                <w:szCs w:val="16"/>
                <w:color w:val="auto"/>
              </w:rPr>
              <w:t>Fiscal Year 2025 Executive Compensation</w:t>
            </w:r>
          </w:p>
        </w:tc>
        <w:tc>
          <w:tcPr>
            <w:tcW w:w="98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70"/>
        </w:trPr>
        <w:tc>
          <w:tcPr>
            <w:tcW w:w="4240" w:type="dxa"/>
            <w:vAlign w:val="bottom"/>
            <w:tcBorders>
              <w:bottom w:val="single" w:sz="8" w:color="D9D9D9"/>
            </w:tcBorders>
          </w:tcPr>
          <w:p>
            <w:pPr>
              <w:spacing w:after="0"/>
              <w:rPr>
                <w:sz w:val="6"/>
                <w:szCs w:val="6"/>
                <w:color w:val="auto"/>
              </w:rPr>
            </w:pPr>
          </w:p>
        </w:tc>
        <w:tc>
          <w:tcPr>
            <w:tcW w:w="980" w:type="dxa"/>
            <w:vAlign w:val="bottom"/>
            <w:tcBorders>
              <w:bottom w:val="single" w:sz="8" w:color="D9D9D9"/>
            </w:tcBorders>
          </w:tcPr>
          <w:p>
            <w:pPr>
              <w:spacing w:after="0"/>
              <w:rPr>
                <w:sz w:val="6"/>
                <w:szCs w:val="6"/>
                <w:color w:val="auto"/>
              </w:rPr>
            </w:pPr>
          </w:p>
        </w:tc>
      </w:tr>
      <w:tr>
        <w:trPr>
          <w:trHeight w:val="275"/>
        </w:trPr>
        <w:tc>
          <w:tcPr>
            <w:tcW w:w="4240" w:type="dxa"/>
            <w:vAlign w:val="bottom"/>
          </w:tcPr>
          <w:p>
            <w:pPr>
              <w:ind w:left="240"/>
              <w:spacing w:after="0"/>
              <w:rPr>
                <w:sz w:val="20"/>
                <w:szCs w:val="20"/>
                <w:color w:val="auto"/>
              </w:rPr>
            </w:pPr>
            <w:r>
              <w:rPr>
                <w:rFonts w:ascii="Arial" w:cs="Arial" w:eastAsia="Arial" w:hAnsi="Arial"/>
                <w:sz w:val="16"/>
                <w:szCs w:val="16"/>
                <w:color w:val="auto"/>
              </w:rPr>
              <w:t>Executive Officer Employment Arrangements</w:t>
            </w:r>
          </w:p>
        </w:tc>
        <w:tc>
          <w:tcPr>
            <w:tcW w:w="98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70"/>
        </w:trPr>
        <w:tc>
          <w:tcPr>
            <w:tcW w:w="4240" w:type="dxa"/>
            <w:vAlign w:val="bottom"/>
            <w:tcBorders>
              <w:bottom w:val="single" w:sz="8" w:color="D9D9D9"/>
            </w:tcBorders>
          </w:tcPr>
          <w:p>
            <w:pPr>
              <w:spacing w:after="0"/>
              <w:rPr>
                <w:sz w:val="6"/>
                <w:szCs w:val="6"/>
                <w:color w:val="auto"/>
              </w:rPr>
            </w:pPr>
          </w:p>
        </w:tc>
        <w:tc>
          <w:tcPr>
            <w:tcW w:w="980" w:type="dxa"/>
            <w:vAlign w:val="bottom"/>
            <w:tcBorders>
              <w:bottom w:val="single" w:sz="8" w:color="D9D9D9"/>
            </w:tcBorders>
          </w:tcPr>
          <w:p>
            <w:pPr>
              <w:spacing w:after="0"/>
              <w:rPr>
                <w:sz w:val="6"/>
                <w:szCs w:val="6"/>
                <w:color w:val="auto"/>
              </w:rPr>
            </w:pPr>
          </w:p>
        </w:tc>
      </w:tr>
      <w:tr>
        <w:trPr>
          <w:trHeight w:val="275"/>
        </w:trPr>
        <w:tc>
          <w:tcPr>
            <w:tcW w:w="4240" w:type="dxa"/>
            <w:vAlign w:val="bottom"/>
          </w:tcPr>
          <w:p>
            <w:pPr>
              <w:ind w:left="240"/>
              <w:spacing w:after="0"/>
              <w:rPr>
                <w:sz w:val="20"/>
                <w:szCs w:val="20"/>
                <w:color w:val="auto"/>
              </w:rPr>
            </w:pPr>
            <w:r>
              <w:rPr>
                <w:rFonts w:ascii="Arial" w:cs="Arial" w:eastAsia="Arial" w:hAnsi="Arial"/>
                <w:sz w:val="16"/>
                <w:szCs w:val="16"/>
                <w:color w:val="auto"/>
              </w:rPr>
              <w:t>Compensation Policies and Practices</w:t>
            </w:r>
          </w:p>
        </w:tc>
        <w:tc>
          <w:tcPr>
            <w:tcW w:w="98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69"/>
        </w:trPr>
        <w:tc>
          <w:tcPr>
            <w:tcW w:w="4240" w:type="dxa"/>
            <w:vAlign w:val="bottom"/>
            <w:tcBorders>
              <w:bottom w:val="single" w:sz="8" w:color="D9D9D9"/>
            </w:tcBorders>
          </w:tcPr>
          <w:p>
            <w:pPr>
              <w:spacing w:after="0"/>
              <w:rPr>
                <w:sz w:val="6"/>
                <w:szCs w:val="6"/>
                <w:color w:val="auto"/>
              </w:rPr>
            </w:pPr>
          </w:p>
        </w:tc>
        <w:tc>
          <w:tcPr>
            <w:tcW w:w="980" w:type="dxa"/>
            <w:vAlign w:val="bottom"/>
            <w:tcBorders>
              <w:bottom w:val="single" w:sz="8" w:color="D9D9D9"/>
            </w:tcBorders>
          </w:tcPr>
          <w:p>
            <w:pPr>
              <w:spacing w:after="0"/>
              <w:rPr>
                <w:sz w:val="6"/>
                <w:szCs w:val="6"/>
                <w:color w:val="auto"/>
              </w:rPr>
            </w:pPr>
          </w:p>
        </w:tc>
      </w:tr>
      <w:tr>
        <w:trPr>
          <w:trHeight w:val="275"/>
        </w:trPr>
        <w:tc>
          <w:tcPr>
            <w:tcW w:w="4240" w:type="dxa"/>
            <w:vAlign w:val="bottom"/>
          </w:tcPr>
          <w:p>
            <w:pPr>
              <w:ind w:left="240"/>
              <w:spacing w:after="0"/>
              <w:rPr>
                <w:sz w:val="20"/>
                <w:szCs w:val="20"/>
                <w:color w:val="auto"/>
              </w:rPr>
            </w:pPr>
            <w:r>
              <w:rPr>
                <w:rFonts w:ascii="Arial" w:cs="Arial" w:eastAsia="Arial" w:hAnsi="Arial"/>
                <w:sz w:val="16"/>
                <w:szCs w:val="16"/>
                <w:color w:val="auto"/>
              </w:rPr>
              <w:t>Compensation Committee Report</w:t>
            </w:r>
          </w:p>
        </w:tc>
        <w:tc>
          <w:tcPr>
            <w:tcW w:w="98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70"/>
        </w:trPr>
        <w:tc>
          <w:tcPr>
            <w:tcW w:w="4240" w:type="dxa"/>
            <w:vAlign w:val="bottom"/>
            <w:tcBorders>
              <w:bottom w:val="single" w:sz="8" w:color="D9D9D9"/>
            </w:tcBorders>
          </w:tcPr>
          <w:p>
            <w:pPr>
              <w:spacing w:after="0"/>
              <w:rPr>
                <w:sz w:val="6"/>
                <w:szCs w:val="6"/>
                <w:color w:val="auto"/>
              </w:rPr>
            </w:pPr>
          </w:p>
        </w:tc>
        <w:tc>
          <w:tcPr>
            <w:tcW w:w="980" w:type="dxa"/>
            <w:vAlign w:val="bottom"/>
            <w:tcBorders>
              <w:bottom w:val="single" w:sz="8" w:color="D9D9D9"/>
            </w:tcBorders>
          </w:tcPr>
          <w:p>
            <w:pPr>
              <w:spacing w:after="0"/>
              <w:rPr>
                <w:sz w:val="6"/>
                <w:szCs w:val="6"/>
                <w:color w:val="auto"/>
              </w:rPr>
            </w:pPr>
          </w:p>
        </w:tc>
      </w:tr>
    </w:tbl>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4760" w:type="dxa"/>
            <w:vAlign w:val="bottom"/>
          </w:tcPr>
          <w:p>
            <w:pPr>
              <w:ind w:left="20"/>
              <w:spacing w:after="0"/>
              <w:rPr>
                <w:sz w:val="20"/>
                <w:szCs w:val="20"/>
                <w:color w:val="auto"/>
              </w:rPr>
            </w:pPr>
            <w:r>
              <w:rPr>
                <w:rFonts w:ascii="Arial" w:cs="Arial" w:eastAsia="Arial" w:hAnsi="Arial"/>
                <w:sz w:val="16"/>
                <w:szCs w:val="16"/>
                <w:b w:val="1"/>
                <w:bCs w:val="1"/>
                <w:color w:val="auto"/>
              </w:rPr>
              <w:t>Executive Compensation Tables and Related Disclosures</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62</w:t>
            </w:r>
          </w:p>
        </w:tc>
        <w:tc>
          <w:tcPr>
            <w:tcW w:w="6020" w:type="dxa"/>
            <w:vAlign w:val="bottom"/>
          </w:tcPr>
          <w:p>
            <w:pPr>
              <w:spacing w:after="0"/>
              <w:rPr>
                <w:sz w:val="22"/>
                <w:szCs w:val="22"/>
                <w:color w:val="auto"/>
              </w:rPr>
            </w:pPr>
          </w:p>
        </w:tc>
      </w:tr>
      <w:tr>
        <w:trPr>
          <w:trHeight w:val="48"/>
        </w:trPr>
        <w:tc>
          <w:tcPr>
            <w:tcW w:w="4760" w:type="dxa"/>
            <w:vAlign w:val="bottom"/>
            <w:tcBorders>
              <w:bottom w:val="single" w:sz="8" w:color="D9D9D9"/>
            </w:tcBorders>
          </w:tcPr>
          <w:p>
            <w:pPr>
              <w:spacing w:after="0"/>
              <w:rPr>
                <w:sz w:val="4"/>
                <w:szCs w:val="4"/>
                <w:color w:val="auto"/>
              </w:rPr>
            </w:pPr>
          </w:p>
        </w:tc>
        <w:tc>
          <w:tcPr>
            <w:tcW w:w="460" w:type="dxa"/>
            <w:vAlign w:val="bottom"/>
            <w:tcBorders>
              <w:bottom w:val="single" w:sz="8" w:color="D9D9D9"/>
            </w:tcBorders>
          </w:tcPr>
          <w:p>
            <w:pPr>
              <w:spacing w:after="0"/>
              <w:rPr>
                <w:sz w:val="4"/>
                <w:szCs w:val="4"/>
                <w:color w:val="auto"/>
              </w:rPr>
            </w:pPr>
          </w:p>
        </w:tc>
        <w:tc>
          <w:tcPr>
            <w:tcW w:w="6020" w:type="dxa"/>
            <w:vAlign w:val="bottom"/>
          </w:tcPr>
          <w:p>
            <w:pPr>
              <w:spacing w:after="0"/>
              <w:rPr>
                <w:sz w:val="4"/>
                <w:szCs w:val="4"/>
                <w:color w:val="auto"/>
              </w:rPr>
            </w:pPr>
          </w:p>
        </w:tc>
      </w:tr>
      <w:tr>
        <w:trPr>
          <w:trHeight w:val="275"/>
        </w:trPr>
        <w:tc>
          <w:tcPr>
            <w:tcW w:w="4760" w:type="dxa"/>
            <w:vAlign w:val="bottom"/>
          </w:tcPr>
          <w:p>
            <w:pPr>
              <w:ind w:left="240"/>
              <w:spacing w:after="0"/>
              <w:rPr>
                <w:sz w:val="20"/>
                <w:szCs w:val="20"/>
                <w:color w:val="auto"/>
              </w:rPr>
            </w:pPr>
            <w:r>
              <w:rPr>
                <w:rFonts w:ascii="Arial" w:cs="Arial" w:eastAsia="Arial" w:hAnsi="Arial"/>
                <w:sz w:val="16"/>
                <w:szCs w:val="16"/>
                <w:color w:val="auto"/>
              </w:rPr>
              <w:t>Summary Compensation Table</w:t>
            </w:r>
          </w:p>
        </w:tc>
        <w:tc>
          <w:tcPr>
            <w:tcW w:w="460" w:type="dxa"/>
            <w:vAlign w:val="bottom"/>
          </w:tcPr>
          <w:p>
            <w:pPr>
              <w:jc w:val="right"/>
              <w:spacing w:after="0"/>
              <w:rPr>
                <w:sz w:val="20"/>
                <w:szCs w:val="20"/>
                <w:color w:val="auto"/>
              </w:rPr>
            </w:pPr>
            <w:r>
              <w:rPr>
                <w:rFonts w:ascii="Arial" w:cs="Arial" w:eastAsia="Arial" w:hAnsi="Arial"/>
                <w:sz w:val="16"/>
                <w:szCs w:val="16"/>
                <w:color w:val="auto"/>
              </w:rPr>
              <w:t>62</w:t>
            </w:r>
          </w:p>
        </w:tc>
        <w:tc>
          <w:tcPr>
            <w:tcW w:w="6020" w:type="dxa"/>
            <w:vAlign w:val="bottom"/>
          </w:tcPr>
          <w:p>
            <w:pPr>
              <w:spacing w:after="0"/>
              <w:rPr>
                <w:sz w:val="23"/>
                <w:szCs w:val="23"/>
                <w:color w:val="auto"/>
              </w:rPr>
            </w:pPr>
          </w:p>
        </w:tc>
      </w:tr>
      <w:tr>
        <w:trPr>
          <w:trHeight w:val="70"/>
        </w:trPr>
        <w:tc>
          <w:tcPr>
            <w:tcW w:w="4760" w:type="dxa"/>
            <w:vAlign w:val="bottom"/>
            <w:tcBorders>
              <w:bottom w:val="single" w:sz="8" w:color="D9D9D9"/>
            </w:tcBorders>
          </w:tcPr>
          <w:p>
            <w:pPr>
              <w:spacing w:after="0"/>
              <w:rPr>
                <w:sz w:val="6"/>
                <w:szCs w:val="6"/>
                <w:color w:val="auto"/>
              </w:rPr>
            </w:pPr>
          </w:p>
        </w:tc>
        <w:tc>
          <w:tcPr>
            <w:tcW w:w="460" w:type="dxa"/>
            <w:vAlign w:val="bottom"/>
            <w:tcBorders>
              <w:bottom w:val="single" w:sz="8" w:color="D9D9D9"/>
            </w:tcBorders>
          </w:tcPr>
          <w:p>
            <w:pPr>
              <w:spacing w:after="0"/>
              <w:rPr>
                <w:sz w:val="6"/>
                <w:szCs w:val="6"/>
                <w:color w:val="auto"/>
              </w:rPr>
            </w:pPr>
          </w:p>
        </w:tc>
        <w:tc>
          <w:tcPr>
            <w:tcW w:w="6020" w:type="dxa"/>
            <w:vAlign w:val="bottom"/>
          </w:tcPr>
          <w:p>
            <w:pPr>
              <w:spacing w:after="0"/>
              <w:rPr>
                <w:sz w:val="6"/>
                <w:szCs w:val="6"/>
                <w:color w:val="auto"/>
              </w:rPr>
            </w:pPr>
          </w:p>
        </w:tc>
      </w:tr>
      <w:tr>
        <w:trPr>
          <w:trHeight w:val="275"/>
        </w:trPr>
        <w:tc>
          <w:tcPr>
            <w:tcW w:w="4760" w:type="dxa"/>
            <w:vAlign w:val="bottom"/>
          </w:tcPr>
          <w:p>
            <w:pPr>
              <w:ind w:left="240"/>
              <w:spacing w:after="0"/>
              <w:rPr>
                <w:sz w:val="20"/>
                <w:szCs w:val="20"/>
                <w:color w:val="auto"/>
              </w:rPr>
            </w:pPr>
            <w:r>
              <w:rPr>
                <w:rFonts w:ascii="Arial" w:cs="Arial" w:eastAsia="Arial" w:hAnsi="Arial"/>
                <w:sz w:val="16"/>
                <w:szCs w:val="16"/>
                <w:color w:val="auto"/>
              </w:rPr>
              <w:t>Grants of Plan-Based Awards</w:t>
            </w:r>
          </w:p>
        </w:tc>
        <w:tc>
          <w:tcPr>
            <w:tcW w:w="460" w:type="dxa"/>
            <w:vAlign w:val="bottom"/>
          </w:tcPr>
          <w:p>
            <w:pPr>
              <w:jc w:val="right"/>
              <w:spacing w:after="0"/>
              <w:rPr>
                <w:sz w:val="20"/>
                <w:szCs w:val="20"/>
                <w:color w:val="auto"/>
              </w:rPr>
            </w:pPr>
            <w:r>
              <w:rPr>
                <w:rFonts w:ascii="Arial" w:cs="Arial" w:eastAsia="Arial" w:hAnsi="Arial"/>
                <w:sz w:val="16"/>
                <w:szCs w:val="16"/>
                <w:color w:val="auto"/>
              </w:rPr>
              <w:t>63</w:t>
            </w:r>
          </w:p>
        </w:tc>
        <w:tc>
          <w:tcPr>
            <w:tcW w:w="6020" w:type="dxa"/>
            <w:vAlign w:val="bottom"/>
          </w:tcPr>
          <w:p>
            <w:pPr>
              <w:spacing w:after="0"/>
              <w:rPr>
                <w:sz w:val="23"/>
                <w:szCs w:val="23"/>
                <w:color w:val="auto"/>
              </w:rPr>
            </w:pPr>
          </w:p>
        </w:tc>
      </w:tr>
      <w:tr>
        <w:trPr>
          <w:trHeight w:val="70"/>
        </w:trPr>
        <w:tc>
          <w:tcPr>
            <w:tcW w:w="4760" w:type="dxa"/>
            <w:vAlign w:val="bottom"/>
            <w:tcBorders>
              <w:bottom w:val="single" w:sz="8" w:color="D9D9D9"/>
            </w:tcBorders>
          </w:tcPr>
          <w:p>
            <w:pPr>
              <w:spacing w:after="0"/>
              <w:rPr>
                <w:sz w:val="6"/>
                <w:szCs w:val="6"/>
                <w:color w:val="auto"/>
              </w:rPr>
            </w:pPr>
          </w:p>
        </w:tc>
        <w:tc>
          <w:tcPr>
            <w:tcW w:w="460" w:type="dxa"/>
            <w:vAlign w:val="bottom"/>
            <w:tcBorders>
              <w:bottom w:val="single" w:sz="8" w:color="D9D9D9"/>
            </w:tcBorders>
          </w:tcPr>
          <w:p>
            <w:pPr>
              <w:spacing w:after="0"/>
              <w:rPr>
                <w:sz w:val="6"/>
                <w:szCs w:val="6"/>
                <w:color w:val="auto"/>
              </w:rPr>
            </w:pPr>
          </w:p>
        </w:tc>
        <w:tc>
          <w:tcPr>
            <w:tcW w:w="6020" w:type="dxa"/>
            <w:vAlign w:val="bottom"/>
          </w:tcPr>
          <w:p>
            <w:pPr>
              <w:spacing w:after="0"/>
              <w:rPr>
                <w:sz w:val="6"/>
                <w:szCs w:val="6"/>
                <w:color w:val="auto"/>
              </w:rPr>
            </w:pPr>
          </w:p>
        </w:tc>
      </w:tr>
      <w:tr>
        <w:trPr>
          <w:trHeight w:val="275"/>
        </w:trPr>
        <w:tc>
          <w:tcPr>
            <w:tcW w:w="4760" w:type="dxa"/>
            <w:vAlign w:val="bottom"/>
          </w:tcPr>
          <w:p>
            <w:pPr>
              <w:ind w:left="240"/>
              <w:spacing w:after="0"/>
              <w:rPr>
                <w:sz w:val="20"/>
                <w:szCs w:val="20"/>
                <w:color w:val="auto"/>
              </w:rPr>
            </w:pPr>
            <w:r>
              <w:rPr>
                <w:rFonts w:ascii="Arial" w:cs="Arial" w:eastAsia="Arial" w:hAnsi="Arial"/>
                <w:sz w:val="16"/>
                <w:szCs w:val="16"/>
                <w:color w:val="auto"/>
              </w:rPr>
              <w:t>Outstanding Equity Awards at Fiscal Year-End</w:t>
            </w:r>
          </w:p>
        </w:tc>
        <w:tc>
          <w:tcPr>
            <w:tcW w:w="460" w:type="dxa"/>
            <w:vAlign w:val="bottom"/>
          </w:tcPr>
          <w:p>
            <w:pPr>
              <w:jc w:val="right"/>
              <w:spacing w:after="0"/>
              <w:rPr>
                <w:sz w:val="20"/>
                <w:szCs w:val="20"/>
                <w:color w:val="auto"/>
              </w:rPr>
            </w:pPr>
            <w:r>
              <w:rPr>
                <w:rFonts w:ascii="Arial" w:cs="Arial" w:eastAsia="Arial" w:hAnsi="Arial"/>
                <w:sz w:val="16"/>
                <w:szCs w:val="16"/>
                <w:color w:val="auto"/>
              </w:rPr>
              <w:t>64</w:t>
            </w:r>
          </w:p>
        </w:tc>
        <w:tc>
          <w:tcPr>
            <w:tcW w:w="6020" w:type="dxa"/>
            <w:vAlign w:val="bottom"/>
          </w:tcPr>
          <w:p>
            <w:pPr>
              <w:spacing w:after="0"/>
              <w:rPr>
                <w:sz w:val="23"/>
                <w:szCs w:val="23"/>
                <w:color w:val="auto"/>
              </w:rPr>
            </w:pPr>
          </w:p>
        </w:tc>
      </w:tr>
      <w:tr>
        <w:trPr>
          <w:trHeight w:val="69"/>
        </w:trPr>
        <w:tc>
          <w:tcPr>
            <w:tcW w:w="4760" w:type="dxa"/>
            <w:vAlign w:val="bottom"/>
            <w:tcBorders>
              <w:bottom w:val="single" w:sz="8" w:color="D9D9D9"/>
            </w:tcBorders>
          </w:tcPr>
          <w:p>
            <w:pPr>
              <w:spacing w:after="0"/>
              <w:rPr>
                <w:sz w:val="6"/>
                <w:szCs w:val="6"/>
                <w:color w:val="auto"/>
              </w:rPr>
            </w:pPr>
          </w:p>
        </w:tc>
        <w:tc>
          <w:tcPr>
            <w:tcW w:w="460" w:type="dxa"/>
            <w:vAlign w:val="bottom"/>
            <w:tcBorders>
              <w:bottom w:val="single" w:sz="8" w:color="D9D9D9"/>
            </w:tcBorders>
          </w:tcPr>
          <w:p>
            <w:pPr>
              <w:spacing w:after="0"/>
              <w:rPr>
                <w:sz w:val="6"/>
                <w:szCs w:val="6"/>
                <w:color w:val="auto"/>
              </w:rPr>
            </w:pPr>
          </w:p>
        </w:tc>
        <w:tc>
          <w:tcPr>
            <w:tcW w:w="6020" w:type="dxa"/>
            <w:vAlign w:val="bottom"/>
          </w:tcPr>
          <w:p>
            <w:pPr>
              <w:spacing w:after="0"/>
              <w:rPr>
                <w:sz w:val="6"/>
                <w:szCs w:val="6"/>
                <w:color w:val="auto"/>
              </w:rPr>
            </w:pPr>
          </w:p>
        </w:tc>
      </w:tr>
      <w:tr>
        <w:trPr>
          <w:trHeight w:val="275"/>
        </w:trPr>
        <w:tc>
          <w:tcPr>
            <w:tcW w:w="4760" w:type="dxa"/>
            <w:vAlign w:val="bottom"/>
          </w:tcPr>
          <w:p>
            <w:pPr>
              <w:ind w:left="240"/>
              <w:spacing w:after="0"/>
              <w:rPr>
                <w:sz w:val="20"/>
                <w:szCs w:val="20"/>
                <w:color w:val="auto"/>
              </w:rPr>
            </w:pPr>
            <w:r>
              <w:rPr>
                <w:rFonts w:ascii="Arial" w:cs="Arial" w:eastAsia="Arial" w:hAnsi="Arial"/>
                <w:sz w:val="16"/>
                <w:szCs w:val="16"/>
                <w:color w:val="auto"/>
              </w:rPr>
              <w:t>Option Exercises and Stock Vested</w:t>
            </w:r>
          </w:p>
        </w:tc>
        <w:tc>
          <w:tcPr>
            <w:tcW w:w="460" w:type="dxa"/>
            <w:vAlign w:val="bottom"/>
          </w:tcPr>
          <w:p>
            <w:pPr>
              <w:jc w:val="right"/>
              <w:spacing w:after="0"/>
              <w:rPr>
                <w:sz w:val="20"/>
                <w:szCs w:val="20"/>
                <w:color w:val="auto"/>
              </w:rPr>
            </w:pPr>
            <w:r>
              <w:rPr>
                <w:rFonts w:ascii="Arial" w:cs="Arial" w:eastAsia="Arial" w:hAnsi="Arial"/>
                <w:sz w:val="16"/>
                <w:szCs w:val="16"/>
                <w:color w:val="auto"/>
              </w:rPr>
              <w:t>65</w:t>
            </w:r>
          </w:p>
        </w:tc>
        <w:tc>
          <w:tcPr>
            <w:tcW w:w="6020" w:type="dxa"/>
            <w:vAlign w:val="bottom"/>
          </w:tcPr>
          <w:p>
            <w:pPr>
              <w:spacing w:after="0"/>
              <w:rPr>
                <w:sz w:val="23"/>
                <w:szCs w:val="23"/>
                <w:color w:val="auto"/>
              </w:rPr>
            </w:pPr>
          </w:p>
        </w:tc>
      </w:tr>
      <w:tr>
        <w:trPr>
          <w:trHeight w:val="70"/>
        </w:trPr>
        <w:tc>
          <w:tcPr>
            <w:tcW w:w="4760" w:type="dxa"/>
            <w:vAlign w:val="bottom"/>
            <w:tcBorders>
              <w:bottom w:val="single" w:sz="8" w:color="D9D9D9"/>
            </w:tcBorders>
          </w:tcPr>
          <w:p>
            <w:pPr>
              <w:spacing w:after="0"/>
              <w:rPr>
                <w:sz w:val="6"/>
                <w:szCs w:val="6"/>
                <w:color w:val="auto"/>
              </w:rPr>
            </w:pPr>
          </w:p>
        </w:tc>
        <w:tc>
          <w:tcPr>
            <w:tcW w:w="460" w:type="dxa"/>
            <w:vAlign w:val="bottom"/>
            <w:tcBorders>
              <w:bottom w:val="single" w:sz="8" w:color="D9D9D9"/>
            </w:tcBorders>
          </w:tcPr>
          <w:p>
            <w:pPr>
              <w:spacing w:after="0"/>
              <w:rPr>
                <w:sz w:val="6"/>
                <w:szCs w:val="6"/>
                <w:color w:val="auto"/>
              </w:rPr>
            </w:pPr>
          </w:p>
        </w:tc>
        <w:tc>
          <w:tcPr>
            <w:tcW w:w="6020" w:type="dxa"/>
            <w:vAlign w:val="bottom"/>
          </w:tcPr>
          <w:p>
            <w:pPr>
              <w:spacing w:after="0"/>
              <w:rPr>
                <w:sz w:val="6"/>
                <w:szCs w:val="6"/>
                <w:color w:val="auto"/>
              </w:rPr>
            </w:pPr>
          </w:p>
        </w:tc>
      </w:tr>
      <w:tr>
        <w:trPr>
          <w:trHeight w:val="275"/>
        </w:trPr>
        <w:tc>
          <w:tcPr>
            <w:tcW w:w="4760" w:type="dxa"/>
            <w:vAlign w:val="bottom"/>
          </w:tcPr>
          <w:p>
            <w:pPr>
              <w:ind w:left="240"/>
              <w:spacing w:after="0"/>
              <w:rPr>
                <w:sz w:val="20"/>
                <w:szCs w:val="20"/>
                <w:color w:val="auto"/>
              </w:rPr>
            </w:pPr>
            <w:r>
              <w:rPr>
                <w:rFonts w:ascii="Arial" w:cs="Arial" w:eastAsia="Arial" w:hAnsi="Arial"/>
                <w:sz w:val="16"/>
                <w:szCs w:val="16"/>
                <w:color w:val="auto"/>
              </w:rPr>
              <w:t>Potential Payments Upon Termination or Change of Control</w:t>
            </w:r>
          </w:p>
        </w:tc>
        <w:tc>
          <w:tcPr>
            <w:tcW w:w="460" w:type="dxa"/>
            <w:vAlign w:val="bottom"/>
          </w:tcPr>
          <w:p>
            <w:pPr>
              <w:jc w:val="right"/>
              <w:spacing w:after="0"/>
              <w:rPr>
                <w:sz w:val="20"/>
                <w:szCs w:val="20"/>
                <w:color w:val="auto"/>
              </w:rPr>
            </w:pPr>
            <w:r>
              <w:rPr>
                <w:rFonts w:ascii="Arial" w:cs="Arial" w:eastAsia="Arial" w:hAnsi="Arial"/>
                <w:sz w:val="16"/>
                <w:szCs w:val="16"/>
                <w:color w:val="auto"/>
              </w:rPr>
              <w:t>65</w:t>
            </w:r>
          </w:p>
        </w:tc>
        <w:tc>
          <w:tcPr>
            <w:tcW w:w="6020" w:type="dxa"/>
            <w:vAlign w:val="bottom"/>
          </w:tcPr>
          <w:p>
            <w:pPr>
              <w:spacing w:after="0"/>
              <w:rPr>
                <w:sz w:val="23"/>
                <w:szCs w:val="23"/>
                <w:color w:val="auto"/>
              </w:rPr>
            </w:pPr>
          </w:p>
        </w:tc>
      </w:tr>
      <w:tr>
        <w:trPr>
          <w:trHeight w:val="70"/>
        </w:trPr>
        <w:tc>
          <w:tcPr>
            <w:tcW w:w="4760" w:type="dxa"/>
            <w:vAlign w:val="bottom"/>
            <w:tcBorders>
              <w:bottom w:val="single" w:sz="8" w:color="D9D9D9"/>
            </w:tcBorders>
          </w:tcPr>
          <w:p>
            <w:pPr>
              <w:spacing w:after="0"/>
              <w:rPr>
                <w:sz w:val="6"/>
                <w:szCs w:val="6"/>
                <w:color w:val="auto"/>
              </w:rPr>
            </w:pPr>
          </w:p>
        </w:tc>
        <w:tc>
          <w:tcPr>
            <w:tcW w:w="460" w:type="dxa"/>
            <w:vAlign w:val="bottom"/>
            <w:tcBorders>
              <w:bottom w:val="single" w:sz="8" w:color="D9D9D9"/>
            </w:tcBorders>
          </w:tcPr>
          <w:p>
            <w:pPr>
              <w:spacing w:after="0"/>
              <w:rPr>
                <w:sz w:val="6"/>
                <w:szCs w:val="6"/>
                <w:color w:val="auto"/>
              </w:rPr>
            </w:pPr>
          </w:p>
        </w:tc>
        <w:tc>
          <w:tcPr>
            <w:tcW w:w="6020" w:type="dxa"/>
            <w:vAlign w:val="bottom"/>
          </w:tcPr>
          <w:p>
            <w:pPr>
              <w:spacing w:after="0"/>
              <w:rPr>
                <w:sz w:val="6"/>
                <w:szCs w:val="6"/>
                <w:color w:val="auto"/>
              </w:rPr>
            </w:pPr>
          </w:p>
        </w:tc>
      </w:tr>
      <w:tr>
        <w:trPr>
          <w:trHeight w:val="275"/>
        </w:trPr>
        <w:tc>
          <w:tcPr>
            <w:tcW w:w="4760" w:type="dxa"/>
            <w:vAlign w:val="bottom"/>
          </w:tcPr>
          <w:p>
            <w:pPr>
              <w:ind w:left="240"/>
              <w:spacing w:after="0"/>
              <w:rPr>
                <w:sz w:val="20"/>
                <w:szCs w:val="20"/>
                <w:color w:val="auto"/>
              </w:rPr>
            </w:pPr>
            <w:r>
              <w:rPr>
                <w:rFonts w:ascii="Arial" w:cs="Arial" w:eastAsia="Arial" w:hAnsi="Arial"/>
                <w:sz w:val="16"/>
                <w:szCs w:val="16"/>
                <w:color w:val="auto"/>
              </w:rPr>
              <w:t>CEO Pay Ratio Disclosure</w:t>
            </w:r>
          </w:p>
        </w:tc>
        <w:tc>
          <w:tcPr>
            <w:tcW w:w="460" w:type="dxa"/>
            <w:vAlign w:val="bottom"/>
          </w:tcPr>
          <w:p>
            <w:pPr>
              <w:jc w:val="right"/>
              <w:spacing w:after="0"/>
              <w:rPr>
                <w:sz w:val="20"/>
                <w:szCs w:val="20"/>
                <w:color w:val="auto"/>
              </w:rPr>
            </w:pPr>
            <w:r>
              <w:rPr>
                <w:rFonts w:ascii="Arial" w:cs="Arial" w:eastAsia="Arial" w:hAnsi="Arial"/>
                <w:sz w:val="16"/>
                <w:szCs w:val="16"/>
                <w:color w:val="auto"/>
              </w:rPr>
              <w:t>67</w:t>
            </w:r>
          </w:p>
        </w:tc>
        <w:tc>
          <w:tcPr>
            <w:tcW w:w="6020" w:type="dxa"/>
            <w:vAlign w:val="bottom"/>
          </w:tcPr>
          <w:p>
            <w:pPr>
              <w:spacing w:after="0"/>
              <w:rPr>
                <w:sz w:val="23"/>
                <w:szCs w:val="23"/>
                <w:color w:val="auto"/>
              </w:rPr>
            </w:pPr>
          </w:p>
        </w:tc>
      </w:tr>
      <w:tr>
        <w:trPr>
          <w:trHeight w:val="69"/>
        </w:trPr>
        <w:tc>
          <w:tcPr>
            <w:tcW w:w="4760" w:type="dxa"/>
            <w:vAlign w:val="bottom"/>
            <w:tcBorders>
              <w:bottom w:val="single" w:sz="8" w:color="D9D9D9"/>
            </w:tcBorders>
          </w:tcPr>
          <w:p>
            <w:pPr>
              <w:spacing w:after="0"/>
              <w:rPr>
                <w:sz w:val="6"/>
                <w:szCs w:val="6"/>
                <w:color w:val="auto"/>
              </w:rPr>
            </w:pPr>
          </w:p>
        </w:tc>
        <w:tc>
          <w:tcPr>
            <w:tcW w:w="460" w:type="dxa"/>
            <w:vAlign w:val="bottom"/>
            <w:tcBorders>
              <w:bottom w:val="single" w:sz="8" w:color="D9D9D9"/>
            </w:tcBorders>
          </w:tcPr>
          <w:p>
            <w:pPr>
              <w:spacing w:after="0"/>
              <w:rPr>
                <w:sz w:val="6"/>
                <w:szCs w:val="6"/>
                <w:color w:val="auto"/>
              </w:rPr>
            </w:pPr>
          </w:p>
        </w:tc>
        <w:tc>
          <w:tcPr>
            <w:tcW w:w="6020" w:type="dxa"/>
            <w:vAlign w:val="bottom"/>
          </w:tcPr>
          <w:p>
            <w:pPr>
              <w:spacing w:after="0"/>
              <w:rPr>
                <w:sz w:val="6"/>
                <w:szCs w:val="6"/>
                <w:color w:val="auto"/>
              </w:rPr>
            </w:pPr>
          </w:p>
        </w:tc>
      </w:tr>
      <w:tr>
        <w:trPr>
          <w:trHeight w:val="275"/>
        </w:trPr>
        <w:tc>
          <w:tcPr>
            <w:tcW w:w="4760" w:type="dxa"/>
            <w:vAlign w:val="bottom"/>
          </w:tcPr>
          <w:p>
            <w:pPr>
              <w:ind w:left="240"/>
              <w:spacing w:after="0"/>
              <w:rPr>
                <w:sz w:val="20"/>
                <w:szCs w:val="20"/>
                <w:color w:val="auto"/>
              </w:rPr>
            </w:pPr>
            <w:r>
              <w:rPr>
                <w:rFonts w:ascii="Arial" w:cs="Arial" w:eastAsia="Arial" w:hAnsi="Arial"/>
                <w:sz w:val="16"/>
                <w:szCs w:val="16"/>
                <w:color w:val="auto"/>
              </w:rPr>
              <w:t>Pay Versus Performance</w:t>
            </w:r>
          </w:p>
        </w:tc>
        <w:tc>
          <w:tcPr>
            <w:tcW w:w="460" w:type="dxa"/>
            <w:vAlign w:val="bottom"/>
          </w:tcPr>
          <w:p>
            <w:pPr>
              <w:jc w:val="right"/>
              <w:spacing w:after="0"/>
              <w:rPr>
                <w:sz w:val="20"/>
                <w:szCs w:val="20"/>
                <w:color w:val="auto"/>
              </w:rPr>
            </w:pPr>
            <w:r>
              <w:rPr>
                <w:rFonts w:ascii="Arial" w:cs="Arial" w:eastAsia="Arial" w:hAnsi="Arial"/>
                <w:sz w:val="16"/>
                <w:szCs w:val="16"/>
                <w:color w:val="auto"/>
              </w:rPr>
              <w:t>68</w:t>
            </w:r>
          </w:p>
        </w:tc>
        <w:tc>
          <w:tcPr>
            <w:tcW w:w="6020" w:type="dxa"/>
            <w:vAlign w:val="bottom"/>
          </w:tcPr>
          <w:p>
            <w:pPr>
              <w:spacing w:after="0"/>
              <w:rPr>
                <w:sz w:val="23"/>
                <w:szCs w:val="23"/>
                <w:color w:val="auto"/>
              </w:rPr>
            </w:pPr>
          </w:p>
        </w:tc>
      </w:tr>
      <w:tr>
        <w:trPr>
          <w:trHeight w:val="69"/>
        </w:trPr>
        <w:tc>
          <w:tcPr>
            <w:tcW w:w="4760" w:type="dxa"/>
            <w:vAlign w:val="bottom"/>
            <w:tcBorders>
              <w:bottom w:val="single" w:sz="8" w:color="D9D9D9"/>
            </w:tcBorders>
          </w:tcPr>
          <w:p>
            <w:pPr>
              <w:spacing w:after="0"/>
              <w:rPr>
                <w:sz w:val="6"/>
                <w:szCs w:val="6"/>
                <w:color w:val="auto"/>
              </w:rPr>
            </w:pPr>
          </w:p>
        </w:tc>
        <w:tc>
          <w:tcPr>
            <w:tcW w:w="460" w:type="dxa"/>
            <w:vAlign w:val="bottom"/>
            <w:tcBorders>
              <w:bottom w:val="single" w:sz="8" w:color="D9D9D9"/>
            </w:tcBorders>
          </w:tcPr>
          <w:p>
            <w:pPr>
              <w:spacing w:after="0"/>
              <w:rPr>
                <w:sz w:val="6"/>
                <w:szCs w:val="6"/>
                <w:color w:val="auto"/>
              </w:rPr>
            </w:pPr>
          </w:p>
        </w:tc>
        <w:tc>
          <w:tcPr>
            <w:tcW w:w="6020" w:type="dxa"/>
            <w:vAlign w:val="bottom"/>
          </w:tcPr>
          <w:p>
            <w:pPr>
              <w:spacing w:after="0"/>
              <w:rPr>
                <w:sz w:val="6"/>
                <w:szCs w:val="6"/>
                <w:color w:val="auto"/>
              </w:rPr>
            </w:pPr>
          </w:p>
        </w:tc>
      </w:tr>
      <w:tr>
        <w:trPr>
          <w:trHeight w:val="275"/>
        </w:trPr>
        <w:tc>
          <w:tcPr>
            <w:tcW w:w="4760" w:type="dxa"/>
            <w:vAlign w:val="bottom"/>
          </w:tcPr>
          <w:p>
            <w:pPr>
              <w:ind w:left="240"/>
              <w:spacing w:after="0"/>
              <w:rPr>
                <w:sz w:val="20"/>
                <w:szCs w:val="20"/>
                <w:color w:val="auto"/>
              </w:rPr>
            </w:pPr>
            <w:r>
              <w:rPr>
                <w:rFonts w:ascii="Arial" w:cs="Arial" w:eastAsia="Arial" w:hAnsi="Arial"/>
                <w:sz w:val="16"/>
                <w:szCs w:val="16"/>
                <w:color w:val="auto"/>
              </w:rPr>
              <w:t>Policies and Practices for Granting Certain Equity Awards</w:t>
            </w:r>
          </w:p>
        </w:tc>
        <w:tc>
          <w:tcPr>
            <w:tcW w:w="460" w:type="dxa"/>
            <w:vAlign w:val="bottom"/>
          </w:tcPr>
          <w:p>
            <w:pPr>
              <w:jc w:val="right"/>
              <w:spacing w:after="0"/>
              <w:rPr>
                <w:sz w:val="20"/>
                <w:szCs w:val="20"/>
                <w:color w:val="auto"/>
              </w:rPr>
            </w:pPr>
            <w:r>
              <w:rPr>
                <w:rFonts w:ascii="Arial" w:cs="Arial" w:eastAsia="Arial" w:hAnsi="Arial"/>
                <w:sz w:val="16"/>
                <w:szCs w:val="16"/>
                <w:color w:val="auto"/>
              </w:rPr>
              <w:t>72</w:t>
            </w:r>
          </w:p>
        </w:tc>
        <w:tc>
          <w:tcPr>
            <w:tcW w:w="6020" w:type="dxa"/>
            <w:vAlign w:val="bottom"/>
          </w:tcPr>
          <w:p>
            <w:pPr>
              <w:spacing w:after="0"/>
              <w:rPr>
                <w:sz w:val="23"/>
                <w:szCs w:val="23"/>
                <w:color w:val="auto"/>
              </w:rPr>
            </w:pPr>
          </w:p>
        </w:tc>
      </w:tr>
      <w:tr>
        <w:trPr>
          <w:trHeight w:val="70"/>
        </w:trPr>
        <w:tc>
          <w:tcPr>
            <w:tcW w:w="4760" w:type="dxa"/>
            <w:vAlign w:val="bottom"/>
            <w:tcBorders>
              <w:bottom w:val="single" w:sz="8" w:color="D9D9D9"/>
            </w:tcBorders>
          </w:tcPr>
          <w:p>
            <w:pPr>
              <w:spacing w:after="0"/>
              <w:rPr>
                <w:sz w:val="6"/>
                <w:szCs w:val="6"/>
                <w:color w:val="auto"/>
              </w:rPr>
            </w:pPr>
          </w:p>
        </w:tc>
        <w:tc>
          <w:tcPr>
            <w:tcW w:w="460" w:type="dxa"/>
            <w:vAlign w:val="bottom"/>
            <w:tcBorders>
              <w:bottom w:val="single" w:sz="8" w:color="D9D9D9"/>
            </w:tcBorders>
          </w:tcPr>
          <w:p>
            <w:pPr>
              <w:spacing w:after="0"/>
              <w:rPr>
                <w:sz w:val="6"/>
                <w:szCs w:val="6"/>
                <w:color w:val="auto"/>
              </w:rPr>
            </w:pPr>
          </w:p>
        </w:tc>
        <w:tc>
          <w:tcPr>
            <w:tcW w:w="6020" w:type="dxa"/>
            <w:vAlign w:val="bottom"/>
          </w:tcPr>
          <w:p>
            <w:pPr>
              <w:spacing w:after="0"/>
              <w:rPr>
                <w:sz w:val="6"/>
                <w:szCs w:val="6"/>
                <w:color w:val="auto"/>
              </w:rPr>
            </w:pPr>
          </w:p>
        </w:tc>
      </w:tr>
      <w:tr>
        <w:trPr>
          <w:trHeight w:val="836"/>
        </w:trPr>
        <w:tc>
          <w:tcPr>
            <w:tcW w:w="4760" w:type="dxa"/>
            <w:vAlign w:val="bottom"/>
          </w:tcPr>
          <w:p>
            <w:pPr>
              <w:ind w:left="20"/>
              <w:spacing w:after="0"/>
              <w:rPr>
                <w:sz w:val="20"/>
                <w:szCs w:val="20"/>
                <w:color w:val="auto"/>
              </w:rPr>
            </w:pPr>
            <w:r>
              <w:rPr>
                <w:rFonts w:ascii="Arial" w:cs="Arial" w:eastAsia="Arial" w:hAnsi="Arial"/>
                <w:sz w:val="13"/>
                <w:szCs w:val="13"/>
                <w:b w:val="1"/>
                <w:bCs w:val="1"/>
                <w:color w:val="auto"/>
              </w:rPr>
              <w:t>46</w:t>
            </w:r>
          </w:p>
        </w:tc>
        <w:tc>
          <w:tcPr>
            <w:tcW w:w="460" w:type="dxa"/>
            <w:vAlign w:val="bottom"/>
          </w:tcPr>
          <w:p>
            <w:pPr>
              <w:spacing w:after="0"/>
              <w:rPr>
                <w:sz w:val="24"/>
                <w:szCs w:val="24"/>
                <w:color w:val="auto"/>
              </w:rPr>
            </w:pPr>
          </w:p>
        </w:tc>
        <w:tc>
          <w:tcPr>
            <w:tcW w:w="6020" w:type="dxa"/>
            <w:vAlign w:val="bottom"/>
          </w:tcPr>
          <w:p>
            <w:pPr>
              <w:ind w:left="4760"/>
              <w:spacing w:after="0"/>
              <w:rPr>
                <w:sz w:val="20"/>
                <w:szCs w:val="20"/>
                <w:color w:val="auto"/>
              </w:rPr>
            </w:pPr>
            <w:r>
              <w:rPr>
                <w:rFonts w:ascii="Arial" w:cs="Arial" w:eastAsia="Arial" w:hAnsi="Arial"/>
                <w:sz w:val="13"/>
                <w:szCs w:val="13"/>
                <w:b w:val="1"/>
                <w:bCs w:val="1"/>
                <w:color w:val="FF7F32"/>
                <w:w w:val="96"/>
              </w:rPr>
              <w:t xml:space="preserve">2026 </w:t>
            </w:r>
            <w:r>
              <w:rPr>
                <w:rFonts w:ascii="Arial" w:cs="Arial" w:eastAsia="Arial" w:hAnsi="Arial"/>
                <w:sz w:val="13"/>
                <w:szCs w:val="13"/>
                <w:color w:val="000000"/>
                <w:w w:val="96"/>
              </w:rPr>
              <w:t>Proxy Statement</w:t>
            </w:r>
          </w:p>
        </w:tc>
      </w:tr>
      <w:tr>
        <w:trPr>
          <w:trHeight w:val="420"/>
        </w:trPr>
        <w:tc>
          <w:tcPr>
            <w:tcW w:w="47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-496570</wp:posOffset>
            </wp:positionV>
            <wp:extent cx="925830" cy="26543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925830" cy="265430"/>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9" w:name="page50"/>
    <w:bookmarkEnd w:id="49"/>
    <w:p>
      <w:pPr>
        <w:spacing w:after="0"/>
        <w:rPr>
          <w:sz w:val="20"/>
          <w:szCs w:val="20"/>
          <w:color w:val="auto"/>
        </w:rPr>
      </w:pPr>
      <w:r>
        <w:rPr>
          <w:rFonts w:ascii="Arial" w:cs="Arial" w:eastAsia="Arial" w:hAnsi="Arial"/>
          <w:sz w:val="13"/>
          <w:szCs w:val="13"/>
          <w:color w:val="202945"/>
        </w:rPr>
        <w:t>Compensation Discussion &amp;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32"/>
          <w:szCs w:val="32"/>
          <w:b w:val="1"/>
          <w:bCs w:val="1"/>
          <w:color w:val="202945"/>
        </w:rPr>
        <w:t>CD&amp;A At-A-Glance</w:t>
      </w:r>
    </w:p>
    <w:p>
      <w:pPr>
        <w:spacing w:after="0" w:line="357" w:lineRule="exact"/>
        <w:rPr>
          <w:sz w:val="20"/>
          <w:szCs w:val="20"/>
          <w:color w:val="auto"/>
        </w:rPr>
      </w:pPr>
    </w:p>
    <w:p>
      <w:pPr>
        <w:spacing w:after="0"/>
        <w:rPr>
          <w:sz w:val="20"/>
          <w:szCs w:val="20"/>
          <w:color w:val="auto"/>
        </w:rPr>
      </w:pPr>
      <w:r>
        <w:rPr>
          <w:rFonts w:ascii="Arial" w:cs="Arial" w:eastAsia="Arial" w:hAnsi="Arial"/>
          <w:sz w:val="29"/>
          <w:szCs w:val="29"/>
          <w:b w:val="1"/>
          <w:bCs w:val="1"/>
          <w:color w:val="FF7F32"/>
        </w:rPr>
        <w:t>Fiscal Year 2025 Compensation Highlights</w:t>
      </w:r>
    </w:p>
    <w:p>
      <w:pPr>
        <w:spacing w:after="0" w:line="335" w:lineRule="exact"/>
        <w:rPr>
          <w:sz w:val="20"/>
          <w:szCs w:val="20"/>
          <w:color w:val="auto"/>
        </w:rPr>
      </w:pPr>
    </w:p>
    <w:p>
      <w:pPr>
        <w:spacing w:after="0"/>
        <w:rPr>
          <w:sz w:val="20"/>
          <w:szCs w:val="20"/>
          <w:color w:val="auto"/>
        </w:rPr>
      </w:pPr>
      <w:r>
        <w:rPr>
          <w:rFonts w:ascii="Arial" w:cs="Arial" w:eastAsia="Arial" w:hAnsi="Arial"/>
          <w:sz w:val="27"/>
          <w:szCs w:val="27"/>
          <w:color w:val="202945"/>
        </w:rPr>
        <w:t>Elements of Compensation</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our NEO compensation program are summarized in the below table, and more detailed discussions of each component follow:</w:t>
      </w:r>
    </w:p>
    <w:p>
      <w:pPr>
        <w:spacing w:after="0" w:line="266" w:lineRule="exact"/>
        <w:rPr>
          <w:sz w:val="20"/>
          <w:szCs w:val="20"/>
          <w:color w:val="auto"/>
        </w:rPr>
      </w:pPr>
    </w:p>
    <w:p>
      <w:pPr>
        <w:ind w:left="620"/>
        <w:spacing w:after="0"/>
        <w:tabs>
          <w:tab w:leader="none" w:pos="2620" w:val="left"/>
          <w:tab w:leader="none" w:pos="5480" w:val="left"/>
          <w:tab w:leader="none" w:pos="8340" w:val="left"/>
        </w:tabs>
        <w:rPr>
          <w:sz w:val="20"/>
          <w:szCs w:val="20"/>
          <w:color w:val="auto"/>
        </w:rPr>
      </w:pPr>
      <w:r>
        <w:rPr>
          <w:rFonts w:ascii="Arial" w:cs="Arial" w:eastAsia="Arial" w:hAnsi="Arial"/>
          <w:sz w:val="14"/>
          <w:szCs w:val="14"/>
          <w:b w:val="1"/>
          <w:bCs w:val="1"/>
          <w:color w:val="404040"/>
        </w:rPr>
        <w:t>Element</w:t>
      </w:r>
      <w:r>
        <w:rPr>
          <w:sz w:val="20"/>
          <w:szCs w:val="20"/>
          <w:color w:val="auto"/>
        </w:rPr>
        <w:tab/>
      </w:r>
      <w:r>
        <w:rPr>
          <w:rFonts w:ascii="Arial" w:cs="Arial" w:eastAsia="Arial" w:hAnsi="Arial"/>
          <w:sz w:val="14"/>
          <w:szCs w:val="14"/>
          <w:b w:val="1"/>
          <w:bCs w:val="1"/>
          <w:color w:val="404040"/>
        </w:rPr>
        <w:t>Key Characteristics</w:t>
      </w:r>
      <w:r>
        <w:rPr>
          <w:sz w:val="20"/>
          <w:szCs w:val="20"/>
          <w:color w:val="auto"/>
        </w:rPr>
        <w:tab/>
      </w:r>
      <w:r>
        <w:rPr>
          <w:rFonts w:ascii="Arial" w:cs="Arial" w:eastAsia="Arial" w:hAnsi="Arial"/>
          <w:sz w:val="14"/>
          <w:szCs w:val="14"/>
          <w:b w:val="1"/>
          <w:bCs w:val="1"/>
          <w:color w:val="404040"/>
        </w:rPr>
        <w:t>Why We Pay this Element</w:t>
      </w:r>
      <w:r>
        <w:rPr>
          <w:sz w:val="20"/>
          <w:szCs w:val="20"/>
          <w:color w:val="auto"/>
        </w:rPr>
        <w:tab/>
      </w:r>
      <w:r>
        <w:rPr>
          <w:rFonts w:ascii="Arial" w:cs="Arial" w:eastAsia="Arial" w:hAnsi="Arial"/>
          <w:sz w:val="14"/>
          <w:szCs w:val="14"/>
          <w:b w:val="1"/>
          <w:bCs w:val="1"/>
          <w:color w:val="404040"/>
        </w:rPr>
        <w:t>How We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123430" cy="48774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23430" cy="487743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p>
      <w:pPr>
        <w:spacing w:after="0" w:line="266" w:lineRule="exact"/>
        <w:rPr>
          <w:sz w:val="20"/>
          <w:szCs w:val="20"/>
          <w:color w:val="auto"/>
        </w:rPr>
      </w:pPr>
    </w:p>
    <w:p>
      <w:pPr>
        <w:ind w:left="620"/>
        <w:spacing w:after="0"/>
        <w:tabs>
          <w:tab w:leader="none" w:pos="2620" w:val="left"/>
        </w:tabs>
        <w:rPr>
          <w:sz w:val="20"/>
          <w:szCs w:val="20"/>
          <w:color w:val="auto"/>
        </w:rPr>
      </w:pPr>
      <w:r>
        <w:rPr>
          <w:rFonts w:ascii="Arial" w:cs="Arial" w:eastAsia="Arial" w:hAnsi="Arial"/>
          <w:sz w:val="16"/>
          <w:szCs w:val="16"/>
          <w:b w:val="1"/>
          <w:bCs w:val="1"/>
          <w:color w:val="63656A"/>
        </w:rPr>
        <w:t>Base Salary</w:t>
      </w:r>
      <w:r>
        <w:rPr>
          <w:sz w:val="20"/>
          <w:szCs w:val="20"/>
          <w:color w:val="auto"/>
        </w:rPr>
        <w:tab/>
      </w:r>
      <w:r>
        <w:rPr>
          <w:rFonts w:ascii="Arial" w:cs="Arial" w:eastAsia="Arial" w:hAnsi="Arial"/>
          <w:sz w:val="16"/>
          <w:szCs w:val="16"/>
          <w:b w:val="1"/>
          <w:bCs w:val="1"/>
          <w:color w:val="FF7F32"/>
        </w:rPr>
        <w:t xml:space="preserve">•  </w:t>
      </w:r>
      <w:r>
        <w:rPr>
          <w:rFonts w:ascii="Arial" w:cs="Arial" w:eastAsia="Arial" w:hAnsi="Arial"/>
          <w:sz w:val="16"/>
          <w:szCs w:val="16"/>
          <w:color w:val="000000"/>
        </w:rPr>
        <w:t>Fixed compensation component</w:t>
      </w:r>
    </w:p>
    <w:p>
      <w:pPr>
        <w:spacing w:after="0" w:line="59" w:lineRule="exact"/>
        <w:rPr>
          <w:sz w:val="20"/>
          <w:szCs w:val="20"/>
          <w:color w:val="auto"/>
        </w:rPr>
      </w:pPr>
    </w:p>
    <w:p>
      <w:pPr>
        <w:ind w:left="2820"/>
        <w:spacing w:after="0"/>
        <w:rPr>
          <w:sz w:val="20"/>
          <w:szCs w:val="20"/>
          <w:color w:val="auto"/>
        </w:rPr>
      </w:pPr>
      <w:r>
        <w:rPr>
          <w:rFonts w:ascii="Arial" w:cs="Arial" w:eastAsia="Arial" w:hAnsi="Arial"/>
          <w:sz w:val="16"/>
          <w:szCs w:val="16"/>
          <w:color w:val="auto"/>
        </w:rPr>
        <w:t>payable in cash. Reviewed</w:t>
      </w:r>
    </w:p>
    <w:p>
      <w:pPr>
        <w:spacing w:after="0" w:line="59" w:lineRule="exact"/>
        <w:rPr>
          <w:sz w:val="20"/>
          <w:szCs w:val="20"/>
          <w:color w:val="auto"/>
        </w:rPr>
      </w:pPr>
    </w:p>
    <w:p>
      <w:pPr>
        <w:ind w:left="2820"/>
        <w:spacing w:after="0"/>
        <w:rPr>
          <w:sz w:val="20"/>
          <w:szCs w:val="20"/>
          <w:color w:val="auto"/>
        </w:rPr>
      </w:pPr>
      <w:r>
        <w:rPr>
          <w:rFonts w:ascii="Arial" w:cs="Arial" w:eastAsia="Arial" w:hAnsi="Arial"/>
          <w:sz w:val="16"/>
          <w:szCs w:val="16"/>
          <w:color w:val="auto"/>
        </w:rPr>
        <w:t>annually and adjusted</w:t>
      </w:r>
    </w:p>
    <w:p>
      <w:pPr>
        <w:spacing w:after="0" w:line="59" w:lineRule="exact"/>
        <w:rPr>
          <w:sz w:val="20"/>
          <w:szCs w:val="20"/>
          <w:color w:val="auto"/>
        </w:rPr>
      </w:pPr>
    </w:p>
    <w:p>
      <w:pPr>
        <w:ind w:left="2820"/>
        <w:spacing w:after="0"/>
        <w:rPr>
          <w:sz w:val="20"/>
          <w:szCs w:val="20"/>
          <w:color w:val="auto"/>
        </w:rPr>
      </w:pPr>
      <w:r>
        <w:rPr>
          <w:rFonts w:ascii="Arial" w:cs="Arial" w:eastAsia="Arial" w:hAnsi="Arial"/>
          <w:sz w:val="16"/>
          <w:szCs w:val="16"/>
          <w:color w:val="auto"/>
        </w:rPr>
        <w:t>when appropriate.</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left="186" w:hanging="186"/>
        <w:spacing w:after="0" w:line="336" w:lineRule="auto"/>
        <w:tabs>
          <w:tab w:leader="none" w:pos="170" w:val="left"/>
        </w:tabs>
        <w:numPr>
          <w:ilvl w:val="0"/>
          <w:numId w:val="55"/>
        </w:numPr>
        <w:rPr>
          <w:rFonts w:ascii="Arial" w:cs="Arial" w:eastAsia="Arial" w:hAnsi="Arial"/>
          <w:sz w:val="16"/>
          <w:szCs w:val="16"/>
          <w:b w:val="1"/>
          <w:bCs w:val="1"/>
          <w:color w:val="FF7F32"/>
        </w:rPr>
      </w:pPr>
      <w:r>
        <w:rPr>
          <w:rFonts w:ascii="Arial" w:cs="Arial" w:eastAsia="Arial" w:hAnsi="Arial"/>
          <w:sz w:val="16"/>
          <w:szCs w:val="16"/>
          <w:color w:val="auto"/>
        </w:rPr>
        <w:t>Provide a base level of competitive cash compensation for executive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-3105785</wp:posOffset>
            </wp:positionH>
            <wp:positionV relativeFrom="paragraph">
              <wp:posOffset>186690</wp:posOffset>
            </wp:positionV>
            <wp:extent cx="674624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7462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left="191" w:right="740" w:hanging="191"/>
        <w:spacing w:after="0" w:line="356" w:lineRule="auto"/>
        <w:tabs>
          <w:tab w:leader="none" w:pos="174" w:val="left"/>
        </w:tabs>
        <w:numPr>
          <w:ilvl w:val="0"/>
          <w:numId w:val="56"/>
        </w:numPr>
        <w:rPr>
          <w:rFonts w:ascii="Arial" w:cs="Arial" w:eastAsia="Arial" w:hAnsi="Arial"/>
          <w:sz w:val="16"/>
          <w:szCs w:val="16"/>
          <w:b w:val="1"/>
          <w:bCs w:val="1"/>
          <w:color w:val="FF7F32"/>
        </w:rPr>
      </w:pPr>
      <w:r>
        <w:rPr>
          <w:rFonts w:ascii="Arial" w:cs="Arial" w:eastAsia="Arial" w:hAnsi="Arial"/>
          <w:sz w:val="16"/>
          <w:szCs w:val="16"/>
          <w:color w:val="auto"/>
        </w:rPr>
        <w:t>Experience, job scope, and individual performance.</w:t>
      </w:r>
    </w:p>
    <w:p>
      <w:pPr>
        <w:spacing w:after="0" w:line="48" w:lineRule="exact"/>
        <w:rPr>
          <w:rFonts w:ascii="Arial" w:cs="Arial" w:eastAsia="Arial" w:hAnsi="Arial"/>
          <w:sz w:val="16"/>
          <w:szCs w:val="16"/>
          <w:b w:val="1"/>
          <w:bCs w:val="1"/>
          <w:color w:val="FF7F32"/>
        </w:rPr>
      </w:pPr>
    </w:p>
    <w:p>
      <w:pPr>
        <w:ind w:left="171" w:hanging="171"/>
        <w:spacing w:after="0"/>
        <w:tabs>
          <w:tab w:leader="none" w:pos="171" w:val="left"/>
        </w:tabs>
        <w:numPr>
          <w:ilvl w:val="0"/>
          <w:numId w:val="56"/>
        </w:numPr>
        <w:rPr>
          <w:rFonts w:ascii="Arial" w:cs="Arial" w:eastAsia="Arial" w:hAnsi="Arial"/>
          <w:sz w:val="16"/>
          <w:szCs w:val="16"/>
          <w:b w:val="1"/>
          <w:bCs w:val="1"/>
          <w:color w:val="FF7F32"/>
        </w:rPr>
      </w:pPr>
      <w:r>
        <w:rPr>
          <w:rFonts w:ascii="Arial" w:cs="Arial" w:eastAsia="Arial" w:hAnsi="Arial"/>
          <w:sz w:val="16"/>
          <w:szCs w:val="16"/>
          <w:color w:val="auto"/>
        </w:rPr>
        <w:t>Market and peer data.</w:t>
      </w:r>
    </w:p>
    <w:p>
      <w:pPr>
        <w:spacing w:after="0" w:line="335" w:lineRule="exact"/>
        <w:rPr>
          <w:sz w:val="20"/>
          <w:szCs w:val="20"/>
          <w:color w:val="auto"/>
        </w:rPr>
      </w:pPr>
    </w:p>
    <w:p>
      <w:pPr>
        <w:sectPr>
          <w:pgSz w:w="11900" w:h="16838" w:orient="portrait"/>
          <w:cols w:equalWidth="0" w:num="3">
            <w:col w:w="5100" w:space="394"/>
            <w:col w:w="2686" w:space="189"/>
            <w:col w:w="2871"/>
          </w:cols>
          <w:pgMar w:left="320" w:top="257" w:right="339" w:bottom="1440" w:gutter="0" w:footer="0" w:header="0"/>
          <w:type w:val="continuous"/>
        </w:sectPr>
      </w:pPr>
    </w:p>
    <w:p>
      <w:pPr>
        <w:spacing w:after="0" w:line="89" w:lineRule="exact"/>
        <w:rPr>
          <w:sz w:val="20"/>
          <w:szCs w:val="20"/>
          <w:color w:val="auto"/>
        </w:rPr>
      </w:pPr>
    </w:p>
    <w:p>
      <w:pPr>
        <w:ind w:left="620"/>
        <w:spacing w:after="0"/>
        <w:tabs>
          <w:tab w:leader="none" w:pos="2620" w:val="left"/>
        </w:tabs>
        <w:rPr>
          <w:sz w:val="20"/>
          <w:szCs w:val="20"/>
          <w:color w:val="auto"/>
        </w:rPr>
      </w:pPr>
      <w:r>
        <w:rPr>
          <w:rFonts w:ascii="Arial" w:cs="Arial" w:eastAsia="Arial" w:hAnsi="Arial"/>
          <w:sz w:val="16"/>
          <w:szCs w:val="16"/>
          <w:b w:val="1"/>
          <w:bCs w:val="1"/>
          <w:color w:val="E04F39"/>
        </w:rPr>
        <w:t>Annual Bonus</w:t>
      </w:r>
      <w:r>
        <w:rPr>
          <w:sz w:val="20"/>
          <w:szCs w:val="20"/>
          <w:color w:val="auto"/>
        </w:rPr>
        <w:tab/>
      </w:r>
      <w:r>
        <w:rPr>
          <w:rFonts w:ascii="Arial" w:cs="Arial" w:eastAsia="Arial" w:hAnsi="Arial"/>
          <w:sz w:val="16"/>
          <w:szCs w:val="16"/>
          <w:b w:val="1"/>
          <w:bCs w:val="1"/>
          <w:color w:val="FF7F32"/>
        </w:rPr>
        <w:t xml:space="preserve">•  </w:t>
      </w:r>
      <w:r>
        <w:rPr>
          <w:rFonts w:ascii="Arial" w:cs="Arial" w:eastAsia="Arial" w:hAnsi="Arial"/>
          <w:sz w:val="16"/>
          <w:szCs w:val="16"/>
          <w:color w:val="000000"/>
        </w:rPr>
        <w:t>Variable compensation component</w:t>
      </w:r>
    </w:p>
    <w:p>
      <w:pPr>
        <w:spacing w:after="0" w:line="59" w:lineRule="exact"/>
        <w:rPr>
          <w:sz w:val="20"/>
          <w:szCs w:val="20"/>
          <w:color w:val="auto"/>
        </w:rPr>
      </w:pPr>
    </w:p>
    <w:p>
      <w:pPr>
        <w:ind w:left="2820"/>
        <w:spacing w:after="0"/>
        <w:rPr>
          <w:sz w:val="20"/>
          <w:szCs w:val="20"/>
          <w:color w:val="auto"/>
        </w:rPr>
      </w:pPr>
      <w:r>
        <w:rPr>
          <w:rFonts w:ascii="Arial" w:cs="Arial" w:eastAsia="Arial" w:hAnsi="Arial"/>
          <w:sz w:val="16"/>
          <w:szCs w:val="16"/>
          <w:color w:val="auto"/>
        </w:rPr>
        <w:t>payable in cash based on</w:t>
      </w:r>
    </w:p>
    <w:p>
      <w:pPr>
        <w:spacing w:after="0" w:line="59" w:lineRule="exact"/>
        <w:rPr>
          <w:sz w:val="20"/>
          <w:szCs w:val="20"/>
          <w:color w:val="auto"/>
        </w:rPr>
      </w:pPr>
    </w:p>
    <w:p>
      <w:pPr>
        <w:ind w:left="2820"/>
        <w:spacing w:after="0"/>
        <w:rPr>
          <w:sz w:val="20"/>
          <w:szCs w:val="20"/>
          <w:color w:val="auto"/>
        </w:rPr>
      </w:pPr>
      <w:r>
        <w:rPr>
          <w:rFonts w:ascii="Arial" w:cs="Arial" w:eastAsia="Arial" w:hAnsi="Arial"/>
          <w:sz w:val="16"/>
          <w:szCs w:val="16"/>
          <w:color w:val="auto"/>
        </w:rPr>
        <w:t>performance as compared to</w:t>
      </w:r>
    </w:p>
    <w:p>
      <w:pPr>
        <w:spacing w:after="0" w:line="59" w:lineRule="exact"/>
        <w:rPr>
          <w:sz w:val="20"/>
          <w:szCs w:val="20"/>
          <w:color w:val="auto"/>
        </w:rPr>
      </w:pPr>
    </w:p>
    <w:p>
      <w:pPr>
        <w:ind w:left="2820"/>
        <w:spacing w:after="0"/>
        <w:rPr>
          <w:sz w:val="20"/>
          <w:szCs w:val="20"/>
          <w:color w:val="auto"/>
        </w:rPr>
      </w:pPr>
      <w:r>
        <w:rPr>
          <w:rFonts w:ascii="Arial" w:cs="Arial" w:eastAsia="Arial" w:hAnsi="Arial"/>
          <w:sz w:val="16"/>
          <w:szCs w:val="16"/>
          <w:color w:val="auto"/>
        </w:rPr>
        <w:t>Company and/or individual</w:t>
      </w:r>
    </w:p>
    <w:p>
      <w:pPr>
        <w:spacing w:after="0" w:line="73" w:lineRule="exact"/>
        <w:rPr>
          <w:sz w:val="20"/>
          <w:szCs w:val="20"/>
          <w:color w:val="auto"/>
        </w:rPr>
      </w:pPr>
    </w:p>
    <w:p>
      <w:pPr>
        <w:ind w:left="2820"/>
        <w:spacing w:after="0"/>
        <w:rPr>
          <w:sz w:val="20"/>
          <w:szCs w:val="20"/>
          <w:color w:val="auto"/>
        </w:rPr>
      </w:pPr>
      <w:r>
        <w:rPr>
          <w:rFonts w:ascii="Arial" w:cs="Arial" w:eastAsia="Arial" w:hAnsi="Arial"/>
          <w:sz w:val="16"/>
          <w:szCs w:val="16"/>
          <w:color w:val="auto"/>
        </w:rPr>
        <w:t>performance goals.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left="186" w:hanging="186"/>
        <w:spacing w:after="0" w:line="330" w:lineRule="auto"/>
        <w:tabs>
          <w:tab w:leader="none" w:pos="170" w:val="left"/>
        </w:tabs>
        <w:numPr>
          <w:ilvl w:val="0"/>
          <w:numId w:val="57"/>
        </w:numPr>
        <w:rPr>
          <w:rFonts w:ascii="Arial" w:cs="Arial" w:eastAsia="Arial" w:hAnsi="Arial"/>
          <w:sz w:val="16"/>
          <w:szCs w:val="16"/>
          <w:b w:val="1"/>
          <w:bCs w:val="1"/>
          <w:color w:val="FF7F32"/>
        </w:rPr>
      </w:pPr>
      <w:r>
        <w:rPr>
          <w:rFonts w:ascii="Arial" w:cs="Arial" w:eastAsia="Arial" w:hAnsi="Arial"/>
          <w:sz w:val="16"/>
          <w:szCs w:val="16"/>
          <w:color w:val="auto"/>
        </w:rPr>
        <w:t>Motivate and reward executives for performance on key operational, financial, and personal measures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-3105785</wp:posOffset>
            </wp:positionH>
            <wp:positionV relativeFrom="paragraph">
              <wp:posOffset>1363980</wp:posOffset>
            </wp:positionV>
            <wp:extent cx="674624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7462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left="191" w:right="80" w:hanging="191"/>
        <w:spacing w:after="0" w:line="316" w:lineRule="auto"/>
        <w:tabs>
          <w:tab w:leader="none" w:pos="174" w:val="left"/>
        </w:tabs>
        <w:numPr>
          <w:ilvl w:val="0"/>
          <w:numId w:val="58"/>
        </w:numPr>
        <w:rPr>
          <w:rFonts w:ascii="Arial" w:cs="Arial" w:eastAsia="Arial" w:hAnsi="Arial"/>
          <w:sz w:val="16"/>
          <w:szCs w:val="16"/>
          <w:b w:val="1"/>
          <w:bCs w:val="1"/>
          <w:color w:val="FF7F32"/>
        </w:rPr>
      </w:pPr>
      <w:r>
        <w:rPr>
          <w:rFonts w:ascii="Arial" w:cs="Arial" w:eastAsia="Arial" w:hAnsi="Arial"/>
          <w:sz w:val="16"/>
          <w:szCs w:val="16"/>
          <w:color w:val="auto"/>
        </w:rPr>
        <w:t>Organizational and/or individual performance. Discretionary bonuses are based on various</w:t>
      </w:r>
    </w:p>
    <w:p>
      <w:pPr>
        <w:spacing w:after="0" w:line="2" w:lineRule="exact"/>
        <w:rPr>
          <w:rFonts w:ascii="Arial" w:cs="Arial" w:eastAsia="Arial" w:hAnsi="Arial"/>
          <w:sz w:val="16"/>
          <w:szCs w:val="16"/>
          <w:b w:val="1"/>
          <w:bCs w:val="1"/>
          <w:color w:val="FF7F32"/>
        </w:rPr>
      </w:pPr>
    </w:p>
    <w:p>
      <w:pPr>
        <w:ind w:left="191"/>
        <w:spacing w:after="0"/>
        <w:rPr>
          <w:rFonts w:ascii="Arial" w:cs="Arial" w:eastAsia="Arial" w:hAnsi="Arial"/>
          <w:sz w:val="16"/>
          <w:szCs w:val="16"/>
          <w:b w:val="1"/>
          <w:bCs w:val="1"/>
          <w:color w:val="FF7F32"/>
        </w:rPr>
      </w:pPr>
      <w:r>
        <w:rPr>
          <w:rFonts w:ascii="Arial" w:cs="Arial" w:eastAsia="Arial" w:hAnsi="Arial"/>
          <w:sz w:val="16"/>
          <w:szCs w:val="16"/>
          <w:color w:val="auto"/>
        </w:rPr>
        <w:t>factors, including past performance.</w:t>
      </w:r>
    </w:p>
    <w:p>
      <w:pPr>
        <w:spacing w:after="0" w:line="140" w:lineRule="exact"/>
        <w:rPr>
          <w:rFonts w:ascii="Arial" w:cs="Arial" w:eastAsia="Arial" w:hAnsi="Arial"/>
          <w:sz w:val="16"/>
          <w:szCs w:val="16"/>
          <w:b w:val="1"/>
          <w:bCs w:val="1"/>
          <w:color w:val="FF7F32"/>
        </w:rPr>
      </w:pPr>
    </w:p>
    <w:p>
      <w:pPr>
        <w:ind w:left="171" w:hanging="171"/>
        <w:spacing w:after="0"/>
        <w:tabs>
          <w:tab w:leader="none" w:pos="171" w:val="left"/>
        </w:tabs>
        <w:numPr>
          <w:ilvl w:val="0"/>
          <w:numId w:val="58"/>
        </w:numPr>
        <w:rPr>
          <w:rFonts w:ascii="Arial" w:cs="Arial" w:eastAsia="Arial" w:hAnsi="Arial"/>
          <w:sz w:val="16"/>
          <w:szCs w:val="16"/>
          <w:b w:val="1"/>
          <w:bCs w:val="1"/>
          <w:color w:val="FF7F32"/>
        </w:rPr>
      </w:pPr>
      <w:r>
        <w:rPr>
          <w:rFonts w:ascii="Arial" w:cs="Arial" w:eastAsia="Arial" w:hAnsi="Arial"/>
          <w:sz w:val="16"/>
          <w:szCs w:val="16"/>
          <w:color w:val="auto"/>
        </w:rPr>
        <w:t>Market and peer data.</w:t>
      </w:r>
    </w:p>
    <w:p>
      <w:pPr>
        <w:spacing w:after="0" w:line="126" w:lineRule="exact"/>
        <w:rPr>
          <w:rFonts w:ascii="Arial" w:cs="Arial" w:eastAsia="Arial" w:hAnsi="Arial"/>
          <w:sz w:val="16"/>
          <w:szCs w:val="16"/>
          <w:b w:val="1"/>
          <w:bCs w:val="1"/>
          <w:color w:val="FF7F32"/>
        </w:rPr>
      </w:pPr>
    </w:p>
    <w:p>
      <w:pPr>
        <w:ind w:left="191" w:right="60" w:hanging="191"/>
        <w:spacing w:after="0" w:line="345" w:lineRule="auto"/>
        <w:tabs>
          <w:tab w:leader="none" w:pos="174" w:val="left"/>
        </w:tabs>
        <w:numPr>
          <w:ilvl w:val="0"/>
          <w:numId w:val="58"/>
        </w:numPr>
        <w:rPr>
          <w:rFonts w:ascii="Arial" w:cs="Arial" w:eastAsia="Arial" w:hAnsi="Arial"/>
          <w:sz w:val="16"/>
          <w:szCs w:val="16"/>
          <w:b w:val="1"/>
          <w:bCs w:val="1"/>
          <w:color w:val="FF7F32"/>
        </w:rPr>
      </w:pPr>
      <w:r>
        <w:rPr>
          <w:rFonts w:ascii="Arial" w:cs="Arial" w:eastAsia="Arial" w:hAnsi="Arial"/>
          <w:sz w:val="16"/>
          <w:szCs w:val="16"/>
          <w:color w:val="auto"/>
        </w:rPr>
        <w:t>2025 Financial Goals Based on: Revenue, Adjusted EBITDA, Monthly Recurring Revenue Growth.</w:t>
      </w:r>
    </w:p>
    <w:p>
      <w:pPr>
        <w:spacing w:after="0" w:line="200" w:lineRule="exact"/>
        <w:rPr>
          <w:sz w:val="20"/>
          <w:szCs w:val="20"/>
          <w:color w:val="auto"/>
        </w:rPr>
      </w:pPr>
    </w:p>
    <w:p>
      <w:pPr>
        <w:sectPr>
          <w:pgSz w:w="11900" w:h="16838" w:orient="portrait"/>
          <w:cols w:equalWidth="0" w:num="3">
            <w:col w:w="5300" w:space="194"/>
            <w:col w:w="2686" w:space="189"/>
            <w:col w:w="2871"/>
          </w:cols>
          <w:pgMar w:left="320" w:top="25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20"/>
        <w:spacing w:after="0"/>
        <w:tabs>
          <w:tab w:leader="none" w:pos="2620" w:val="left"/>
        </w:tabs>
        <w:rPr>
          <w:sz w:val="20"/>
          <w:szCs w:val="20"/>
          <w:color w:val="auto"/>
        </w:rPr>
      </w:pPr>
      <w:r>
        <w:rPr>
          <w:rFonts w:ascii="Arial" w:cs="Arial" w:eastAsia="Arial" w:hAnsi="Arial"/>
          <w:sz w:val="16"/>
          <w:szCs w:val="16"/>
          <w:b w:val="1"/>
          <w:bCs w:val="1"/>
          <w:color w:val="FF7F32"/>
        </w:rPr>
        <w:t>Equity Awards</w:t>
      </w:r>
      <w:r>
        <w:rPr>
          <w:sz w:val="20"/>
          <w:szCs w:val="20"/>
          <w:color w:val="auto"/>
        </w:rPr>
        <w:tab/>
      </w:r>
      <w:r>
        <w:rPr>
          <w:rFonts w:ascii="Arial" w:cs="Arial" w:eastAsia="Arial" w:hAnsi="Arial"/>
          <w:sz w:val="16"/>
          <w:szCs w:val="16"/>
          <w:b w:val="1"/>
          <w:bCs w:val="1"/>
          <w:color w:val="FF7F32"/>
        </w:rPr>
        <w:t xml:space="preserve">•  </w:t>
      </w:r>
      <w:r>
        <w:rPr>
          <w:rFonts w:ascii="Arial" w:cs="Arial" w:eastAsia="Arial" w:hAnsi="Arial"/>
          <w:sz w:val="16"/>
          <w:szCs w:val="16"/>
          <w:color w:val="000000"/>
        </w:rPr>
        <w:t>Variable compensation component</w:t>
      </w:r>
    </w:p>
    <w:p>
      <w:pPr>
        <w:spacing w:after="0" w:line="59" w:lineRule="exact"/>
        <w:rPr>
          <w:sz w:val="20"/>
          <w:szCs w:val="20"/>
          <w:color w:val="auto"/>
        </w:rPr>
      </w:pPr>
    </w:p>
    <w:p>
      <w:pPr>
        <w:ind w:left="2820"/>
        <w:spacing w:after="0"/>
        <w:rPr>
          <w:sz w:val="20"/>
          <w:szCs w:val="20"/>
          <w:color w:val="auto"/>
        </w:rPr>
      </w:pPr>
      <w:r>
        <w:rPr>
          <w:rFonts w:ascii="Arial" w:cs="Arial" w:eastAsia="Arial" w:hAnsi="Arial"/>
          <w:sz w:val="16"/>
          <w:szCs w:val="16"/>
          <w:color w:val="auto"/>
        </w:rPr>
        <w:t>payable in restricted stock,</w:t>
      </w:r>
    </w:p>
    <w:p>
      <w:pPr>
        <w:spacing w:after="0" w:line="59" w:lineRule="exact"/>
        <w:rPr>
          <w:sz w:val="20"/>
          <w:szCs w:val="20"/>
          <w:color w:val="auto"/>
        </w:rPr>
      </w:pPr>
    </w:p>
    <w:p>
      <w:pPr>
        <w:ind w:left="2820"/>
        <w:spacing w:after="0"/>
        <w:rPr>
          <w:sz w:val="20"/>
          <w:szCs w:val="20"/>
          <w:color w:val="auto"/>
        </w:rPr>
      </w:pPr>
      <w:r>
        <w:rPr>
          <w:rFonts w:ascii="Arial" w:cs="Arial" w:eastAsia="Arial" w:hAnsi="Arial"/>
          <w:sz w:val="16"/>
          <w:szCs w:val="16"/>
          <w:color w:val="auto"/>
        </w:rPr>
        <w:t>restricted stock units, and/or stock</w:t>
      </w:r>
    </w:p>
    <w:p>
      <w:pPr>
        <w:spacing w:after="0" w:line="59" w:lineRule="exact"/>
        <w:rPr>
          <w:sz w:val="20"/>
          <w:szCs w:val="20"/>
          <w:color w:val="auto"/>
        </w:rPr>
      </w:pPr>
    </w:p>
    <w:p>
      <w:pPr>
        <w:ind w:left="2820"/>
        <w:spacing w:after="0"/>
        <w:rPr>
          <w:sz w:val="20"/>
          <w:szCs w:val="20"/>
          <w:color w:val="auto"/>
        </w:rPr>
      </w:pPr>
      <w:r>
        <w:rPr>
          <w:rFonts w:ascii="Arial" w:cs="Arial" w:eastAsia="Arial" w:hAnsi="Arial"/>
          <w:sz w:val="16"/>
          <w:szCs w:val="16"/>
          <w:color w:val="auto"/>
        </w:rPr>
        <w:t>options.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6" w:hanging="186"/>
        <w:spacing w:after="0" w:line="336" w:lineRule="auto"/>
        <w:tabs>
          <w:tab w:leader="none" w:pos="170" w:val="left"/>
        </w:tabs>
        <w:numPr>
          <w:ilvl w:val="0"/>
          <w:numId w:val="59"/>
        </w:numPr>
        <w:rPr>
          <w:rFonts w:ascii="Arial" w:cs="Arial" w:eastAsia="Arial" w:hAnsi="Arial"/>
          <w:sz w:val="16"/>
          <w:szCs w:val="16"/>
          <w:b w:val="1"/>
          <w:bCs w:val="1"/>
          <w:color w:val="FF7F32"/>
        </w:rPr>
      </w:pPr>
      <w:r>
        <w:rPr>
          <w:rFonts w:ascii="Arial" w:cs="Arial" w:eastAsia="Arial" w:hAnsi="Arial"/>
          <w:sz w:val="16"/>
          <w:szCs w:val="16"/>
          <w:color w:val="auto"/>
        </w:rPr>
        <w:t>Alignment of long-term interests of management and shareholders and retention of executive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-3105785</wp:posOffset>
            </wp:positionH>
            <wp:positionV relativeFrom="paragraph">
              <wp:posOffset>701040</wp:posOffset>
            </wp:positionV>
            <wp:extent cx="674624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7462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91" w:right="420" w:hanging="191"/>
        <w:spacing w:after="0" w:line="356" w:lineRule="auto"/>
        <w:tabs>
          <w:tab w:leader="none" w:pos="174" w:val="left"/>
        </w:tabs>
        <w:numPr>
          <w:ilvl w:val="0"/>
          <w:numId w:val="60"/>
        </w:numPr>
        <w:rPr>
          <w:rFonts w:ascii="Arial" w:cs="Arial" w:eastAsia="Arial" w:hAnsi="Arial"/>
          <w:sz w:val="16"/>
          <w:szCs w:val="16"/>
          <w:b w:val="1"/>
          <w:bCs w:val="1"/>
          <w:color w:val="FF7F32"/>
        </w:rPr>
      </w:pPr>
      <w:r>
        <w:rPr>
          <w:rFonts w:ascii="Arial" w:cs="Arial" w:eastAsia="Arial" w:hAnsi="Arial"/>
          <w:sz w:val="16"/>
          <w:szCs w:val="16"/>
          <w:color w:val="auto"/>
        </w:rPr>
        <w:t>Organizational and/or individual performance.</w:t>
      </w:r>
    </w:p>
    <w:p>
      <w:pPr>
        <w:spacing w:after="0" w:line="21" w:lineRule="exact"/>
        <w:rPr>
          <w:rFonts w:ascii="Arial" w:cs="Arial" w:eastAsia="Arial" w:hAnsi="Arial"/>
          <w:sz w:val="16"/>
          <w:szCs w:val="16"/>
          <w:b w:val="1"/>
          <w:bCs w:val="1"/>
          <w:color w:val="FF7F32"/>
        </w:rPr>
      </w:pPr>
    </w:p>
    <w:p>
      <w:pPr>
        <w:ind w:left="191" w:right="340" w:hanging="191"/>
        <w:spacing w:after="0" w:line="336" w:lineRule="auto"/>
        <w:tabs>
          <w:tab w:leader="none" w:pos="174" w:val="left"/>
        </w:tabs>
        <w:numPr>
          <w:ilvl w:val="0"/>
          <w:numId w:val="60"/>
        </w:numPr>
        <w:rPr>
          <w:rFonts w:ascii="Arial" w:cs="Arial" w:eastAsia="Arial" w:hAnsi="Arial"/>
          <w:sz w:val="16"/>
          <w:szCs w:val="16"/>
          <w:b w:val="1"/>
          <w:bCs w:val="1"/>
          <w:color w:val="FF7F32"/>
        </w:rPr>
      </w:pPr>
      <w:r>
        <w:rPr>
          <w:rFonts w:ascii="Arial" w:cs="Arial" w:eastAsia="Arial" w:hAnsi="Arial"/>
          <w:sz w:val="16"/>
          <w:szCs w:val="16"/>
          <w:color w:val="auto"/>
        </w:rPr>
        <w:t>Outstanding Performance-Based Options Goals Based on: Share Price.</w:t>
      </w:r>
    </w:p>
    <w:p>
      <w:pPr>
        <w:spacing w:after="0" w:line="200" w:lineRule="exact"/>
        <w:rPr>
          <w:sz w:val="20"/>
          <w:szCs w:val="20"/>
          <w:color w:val="auto"/>
        </w:rPr>
      </w:pPr>
    </w:p>
    <w:p>
      <w:pPr>
        <w:sectPr>
          <w:pgSz w:w="11900" w:h="16838" w:orient="portrait"/>
          <w:cols w:equalWidth="0" w:num="3">
            <w:col w:w="5300" w:space="194"/>
            <w:col w:w="2646" w:space="229"/>
            <w:col w:w="2871"/>
          </w:cols>
          <w:pgMar w:left="320" w:top="257" w:right="339" w:bottom="1440" w:gutter="0" w:footer="0" w:header="0"/>
          <w:type w:val="continuous"/>
        </w:sectPr>
      </w:pPr>
    </w:p>
    <w:p>
      <w:pPr>
        <w:spacing w:after="0" w:line="200" w:lineRule="exact"/>
        <w:rPr>
          <w:sz w:val="20"/>
          <w:szCs w:val="20"/>
          <w:color w:val="auto"/>
        </w:rPr>
      </w:pPr>
    </w:p>
    <w:p>
      <w:pPr>
        <w:spacing w:after="0" w:line="272" w:lineRule="exact"/>
        <w:rPr>
          <w:sz w:val="20"/>
          <w:szCs w:val="20"/>
          <w:color w:val="auto"/>
        </w:rPr>
      </w:pPr>
    </w:p>
    <w:p>
      <w:pPr>
        <w:ind w:left="620"/>
        <w:spacing w:after="0"/>
        <w:tabs>
          <w:tab w:leader="none" w:pos="2620" w:val="left"/>
          <w:tab w:leader="none" w:pos="5480" w:val="left"/>
          <w:tab w:leader="none" w:pos="8340" w:val="left"/>
        </w:tabs>
        <w:rPr>
          <w:sz w:val="20"/>
          <w:szCs w:val="20"/>
          <w:color w:val="auto"/>
        </w:rPr>
      </w:pPr>
      <w:r>
        <w:rPr>
          <w:rFonts w:ascii="Arial" w:cs="Arial" w:eastAsia="Arial" w:hAnsi="Arial"/>
          <w:sz w:val="16"/>
          <w:szCs w:val="16"/>
          <w:b w:val="1"/>
          <w:bCs w:val="1"/>
          <w:color w:val="5576D1"/>
        </w:rPr>
        <w:t>Perquisites and Other</w:t>
      </w:r>
      <w:r>
        <w:rPr>
          <w:sz w:val="20"/>
          <w:szCs w:val="20"/>
          <w:color w:val="auto"/>
        </w:rPr>
        <w:tab/>
      </w:r>
      <w:r>
        <w:rPr>
          <w:rFonts w:ascii="Arial" w:cs="Arial" w:eastAsia="Arial" w:hAnsi="Arial"/>
          <w:sz w:val="16"/>
          <w:szCs w:val="16"/>
          <w:b w:val="1"/>
          <w:bCs w:val="1"/>
          <w:color w:val="FF7F32"/>
        </w:rPr>
        <w:t xml:space="preserve">•  </w:t>
      </w:r>
      <w:r>
        <w:rPr>
          <w:rFonts w:ascii="Arial" w:cs="Arial" w:eastAsia="Arial" w:hAnsi="Arial"/>
          <w:sz w:val="16"/>
          <w:szCs w:val="16"/>
          <w:color w:val="000000"/>
        </w:rPr>
        <w:t>Provide basic competitive health,</w:t>
      </w:r>
      <w:r>
        <w:rPr>
          <w:sz w:val="20"/>
          <w:szCs w:val="20"/>
          <w:color w:val="auto"/>
        </w:rPr>
        <w:tab/>
      </w:r>
      <w:r>
        <w:rPr>
          <w:rFonts w:ascii="Arial" w:cs="Arial" w:eastAsia="Arial" w:hAnsi="Arial"/>
          <w:sz w:val="16"/>
          <w:szCs w:val="16"/>
          <w:b w:val="1"/>
          <w:bCs w:val="1"/>
          <w:color w:val="FF7F32"/>
        </w:rPr>
        <w:t xml:space="preserve">•  </w:t>
      </w:r>
      <w:r>
        <w:rPr>
          <w:rFonts w:ascii="Arial" w:cs="Arial" w:eastAsia="Arial" w:hAnsi="Arial"/>
          <w:sz w:val="16"/>
          <w:szCs w:val="16"/>
          <w:color w:val="000000"/>
        </w:rPr>
        <w:t>Provide market-standard benefits</w:t>
      </w:r>
      <w:r>
        <w:rPr>
          <w:sz w:val="20"/>
          <w:szCs w:val="20"/>
          <w:color w:val="auto"/>
        </w:rPr>
        <w:tab/>
      </w:r>
      <w:r>
        <w:rPr>
          <w:rFonts w:ascii="Arial" w:cs="Arial" w:eastAsia="Arial" w:hAnsi="Arial"/>
          <w:sz w:val="16"/>
          <w:szCs w:val="16"/>
          <w:b w:val="1"/>
          <w:bCs w:val="1"/>
          <w:color w:val="FF7F32"/>
        </w:rPr>
        <w:t xml:space="preserve">•  </w:t>
      </w:r>
      <w:r>
        <w:rPr>
          <w:rFonts w:ascii="Arial" w:cs="Arial" w:eastAsia="Arial" w:hAnsi="Arial"/>
          <w:sz w:val="16"/>
          <w:szCs w:val="16"/>
          <w:color w:val="000000"/>
        </w:rPr>
        <w:t>Periodic review of benefits provided</w:t>
      </w:r>
    </w:p>
    <w:p>
      <w:pPr>
        <w:spacing w:after="0" w:line="59" w:lineRule="exact"/>
        <w:rPr>
          <w:sz w:val="20"/>
          <w:szCs w:val="20"/>
          <w:color w:val="auto"/>
        </w:rPr>
      </w:pPr>
    </w:p>
    <w:p>
      <w:pPr>
        <w:ind w:left="620"/>
        <w:spacing w:after="0"/>
        <w:tabs>
          <w:tab w:leader="none" w:pos="2800" w:val="left"/>
          <w:tab w:leader="none" w:pos="5660" w:val="left"/>
          <w:tab w:leader="none" w:pos="8540" w:val="left"/>
        </w:tabs>
        <w:rPr>
          <w:sz w:val="20"/>
          <w:szCs w:val="20"/>
          <w:color w:val="auto"/>
        </w:rPr>
      </w:pPr>
      <w:r>
        <w:rPr>
          <w:rFonts w:ascii="Arial" w:cs="Arial" w:eastAsia="Arial" w:hAnsi="Arial"/>
          <w:sz w:val="16"/>
          <w:szCs w:val="16"/>
          <w:b w:val="1"/>
          <w:bCs w:val="1"/>
          <w:color w:val="5576D1"/>
        </w:rPr>
        <w:t>Personal Benefits</w:t>
      </w:r>
      <w:r>
        <w:rPr>
          <w:sz w:val="20"/>
          <w:szCs w:val="20"/>
          <w:color w:val="auto"/>
        </w:rPr>
        <w:tab/>
      </w:r>
      <w:r>
        <w:rPr>
          <w:rFonts w:ascii="Arial" w:cs="Arial" w:eastAsia="Arial" w:hAnsi="Arial"/>
          <w:sz w:val="16"/>
          <w:szCs w:val="16"/>
          <w:color w:val="auto"/>
        </w:rPr>
        <w:t>welfare, and 401(k) benefits.</w:t>
      </w:r>
      <w:r>
        <w:rPr>
          <w:sz w:val="20"/>
          <w:szCs w:val="20"/>
          <w:color w:val="auto"/>
        </w:rPr>
        <w:tab/>
      </w:r>
      <w:r>
        <w:rPr>
          <w:rFonts w:ascii="Arial" w:cs="Arial" w:eastAsia="Arial" w:hAnsi="Arial"/>
          <w:sz w:val="16"/>
          <w:szCs w:val="16"/>
          <w:color w:val="auto"/>
        </w:rPr>
        <w:t>programs to our workforce.</w:t>
      </w:r>
      <w:r>
        <w:rPr>
          <w:sz w:val="20"/>
          <w:szCs w:val="20"/>
          <w:color w:val="auto"/>
        </w:rPr>
        <w:tab/>
      </w:r>
      <w:r>
        <w:rPr>
          <w:rFonts w:ascii="Arial" w:cs="Arial" w:eastAsia="Arial" w:hAnsi="Arial"/>
          <w:sz w:val="16"/>
          <w:szCs w:val="16"/>
          <w:color w:val="auto"/>
        </w:rPr>
        <w:t>generally to all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389255</wp:posOffset>
            </wp:positionV>
            <wp:extent cx="674624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74624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569595</wp:posOffset>
            </wp:positionV>
            <wp:extent cx="925830" cy="26606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925830"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b w:val="1"/>
                <w:bCs w:val="1"/>
                <w:color w:val="FF7F32"/>
              </w:rPr>
              <w:t xml:space="preserve">2026 </w:t>
            </w:r>
            <w:r>
              <w:rPr>
                <w:rFonts w:ascii="Arial" w:cs="Arial" w:eastAsia="Arial" w:hAnsi="Arial"/>
                <w:sz w:val="13"/>
                <w:szCs w:val="13"/>
                <w:color w:val="000000"/>
              </w:rPr>
              <w:t>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auto"/>
              </w:rPr>
              <w:t>47</w:t>
            </w:r>
          </w:p>
        </w:tc>
      </w:tr>
      <w:tr>
        <w:trPr>
          <w:trHeight w:val="420"/>
        </w:trPr>
        <w:tc>
          <w:tcPr>
            <w:tcW w:w="618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3"/>
          <w:szCs w:val="13"/>
          <w:color w:val="202945"/>
        </w:rPr>
        <w:t>Compensation Discussion &amp;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7"/>
          <w:szCs w:val="27"/>
          <w:color w:val="202945"/>
        </w:rPr>
        <w:t>Incentive Plan Performance</w:t>
      </w:r>
    </w:p>
    <w:p>
      <w:pPr>
        <w:spacing w:after="0" w:line="189" w:lineRule="exact"/>
        <w:rPr>
          <w:sz w:val="20"/>
          <w:szCs w:val="20"/>
          <w:color w:val="auto"/>
        </w:rPr>
      </w:pPr>
    </w:p>
    <w:p>
      <w:pPr>
        <w:jc w:val="both"/>
        <w:ind w:right="300"/>
        <w:spacing w:after="0" w:line="336" w:lineRule="auto"/>
        <w:rPr>
          <w:sz w:val="20"/>
          <w:szCs w:val="20"/>
          <w:color w:val="auto"/>
        </w:rPr>
      </w:pPr>
      <w:r>
        <w:rPr>
          <w:rFonts w:ascii="Arial" w:cs="Arial" w:eastAsia="Arial" w:hAnsi="Arial"/>
          <w:sz w:val="16"/>
          <w:szCs w:val="16"/>
          <w:color w:val="auto"/>
        </w:rPr>
        <w:t>Annual bonuses for fiscal year 2025 were awarded based on the achievement of predetermined corporate goals and the Board of Directors discretionary evaluation (discretion made up 15% of the predetermined corporate goals). The corporate goals were based on the Company’s Adjusted EBITDA (40%), Revenue (25%), Monthly Recurring Revenue Growth (20%), as detailed in the table below:</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Annual Bonus</w:t>
      </w:r>
    </w:p>
    <w:p>
      <w:pPr>
        <w:spacing w:after="0" w:line="275" w:lineRule="exact"/>
        <w:rPr>
          <w:sz w:val="20"/>
          <w:szCs w:val="20"/>
          <w:color w:val="auto"/>
        </w:rPr>
      </w:pPr>
    </w:p>
    <w:p>
      <w:pPr>
        <w:ind w:left="8640"/>
        <w:spacing w:after="0"/>
        <w:rPr>
          <w:sz w:val="20"/>
          <w:szCs w:val="20"/>
          <w:color w:val="auto"/>
        </w:rPr>
      </w:pPr>
      <w:r>
        <w:rPr>
          <w:rFonts w:ascii="Arial" w:cs="Arial" w:eastAsia="Arial" w:hAnsi="Arial"/>
          <w:sz w:val="16"/>
          <w:szCs w:val="16"/>
          <w:b w:val="1"/>
          <w:bCs w:val="1"/>
          <w:color w:val="auto"/>
        </w:rPr>
        <w:t>Monthly Recurring</w:t>
      </w:r>
    </w:p>
    <w:p>
      <w:pPr>
        <w:spacing w:after="0" w:line="59" w:lineRule="exact"/>
        <w:rPr>
          <w:sz w:val="20"/>
          <w:szCs w:val="20"/>
          <w:color w:val="auto"/>
        </w:rPr>
      </w:pPr>
    </w:p>
    <w:p>
      <w:pPr>
        <w:ind w:left="1420"/>
        <w:spacing w:after="0"/>
        <w:tabs>
          <w:tab w:leader="none" w:pos="4740" w:val="left"/>
          <w:tab w:leader="none" w:pos="8480" w:val="left"/>
        </w:tabs>
        <w:rPr>
          <w:sz w:val="20"/>
          <w:szCs w:val="20"/>
          <w:color w:val="auto"/>
        </w:rPr>
      </w:pPr>
      <w:r>
        <w:rPr>
          <w:rFonts w:ascii="Arial" w:cs="Arial" w:eastAsia="Arial" w:hAnsi="Arial"/>
          <w:sz w:val="16"/>
          <w:szCs w:val="16"/>
          <w:b w:val="1"/>
          <w:bCs w:val="1"/>
          <w:color w:val="auto"/>
        </w:rPr>
        <w:t>Revenue ($)</w:t>
      </w:r>
      <w:r>
        <w:rPr>
          <w:sz w:val="20"/>
          <w:szCs w:val="20"/>
          <w:color w:val="auto"/>
        </w:rPr>
        <w:tab/>
      </w:r>
      <w:r>
        <w:rPr>
          <w:rFonts w:ascii="Arial" w:cs="Arial" w:eastAsia="Arial" w:hAnsi="Arial"/>
          <w:sz w:val="16"/>
          <w:szCs w:val="16"/>
          <w:b w:val="1"/>
          <w:bCs w:val="1"/>
          <w:color w:val="auto"/>
        </w:rPr>
        <w:t>Adjusted EBITDA ($)</w:t>
      </w:r>
      <w:r>
        <w:rPr>
          <w:rFonts w:ascii="Arial" w:cs="Arial" w:eastAsia="Arial" w:hAnsi="Arial"/>
          <w:sz w:val="21"/>
          <w:szCs w:val="21"/>
          <w:b w:val="1"/>
          <w:bCs w:val="1"/>
          <w:color w:val="auto"/>
          <w:vertAlign w:val="superscript"/>
        </w:rPr>
        <w:t>(1)</w:t>
      </w:r>
      <w:r>
        <w:rPr>
          <w:sz w:val="20"/>
          <w:szCs w:val="20"/>
          <w:color w:val="auto"/>
        </w:rPr>
        <w:tab/>
      </w:r>
      <w:r>
        <w:rPr>
          <w:rFonts w:ascii="Arial" w:cs="Arial" w:eastAsia="Arial" w:hAnsi="Arial"/>
          <w:sz w:val="15"/>
          <w:szCs w:val="15"/>
          <w:b w:val="1"/>
          <w:bCs w:val="1"/>
          <w:color w:val="auto"/>
        </w:rPr>
        <w:t>Revenue Growth (%)</w:t>
      </w:r>
      <w:r>
        <w:rPr>
          <w:rFonts w:ascii="Arial" w:cs="Arial" w:eastAsia="Arial" w:hAnsi="Arial"/>
          <w:sz w:val="20"/>
          <w:szCs w:val="20"/>
          <w:b w:val="1"/>
          <w:bCs w:val="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189865</wp:posOffset>
            </wp:positionV>
            <wp:extent cx="6420485" cy="43688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42048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Performance-Based Options</w:t>
      </w:r>
    </w:p>
    <w:p>
      <w:pPr>
        <w:spacing w:after="0" w:line="136" w:lineRule="exact"/>
        <w:rPr>
          <w:sz w:val="20"/>
          <w:szCs w:val="20"/>
          <w:color w:val="auto"/>
        </w:rPr>
      </w:pPr>
    </w:p>
    <w:p>
      <w:pPr>
        <w:ind w:left="200" w:right="60" w:hanging="192"/>
        <w:spacing w:after="0" w:line="313" w:lineRule="auto"/>
        <w:tabs>
          <w:tab w:leader="none" w:pos="200" w:val="left"/>
        </w:tabs>
        <w:numPr>
          <w:ilvl w:val="0"/>
          <w:numId w:val="61"/>
        </w:numPr>
        <w:rPr>
          <w:rFonts w:ascii="Arial" w:cs="Arial" w:eastAsia="Arial" w:hAnsi="Arial"/>
          <w:sz w:val="15"/>
          <w:szCs w:val="15"/>
          <w:color w:val="202945"/>
          <w:vertAlign w:val="superscript"/>
        </w:rPr>
      </w:pPr>
      <w:r>
        <w:rPr>
          <w:rFonts w:ascii="Arial" w:cs="Arial" w:eastAsia="Arial" w:hAnsi="Arial"/>
          <w:sz w:val="12"/>
          <w:szCs w:val="12"/>
          <w:color w:val="202945"/>
        </w:rPr>
        <w:t>We define Adjusted EBITDA as U.S. GAAP net income before (i) interest income, (ii) interest expense, (iii) income tax provision, (iv) depreciation, (v) amortization, (vi) stock-based compensation expense, and (vii) certain other significant infrequent or unusual losses and gains that are not indicative of our core operations such as (a) investigation, proxy solicitation and restatement expenses, net of insurance recoveries, (b) integration, acquisition, due diligence, and license application expenses, (c) costs as a result of auditor transitions, (d) severance, and (e) remediation expenses.</w:t>
      </w:r>
    </w:p>
    <w:p>
      <w:pPr>
        <w:spacing w:after="0" w:line="49" w:lineRule="exact"/>
        <w:rPr>
          <w:rFonts w:ascii="Arial" w:cs="Arial" w:eastAsia="Arial" w:hAnsi="Arial"/>
          <w:sz w:val="15"/>
          <w:szCs w:val="15"/>
          <w:color w:val="202945"/>
          <w:vertAlign w:val="superscript"/>
        </w:rPr>
      </w:pPr>
    </w:p>
    <w:p>
      <w:pPr>
        <w:ind w:left="200" w:right="200" w:hanging="192"/>
        <w:spacing w:after="0" w:line="274" w:lineRule="auto"/>
        <w:tabs>
          <w:tab w:leader="none" w:pos="186" w:val="left"/>
        </w:tabs>
        <w:numPr>
          <w:ilvl w:val="0"/>
          <w:numId w:val="61"/>
        </w:numPr>
        <w:rPr>
          <w:rFonts w:ascii="Arial" w:cs="Arial" w:eastAsia="Arial" w:hAnsi="Arial"/>
          <w:sz w:val="16"/>
          <w:szCs w:val="16"/>
          <w:color w:val="202945"/>
          <w:vertAlign w:val="superscript"/>
        </w:rPr>
      </w:pPr>
      <w:r>
        <w:rPr>
          <w:rFonts w:ascii="Arial" w:cs="Arial" w:eastAsia="Arial" w:hAnsi="Arial"/>
          <w:sz w:val="13"/>
          <w:szCs w:val="13"/>
          <w:color w:val="202945"/>
        </w:rPr>
        <w:t>We define Monthly Recurring Revenue Growth as the increase in revenue generated from subscription services during the fiscal year and use this metric as we believe it appropriately incentivizes our NEOs to achieve sustainable growth, which setting challenging goals that, if achieved, will deliver value to our shareholders.</w:t>
      </w:r>
    </w:p>
    <w:p>
      <w:pPr>
        <w:spacing w:after="0" w:line="278" w:lineRule="exact"/>
        <w:rPr>
          <w:sz w:val="20"/>
          <w:szCs w:val="20"/>
          <w:color w:val="auto"/>
        </w:rPr>
      </w:pPr>
    </w:p>
    <w:p>
      <w:pPr>
        <w:spacing w:after="0"/>
        <w:rPr>
          <w:sz w:val="20"/>
          <w:szCs w:val="20"/>
          <w:color w:val="auto"/>
        </w:rPr>
      </w:pPr>
      <w:r>
        <w:rPr>
          <w:rFonts w:ascii="Arial" w:cs="Arial" w:eastAsia="Arial" w:hAnsi="Arial"/>
          <w:sz w:val="29"/>
          <w:szCs w:val="29"/>
          <w:b w:val="1"/>
          <w:bCs w:val="1"/>
          <w:color w:val="FF7F32"/>
        </w:rPr>
        <w:t>Fiscal Year 2025 Say on Pay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178435</wp:posOffset>
            </wp:positionV>
            <wp:extent cx="7123430" cy="13544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23430" cy="135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340" w:right="280"/>
        <w:spacing w:after="0" w:line="328" w:lineRule="auto"/>
        <w:rPr>
          <w:sz w:val="20"/>
          <w:szCs w:val="20"/>
          <w:color w:val="auto"/>
        </w:rPr>
      </w:pPr>
      <w:r>
        <w:rPr>
          <w:rFonts w:ascii="Arial" w:cs="Arial" w:eastAsia="Arial" w:hAnsi="Arial"/>
          <w:sz w:val="16"/>
          <w:szCs w:val="16"/>
          <w:color w:val="auto"/>
        </w:rPr>
        <w:t>At the 2025 Annual Meeting of Shareholders held on November 20, 2024, over 98% of our shareholders expressed support for the Company’s fiscal 2024 NEO compensation programs through our advisory “say-on-pay” vote. We believe that this strong show of support reflects the evolution of our compensation programs to fit our new go-forward strategy, and our Compensation Committee’s increased emphasis of equity-based compensation to further link our executive compensation programs with shareholder interests and provide attractive equity growth opportunities to continue to attract and retain key talent, all in line with our pay-for-performance philosophy.</w:t>
      </w:r>
    </w:p>
    <w:p>
      <w:pPr>
        <w:spacing w:after="0" w:line="200" w:lineRule="exact"/>
        <w:rPr>
          <w:sz w:val="20"/>
          <w:szCs w:val="20"/>
          <w:color w:val="auto"/>
        </w:rPr>
      </w:pPr>
    </w:p>
    <w:p>
      <w:pPr>
        <w:spacing w:after="0" w:line="276" w:lineRule="exact"/>
        <w:rPr>
          <w:sz w:val="20"/>
          <w:szCs w:val="20"/>
          <w:color w:val="auto"/>
        </w:rPr>
      </w:pPr>
    </w:p>
    <w:p>
      <w:pPr>
        <w:ind w:right="20"/>
        <w:spacing w:after="0" w:line="356" w:lineRule="auto"/>
        <w:rPr>
          <w:sz w:val="20"/>
          <w:szCs w:val="20"/>
          <w:color w:val="auto"/>
        </w:rPr>
      </w:pPr>
      <w:r>
        <w:rPr>
          <w:rFonts w:ascii="Arial" w:cs="Arial" w:eastAsia="Arial" w:hAnsi="Arial"/>
          <w:sz w:val="16"/>
          <w:szCs w:val="16"/>
          <w:color w:val="auto"/>
        </w:rPr>
        <w:t>As our executive compensation programs continue to evolve, our Compensation Committee values shareholder feedback, and will consider any shareholder suggestions and commentary related to our compensation practices and structures, whether through our annual “say-on-pay” votes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133985</wp:posOffset>
            </wp:positionV>
            <wp:extent cx="925830" cy="26543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925830" cy="265430"/>
                    </a:xfrm>
                    <a:prstGeom prst="rect">
                      <a:avLst/>
                    </a:prstGeom>
                    <a:noFill/>
                  </pic:spPr>
                </pic:pic>
              </a:graphicData>
            </a:graphic>
          </wp:anchor>
        </w:drawing>
      </w:r>
    </w:p>
    <w:p>
      <w:pPr>
        <w:spacing w:after="0" w:line="348"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auto"/>
        </w:rPr>
        <w:t>48</w:t>
      </w:r>
      <w:r>
        <w:rPr>
          <w:sz w:val="20"/>
          <w:szCs w:val="20"/>
          <w:color w:val="auto"/>
        </w:rPr>
        <w:tab/>
      </w:r>
      <w:r>
        <w:rPr>
          <w:rFonts w:ascii="Arial" w:cs="Arial" w:eastAsia="Arial" w:hAnsi="Arial"/>
          <w:sz w:val="12"/>
          <w:szCs w:val="12"/>
          <w:b w:val="1"/>
          <w:bCs w:val="1"/>
          <w:color w:val="FF7F32"/>
        </w:rPr>
        <w:t xml:space="preserve">2026 </w:t>
      </w:r>
      <w:r>
        <w:rPr>
          <w:rFonts w:ascii="Arial" w:cs="Arial" w:eastAsia="Arial" w:hAnsi="Arial"/>
          <w:sz w:val="12"/>
          <w:szCs w:val="12"/>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7" w:right="359" w:bottom="1440" w:gutter="0" w:footer="0" w:header="0"/>
        </w:sectPr>
      </w:pPr>
    </w:p>
    <w:bookmarkStart w:id="51" w:name="page52"/>
    <w:bookmarkEnd w:id="51"/>
    <w:p>
      <w:pPr>
        <w:spacing w:after="0"/>
        <w:rPr>
          <w:sz w:val="20"/>
          <w:szCs w:val="20"/>
          <w:color w:val="auto"/>
        </w:rPr>
      </w:pPr>
      <w:r>
        <w:rPr>
          <w:rFonts w:ascii="Arial" w:cs="Arial" w:eastAsia="Arial" w:hAnsi="Arial"/>
          <w:sz w:val="13"/>
          <w:szCs w:val="13"/>
          <w:color w:val="202945"/>
        </w:rPr>
        <w:t>Compensation Discussion &amp;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32"/>
          <w:szCs w:val="32"/>
          <w:b w:val="1"/>
          <w:bCs w:val="1"/>
          <w:color w:val="202945"/>
        </w:rPr>
        <w:t>Our Compensation Philosophy</w:t>
      </w:r>
    </w:p>
    <w:p>
      <w:pPr>
        <w:spacing w:after="0" w:line="269" w:lineRule="exact"/>
        <w:rPr>
          <w:sz w:val="20"/>
          <w:szCs w:val="20"/>
          <w:color w:val="auto"/>
        </w:rPr>
      </w:pPr>
    </w:p>
    <w:p>
      <w:pPr>
        <w:jc w:val="both"/>
        <w:spacing w:after="0" w:line="336" w:lineRule="auto"/>
        <w:rPr>
          <w:sz w:val="20"/>
          <w:szCs w:val="20"/>
          <w:color w:val="auto"/>
        </w:rPr>
      </w:pPr>
      <w:r>
        <w:rPr>
          <w:rFonts w:ascii="Arial" w:cs="Arial" w:eastAsia="Arial" w:hAnsi="Arial"/>
          <w:sz w:val="16"/>
          <w:szCs w:val="16"/>
          <w:color w:val="auto"/>
        </w:rPr>
        <w:t>The Company’s compensation philosophy is designed to attract and retain key executives responsible for our success, reflect pay-for-performance, and align management’s interests with the creation of long-term shareholder value. The Compensation Committee believes that these goals are best accomplished by tying a significant portion of compensation to the achievement of performance goals and equity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89420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32320" cy="189420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Emphasis on Equity Awards</w:t>
      </w:r>
    </w:p>
    <w:p>
      <w:pPr>
        <w:spacing w:after="0" w:line="167" w:lineRule="exact"/>
        <w:rPr>
          <w:sz w:val="20"/>
          <w:szCs w:val="20"/>
          <w:color w:val="auto"/>
        </w:rPr>
      </w:pPr>
    </w:p>
    <w:p>
      <w:pPr>
        <w:ind w:left="220" w:right="440"/>
        <w:spacing w:after="0" w:line="324" w:lineRule="auto"/>
        <w:rPr>
          <w:sz w:val="20"/>
          <w:szCs w:val="20"/>
          <w:color w:val="auto"/>
        </w:rPr>
      </w:pPr>
      <w:r>
        <w:rPr>
          <w:rFonts w:ascii="Arial" w:cs="Arial" w:eastAsia="Arial" w:hAnsi="Arial"/>
          <w:sz w:val="16"/>
          <w:szCs w:val="16"/>
          <w:color w:val="auto"/>
        </w:rPr>
        <w:t>In particular, the Compensation Committee believes that equity awards are an essential component of an effective compensation program because they provide a direct link between our shareholders’ interests and our employees, executive officers, directors, and advisors. The Compensation Committee - and the Board - believe that this link is key to the future success of the Company and have been working to implement changes in the Company’s compensation programs to emphasize equity compensation. A more prominent role for equity compensation in our programs also enhances equity ownership in the Company by our employees, executive officers, and directors, which our Compensation Committee and Board believe is essential to increasing shareholder alignment. The Compensation Committee firmly believes that the Company can best attract and retain key talent by providing attractive “upside” growth opportunity if our leadership succeeds in improving our Company’s past performance, which is directly aligned with our shareholder interests. For further information on our equity award program for our NEOs, please see the below discussion under “-Equity Awards.”</w:t>
      </w:r>
    </w:p>
    <w:p>
      <w:pPr>
        <w:spacing w:after="0" w:line="200" w:lineRule="exact"/>
        <w:rPr>
          <w:sz w:val="20"/>
          <w:szCs w:val="20"/>
          <w:color w:val="auto"/>
        </w:rPr>
      </w:pPr>
    </w:p>
    <w:p>
      <w:pPr>
        <w:spacing w:after="0" w:line="278" w:lineRule="exact"/>
        <w:rPr>
          <w:sz w:val="20"/>
          <w:szCs w:val="20"/>
          <w:color w:val="auto"/>
        </w:rPr>
      </w:pPr>
    </w:p>
    <w:p>
      <w:pPr>
        <w:ind w:right="400"/>
        <w:spacing w:after="0" w:line="356" w:lineRule="auto"/>
        <w:rPr>
          <w:sz w:val="20"/>
          <w:szCs w:val="20"/>
          <w:color w:val="auto"/>
        </w:rPr>
      </w:pPr>
      <w:r>
        <w:rPr>
          <w:rFonts w:ascii="Arial" w:cs="Arial" w:eastAsia="Arial" w:hAnsi="Arial"/>
          <w:sz w:val="16"/>
          <w:szCs w:val="16"/>
          <w:color w:val="auto"/>
        </w:rPr>
        <w:t>Other elements of our compensation program include base salary, annual bonuses, and limited perquisites. For more information, please see the below discussion under “Fiscal Year 2025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3631565</wp:posOffset>
            </wp:positionV>
            <wp:extent cx="925830" cy="26543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92583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b w:val="1"/>
                <w:bCs w:val="1"/>
                <w:color w:val="FF7F32"/>
              </w:rPr>
              <w:t xml:space="preserve">2026 </w:t>
            </w:r>
            <w:r>
              <w:rPr>
                <w:rFonts w:ascii="Arial" w:cs="Arial" w:eastAsia="Arial" w:hAnsi="Arial"/>
                <w:sz w:val="13"/>
                <w:szCs w:val="13"/>
                <w:color w:val="000000"/>
              </w:rPr>
              <w:t>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auto"/>
              </w:rPr>
              <w:t>49</w:t>
            </w:r>
          </w:p>
        </w:tc>
      </w:tr>
      <w:tr>
        <w:trPr>
          <w:trHeight w:val="420"/>
        </w:trPr>
        <w:tc>
          <w:tcPr>
            <w:tcW w:w="618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52" w:name="page53"/>
    <w:bookmarkEnd w:id="52"/>
    <w:p>
      <w:pPr>
        <w:spacing w:after="0"/>
        <w:rPr>
          <w:sz w:val="20"/>
          <w:szCs w:val="20"/>
          <w:color w:val="auto"/>
        </w:rPr>
      </w:pPr>
      <w:r>
        <w:rPr>
          <w:rFonts w:ascii="Arial" w:cs="Arial" w:eastAsia="Arial" w:hAnsi="Arial"/>
          <w:sz w:val="13"/>
          <w:szCs w:val="13"/>
          <w:color w:val="202945"/>
        </w:rPr>
        <w:t>Compensation Discussion &amp;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32"/>
          <w:szCs w:val="32"/>
          <w:b w:val="1"/>
          <w:bCs w:val="1"/>
          <w:color w:val="202945"/>
        </w:rPr>
        <w:t>Compensation Process</w:t>
      </w:r>
    </w:p>
    <w:p>
      <w:pPr>
        <w:spacing w:after="0" w:line="249" w:lineRule="exact"/>
        <w:rPr>
          <w:sz w:val="20"/>
          <w:szCs w:val="20"/>
          <w:color w:val="auto"/>
        </w:rPr>
      </w:pPr>
    </w:p>
    <w:p>
      <w:pPr>
        <w:spacing w:after="0"/>
        <w:rPr>
          <w:sz w:val="20"/>
          <w:szCs w:val="20"/>
          <w:color w:val="auto"/>
        </w:rPr>
      </w:pPr>
      <w:r>
        <w:rPr>
          <w:rFonts w:ascii="Arial" w:cs="Arial" w:eastAsia="Arial" w:hAnsi="Arial"/>
          <w:sz w:val="28"/>
          <w:szCs w:val="28"/>
          <w:b w:val="1"/>
          <w:bCs w:val="1"/>
          <w:color w:val="FF7F32"/>
        </w:rPr>
        <w:t>Roles and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15175" cy="270891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15175" cy="2708910"/>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FF7F32"/>
        </w:rPr>
        <w:t>Compensation Committee</w:t>
      </w:r>
    </w:p>
    <w:p>
      <w:pPr>
        <w:spacing w:after="0" w:line="176" w:lineRule="exact"/>
        <w:rPr>
          <w:sz w:val="20"/>
          <w:szCs w:val="20"/>
          <w:color w:val="auto"/>
        </w:rPr>
      </w:pPr>
    </w:p>
    <w:p>
      <w:pPr>
        <w:ind w:left="220"/>
        <w:spacing w:after="0" w:line="322" w:lineRule="auto"/>
        <w:rPr>
          <w:sz w:val="20"/>
          <w:szCs w:val="20"/>
          <w:color w:val="auto"/>
        </w:rPr>
      </w:pPr>
      <w:r>
        <w:rPr>
          <w:rFonts w:ascii="Arial" w:cs="Arial" w:eastAsia="Arial" w:hAnsi="Arial"/>
          <w:sz w:val="16"/>
          <w:szCs w:val="16"/>
          <w:color w:val="auto"/>
        </w:rPr>
        <w:t>The Compensation Committee is responsible for annually reviewing and recommending to the Board for approval the corporate goals and objectives relevant to the compensation of the executive officers of the Company, evaluating the executive officers’ performance in light of those goals and objectives, and recommending for approval to the Board the executive officers’ compensation levels based on this evaluation.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FF7F32"/>
        </w:rPr>
        <w:t>Chief Executive Officer</w:t>
      </w:r>
    </w:p>
    <w:p>
      <w:pPr>
        <w:spacing w:after="0" w:line="176"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From time to time, the Compensation Committee may seek input and recommendations from the Chief Executive Officer regarding the compensation of other executive officers; however, the Chief Executive Officer is not present during voting or deliberations on his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FF7F32"/>
        </w:rPr>
        <w:t>Compensation Consultant</w:t>
      </w:r>
    </w:p>
    <w:p>
      <w:pPr>
        <w:spacing w:after="0" w:line="176" w:lineRule="exact"/>
        <w:rPr>
          <w:sz w:val="20"/>
          <w:szCs w:val="20"/>
          <w:color w:val="auto"/>
        </w:rPr>
      </w:pPr>
    </w:p>
    <w:p>
      <w:pPr>
        <w:ind w:right="240"/>
        <w:spacing w:after="0" w:line="321" w:lineRule="auto"/>
        <w:rPr>
          <w:sz w:val="20"/>
          <w:szCs w:val="20"/>
          <w:color w:val="auto"/>
        </w:rPr>
      </w:pPr>
      <w:r>
        <w:rPr>
          <w:rFonts w:ascii="Arial" w:cs="Arial" w:eastAsia="Arial" w:hAnsi="Arial"/>
          <w:sz w:val="16"/>
          <w:szCs w:val="16"/>
          <w:color w:val="auto"/>
        </w:rPr>
        <w:t>Our Compensation Committee engaged Aon’s Human Capital Solutions practice, a division of Aon PLC (“Aon”), otherwise known as McLagan, as its executive compensation consultant beginning during fiscal year 2022. In this capacity, Aon advised the Compensation Committee on the structure and design of our executive compensation program, including the amount and mix of compensation for fiscal years 2022, 2023, 2024, and 2025, on the Company’s comparative peer group, and director compensation.</w:t>
      </w:r>
    </w:p>
    <w:p>
      <w:pPr>
        <w:spacing w:after="0" w:line="200" w:lineRule="exact"/>
        <w:rPr>
          <w:sz w:val="20"/>
          <w:szCs w:val="20"/>
          <w:color w:val="auto"/>
        </w:rPr>
      </w:pPr>
    </w:p>
    <w:p>
      <w:pPr>
        <w:sectPr>
          <w:pgSz w:w="11900" w:h="16838" w:orient="portrait"/>
          <w:cols w:equalWidth="0" w:num="3">
            <w:col w:w="3420" w:space="560"/>
            <w:col w:w="3200" w:space="580"/>
            <w:col w:w="3480"/>
          </w:cols>
          <w:pgMar w:left="320" w:top="257" w:right="339" w:bottom="1440" w:gutter="0" w:footer="0" w:header="0"/>
          <w:type w:val="continuous"/>
        </w:sectPr>
      </w:pPr>
    </w:p>
    <w:p>
      <w:pPr>
        <w:spacing w:after="0" w:line="58" w:lineRule="exact"/>
        <w:rPr>
          <w:sz w:val="20"/>
          <w:szCs w:val="20"/>
          <w:color w:val="auto"/>
        </w:rPr>
      </w:pPr>
    </w:p>
    <w:p>
      <w:pPr>
        <w:spacing w:after="0"/>
        <w:rPr>
          <w:sz w:val="20"/>
          <w:szCs w:val="20"/>
          <w:color w:val="auto"/>
        </w:rPr>
      </w:pPr>
      <w:r>
        <w:rPr>
          <w:rFonts w:ascii="Arial" w:cs="Arial" w:eastAsia="Arial" w:hAnsi="Arial"/>
          <w:sz w:val="29"/>
          <w:szCs w:val="29"/>
          <w:b w:val="1"/>
          <w:bCs w:val="1"/>
          <w:color w:val="FF7F32"/>
        </w:rPr>
        <w:t>Market Analysis</w:t>
      </w:r>
      <w:r>
        <w:rPr>
          <w:sz w:val="1"/>
          <w:szCs w:val="1"/>
          <w:color w:val="auto"/>
        </w:rPr>
        <w:drawing>
          <wp:inline distT="0" distB="0" distL="0" distR="0">
            <wp:extent cx="737235" cy="368300"/>
            <wp:effectExtent l="0" t="0" r="0" b="0"/>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37235" cy="368300"/>
                    </a:xfrm>
                    <a:prstGeom prst="rect">
                      <a:avLst/>
                    </a:prstGeom>
                    <a:noFill/>
                    <a:ln>
                      <a:noFill/>
                    </a:ln>
                  </pic:spPr>
                </pic:pic>
              </a:graphicData>
            </a:graphic>
          </wp:inline>
        </w:drawing>
        <w:drawing>
          <wp:inline distT="0" distB="0" distL="0" distR="0">
            <wp:extent cx="368300" cy="368300"/>
            <wp:effectExtent l="0" t="0" r="0" b="0"/>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68300" cy="368300"/>
                    </a:xfrm>
                    <a:prstGeom prst="rect">
                      <a:avLst/>
                    </a:prstGeom>
                    <a:noFill/>
                    <a:ln>
                      <a:noFill/>
                    </a:ln>
                  </pic:spPr>
                </pic:pic>
              </a:graphicData>
            </a:graphic>
          </wp:inline>
        </w:drawing>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Our peer group was selected based on industry relevancy with revenue and market capitalization metrics utilized to ensure appropriate size comparisons.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The peer group approved and used by the Compensation Committee during fiscal year 2025 was made up of these 16 companies: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444"/>
        </w:trPr>
        <w:tc>
          <w:tcPr>
            <w:tcW w:w="3740" w:type="dxa"/>
            <w:vAlign w:val="bottom"/>
            <w:shd w:val="clear" w:color="auto" w:fill="E5EAF8"/>
          </w:tcPr>
          <w:p>
            <w:pPr>
              <w:ind w:left="220"/>
              <w:spacing w:after="0"/>
              <w:rPr>
                <w:sz w:val="20"/>
                <w:szCs w:val="20"/>
                <w:color w:val="auto"/>
              </w:rPr>
            </w:pPr>
            <w:r>
              <w:rPr>
                <w:rFonts w:ascii="Arial" w:cs="Arial" w:eastAsia="Arial" w:hAnsi="Arial"/>
                <w:sz w:val="16"/>
                <w:szCs w:val="16"/>
                <w:color w:val="auto"/>
              </w:rPr>
              <w:t>Atlanticus Holding Corporation</w:t>
            </w:r>
          </w:p>
        </w:tc>
        <w:tc>
          <w:tcPr>
            <w:tcW w:w="3740" w:type="dxa"/>
            <w:vAlign w:val="bottom"/>
            <w:shd w:val="clear" w:color="auto" w:fill="E5EAF8"/>
          </w:tcPr>
          <w:p>
            <w:pPr>
              <w:ind w:left="20"/>
              <w:spacing w:after="0"/>
              <w:rPr>
                <w:sz w:val="20"/>
                <w:szCs w:val="20"/>
                <w:color w:val="auto"/>
              </w:rPr>
            </w:pPr>
            <w:r>
              <w:rPr>
                <w:rFonts w:ascii="Arial" w:cs="Arial" w:eastAsia="Arial" w:hAnsi="Arial"/>
                <w:sz w:val="16"/>
                <w:szCs w:val="16"/>
                <w:color w:val="auto"/>
              </w:rPr>
              <w:t>CPI Card Group, Inc.</w:t>
            </w:r>
          </w:p>
        </w:tc>
        <w:tc>
          <w:tcPr>
            <w:tcW w:w="3760" w:type="dxa"/>
            <w:vAlign w:val="bottom"/>
            <w:shd w:val="clear" w:color="auto" w:fill="E5EAF8"/>
          </w:tcPr>
          <w:p>
            <w:pPr>
              <w:ind w:left="20"/>
              <w:spacing w:after="0"/>
              <w:rPr>
                <w:sz w:val="20"/>
                <w:szCs w:val="20"/>
                <w:color w:val="auto"/>
              </w:rPr>
            </w:pPr>
            <w:r>
              <w:rPr>
                <w:rFonts w:ascii="Arial" w:cs="Arial" w:eastAsia="Arial" w:hAnsi="Arial"/>
                <w:sz w:val="16"/>
                <w:szCs w:val="16"/>
                <w:color w:val="auto"/>
              </w:rPr>
              <w:t>PaySign, Inc.</w:t>
            </w:r>
          </w:p>
        </w:tc>
      </w:tr>
      <w:tr>
        <w:trPr>
          <w:trHeight w:val="243"/>
        </w:trPr>
        <w:tc>
          <w:tcPr>
            <w:tcW w:w="3740" w:type="dxa"/>
            <w:vAlign w:val="bottom"/>
            <w:shd w:val="clear" w:color="auto" w:fill="E5EAF8"/>
          </w:tcPr>
          <w:p>
            <w:pPr>
              <w:ind w:left="220"/>
              <w:spacing w:after="0"/>
              <w:rPr>
                <w:sz w:val="20"/>
                <w:szCs w:val="20"/>
                <w:color w:val="auto"/>
              </w:rPr>
            </w:pPr>
            <w:r>
              <w:rPr>
                <w:rFonts w:ascii="Arial" w:cs="Arial" w:eastAsia="Arial" w:hAnsi="Arial"/>
                <w:sz w:val="16"/>
                <w:szCs w:val="16"/>
                <w:color w:val="auto"/>
              </w:rPr>
              <w:t>AvidXchange Holdings, Inc.</w:t>
            </w:r>
          </w:p>
        </w:tc>
        <w:tc>
          <w:tcPr>
            <w:tcW w:w="3740" w:type="dxa"/>
            <w:vAlign w:val="bottom"/>
            <w:shd w:val="clear" w:color="auto" w:fill="E5EAF8"/>
          </w:tcPr>
          <w:p>
            <w:pPr>
              <w:ind w:left="20"/>
              <w:spacing w:after="0"/>
              <w:rPr>
                <w:sz w:val="20"/>
                <w:szCs w:val="20"/>
                <w:color w:val="auto"/>
              </w:rPr>
            </w:pPr>
            <w:r>
              <w:rPr>
                <w:rFonts w:ascii="Arial" w:cs="Arial" w:eastAsia="Arial" w:hAnsi="Arial"/>
                <w:sz w:val="16"/>
                <w:szCs w:val="16"/>
                <w:color w:val="auto"/>
              </w:rPr>
              <w:t>Flywire Corporation</w:t>
            </w:r>
          </w:p>
        </w:tc>
        <w:tc>
          <w:tcPr>
            <w:tcW w:w="3760" w:type="dxa"/>
            <w:vAlign w:val="bottom"/>
            <w:shd w:val="clear" w:color="auto" w:fill="E5EAF8"/>
          </w:tcPr>
          <w:p>
            <w:pPr>
              <w:ind w:left="20"/>
              <w:spacing w:after="0"/>
              <w:rPr>
                <w:sz w:val="20"/>
                <w:szCs w:val="20"/>
                <w:color w:val="auto"/>
              </w:rPr>
            </w:pPr>
            <w:r>
              <w:rPr>
                <w:rFonts w:ascii="Arial" w:cs="Arial" w:eastAsia="Arial" w:hAnsi="Arial"/>
                <w:sz w:val="16"/>
                <w:szCs w:val="16"/>
                <w:color w:val="auto"/>
              </w:rPr>
              <w:t>Priority Technology Holdings, Inc.</w:t>
            </w:r>
          </w:p>
        </w:tc>
      </w:tr>
      <w:tr>
        <w:trPr>
          <w:trHeight w:val="257"/>
        </w:trPr>
        <w:tc>
          <w:tcPr>
            <w:tcW w:w="3740" w:type="dxa"/>
            <w:vAlign w:val="bottom"/>
            <w:shd w:val="clear" w:color="auto" w:fill="E5EAF8"/>
          </w:tcPr>
          <w:p>
            <w:pPr>
              <w:ind w:left="220"/>
              <w:spacing w:after="0"/>
              <w:rPr>
                <w:sz w:val="20"/>
                <w:szCs w:val="20"/>
                <w:color w:val="auto"/>
              </w:rPr>
            </w:pPr>
            <w:r>
              <w:rPr>
                <w:rFonts w:ascii="Arial" w:cs="Arial" w:eastAsia="Arial" w:hAnsi="Arial"/>
                <w:sz w:val="16"/>
                <w:szCs w:val="16"/>
                <w:color w:val="auto"/>
              </w:rPr>
              <w:t>Bakkt Holdings, Inc.</w:t>
            </w:r>
          </w:p>
        </w:tc>
        <w:tc>
          <w:tcPr>
            <w:tcW w:w="3740" w:type="dxa"/>
            <w:vAlign w:val="bottom"/>
            <w:shd w:val="clear" w:color="auto" w:fill="E5EAF8"/>
          </w:tcPr>
          <w:p>
            <w:pPr>
              <w:ind w:left="20"/>
              <w:spacing w:after="0"/>
              <w:rPr>
                <w:sz w:val="20"/>
                <w:szCs w:val="20"/>
                <w:color w:val="auto"/>
              </w:rPr>
            </w:pPr>
            <w:r>
              <w:rPr>
                <w:rFonts w:ascii="Arial" w:cs="Arial" w:eastAsia="Arial" w:hAnsi="Arial"/>
                <w:sz w:val="16"/>
                <w:szCs w:val="16"/>
                <w:color w:val="auto"/>
              </w:rPr>
              <w:t>i3 Verticals, Inc.</w:t>
            </w:r>
          </w:p>
        </w:tc>
        <w:tc>
          <w:tcPr>
            <w:tcW w:w="3760" w:type="dxa"/>
            <w:vAlign w:val="bottom"/>
            <w:shd w:val="clear" w:color="auto" w:fill="E5EAF8"/>
          </w:tcPr>
          <w:p>
            <w:pPr>
              <w:ind w:left="20"/>
              <w:spacing w:after="0"/>
              <w:rPr>
                <w:sz w:val="20"/>
                <w:szCs w:val="20"/>
                <w:color w:val="auto"/>
              </w:rPr>
            </w:pPr>
            <w:r>
              <w:rPr>
                <w:rFonts w:ascii="Arial" w:cs="Arial" w:eastAsia="Arial" w:hAnsi="Arial"/>
                <w:sz w:val="16"/>
                <w:szCs w:val="16"/>
                <w:color w:val="auto"/>
              </w:rPr>
              <w:t>Repay Holdings Corporation</w:t>
            </w:r>
          </w:p>
        </w:tc>
      </w:tr>
      <w:tr>
        <w:trPr>
          <w:trHeight w:val="243"/>
        </w:trPr>
        <w:tc>
          <w:tcPr>
            <w:tcW w:w="3740" w:type="dxa"/>
            <w:vAlign w:val="bottom"/>
            <w:shd w:val="clear" w:color="auto" w:fill="E5EAF8"/>
          </w:tcPr>
          <w:p>
            <w:pPr>
              <w:ind w:left="220"/>
              <w:spacing w:after="0"/>
              <w:rPr>
                <w:sz w:val="20"/>
                <w:szCs w:val="20"/>
                <w:color w:val="auto"/>
              </w:rPr>
            </w:pPr>
            <w:r>
              <w:rPr>
                <w:rFonts w:ascii="Arial" w:cs="Arial" w:eastAsia="Arial" w:hAnsi="Arial"/>
                <w:sz w:val="16"/>
                <w:szCs w:val="16"/>
                <w:color w:val="auto"/>
              </w:rPr>
              <w:t>Cardlytics, Inc.</w:t>
            </w:r>
          </w:p>
        </w:tc>
        <w:tc>
          <w:tcPr>
            <w:tcW w:w="3740" w:type="dxa"/>
            <w:vAlign w:val="bottom"/>
            <w:shd w:val="clear" w:color="auto" w:fill="E5EAF8"/>
          </w:tcPr>
          <w:p>
            <w:pPr>
              <w:ind w:left="20"/>
              <w:spacing w:after="0"/>
              <w:rPr>
                <w:sz w:val="20"/>
                <w:szCs w:val="20"/>
                <w:color w:val="auto"/>
              </w:rPr>
            </w:pPr>
            <w:r>
              <w:rPr>
                <w:rFonts w:ascii="Arial" w:cs="Arial" w:eastAsia="Arial" w:hAnsi="Arial"/>
                <w:sz w:val="16"/>
                <w:szCs w:val="16"/>
                <w:color w:val="auto"/>
              </w:rPr>
              <w:t>International Money Express, Inc.</w:t>
            </w:r>
          </w:p>
        </w:tc>
        <w:tc>
          <w:tcPr>
            <w:tcW w:w="3760" w:type="dxa"/>
            <w:vAlign w:val="bottom"/>
            <w:shd w:val="clear" w:color="auto" w:fill="E5EAF8"/>
          </w:tcPr>
          <w:p>
            <w:pPr>
              <w:ind w:left="20"/>
              <w:spacing w:after="0"/>
              <w:rPr>
                <w:sz w:val="20"/>
                <w:szCs w:val="20"/>
                <w:color w:val="auto"/>
              </w:rPr>
            </w:pPr>
            <w:r>
              <w:rPr>
                <w:rFonts w:ascii="Arial" w:cs="Arial" w:eastAsia="Arial" w:hAnsi="Arial"/>
                <w:sz w:val="16"/>
                <w:szCs w:val="16"/>
                <w:color w:val="auto"/>
              </w:rPr>
              <w:t>Sezzle, Inc.</w:t>
            </w:r>
          </w:p>
        </w:tc>
      </w:tr>
      <w:tr>
        <w:trPr>
          <w:trHeight w:val="243"/>
        </w:trPr>
        <w:tc>
          <w:tcPr>
            <w:tcW w:w="3740" w:type="dxa"/>
            <w:vAlign w:val="bottom"/>
            <w:shd w:val="clear" w:color="auto" w:fill="E5EAF8"/>
          </w:tcPr>
          <w:p>
            <w:pPr>
              <w:ind w:left="220"/>
              <w:spacing w:after="0"/>
              <w:rPr>
                <w:sz w:val="20"/>
                <w:szCs w:val="20"/>
                <w:color w:val="auto"/>
              </w:rPr>
            </w:pPr>
            <w:r>
              <w:rPr>
                <w:rFonts w:ascii="Arial" w:cs="Arial" w:eastAsia="Arial" w:hAnsi="Arial"/>
                <w:sz w:val="16"/>
                <w:szCs w:val="16"/>
                <w:color w:val="auto"/>
              </w:rPr>
              <w:t>Cass Information Systems, Inc.</w:t>
            </w:r>
          </w:p>
        </w:tc>
        <w:tc>
          <w:tcPr>
            <w:tcW w:w="3740" w:type="dxa"/>
            <w:vAlign w:val="bottom"/>
            <w:shd w:val="clear" w:color="auto" w:fill="E5EAF8"/>
          </w:tcPr>
          <w:p>
            <w:pPr>
              <w:ind w:left="20"/>
              <w:spacing w:after="0"/>
              <w:rPr>
                <w:sz w:val="20"/>
                <w:szCs w:val="20"/>
                <w:color w:val="auto"/>
              </w:rPr>
            </w:pPr>
            <w:r>
              <w:rPr>
                <w:rFonts w:ascii="Arial" w:cs="Arial" w:eastAsia="Arial" w:hAnsi="Arial"/>
                <w:sz w:val="16"/>
                <w:szCs w:val="16"/>
                <w:color w:val="auto"/>
              </w:rPr>
              <w:t>PAR Technology Corporation</w:t>
            </w:r>
          </w:p>
        </w:tc>
        <w:tc>
          <w:tcPr>
            <w:tcW w:w="3760" w:type="dxa"/>
            <w:vAlign w:val="bottom"/>
            <w:shd w:val="clear" w:color="auto" w:fill="E5EAF8"/>
          </w:tcPr>
          <w:p>
            <w:pPr>
              <w:ind w:left="20"/>
              <w:spacing w:after="0"/>
              <w:rPr>
                <w:sz w:val="20"/>
                <w:szCs w:val="20"/>
                <w:color w:val="auto"/>
              </w:rPr>
            </w:pPr>
            <w:r>
              <w:rPr>
                <w:rFonts w:ascii="Arial" w:cs="Arial" w:eastAsia="Arial" w:hAnsi="Arial"/>
                <w:sz w:val="16"/>
                <w:szCs w:val="16"/>
                <w:color w:val="auto"/>
              </w:rPr>
              <w:t>Usio, Inc.</w:t>
            </w:r>
          </w:p>
        </w:tc>
      </w:tr>
      <w:tr>
        <w:trPr>
          <w:trHeight w:val="243"/>
        </w:trPr>
        <w:tc>
          <w:tcPr>
            <w:tcW w:w="3740" w:type="dxa"/>
            <w:vAlign w:val="bottom"/>
            <w:shd w:val="clear" w:color="auto" w:fill="E5EAF8"/>
          </w:tcPr>
          <w:p>
            <w:pPr>
              <w:ind w:left="220"/>
              <w:spacing w:after="0"/>
              <w:rPr>
                <w:sz w:val="20"/>
                <w:szCs w:val="20"/>
                <w:color w:val="auto"/>
              </w:rPr>
            </w:pPr>
            <w:r>
              <w:rPr>
                <w:rFonts w:ascii="Arial" w:cs="Arial" w:eastAsia="Arial" w:hAnsi="Arial"/>
                <w:sz w:val="16"/>
                <w:szCs w:val="16"/>
                <w:color w:val="auto"/>
              </w:rPr>
              <w:t>CoreCard Corporation</w:t>
            </w:r>
          </w:p>
        </w:tc>
        <w:tc>
          <w:tcPr>
            <w:tcW w:w="3740" w:type="dxa"/>
            <w:vAlign w:val="bottom"/>
            <w:shd w:val="clear" w:color="auto" w:fill="E5EAF8"/>
          </w:tcPr>
          <w:p>
            <w:pPr>
              <w:spacing w:after="0"/>
              <w:rPr>
                <w:sz w:val="21"/>
                <w:szCs w:val="21"/>
                <w:color w:val="auto"/>
              </w:rPr>
            </w:pPr>
          </w:p>
        </w:tc>
        <w:tc>
          <w:tcPr>
            <w:tcW w:w="3760" w:type="dxa"/>
            <w:vAlign w:val="bottom"/>
            <w:shd w:val="clear" w:color="auto" w:fill="E5EAF8"/>
          </w:tcPr>
          <w:p>
            <w:pPr>
              <w:spacing w:after="0"/>
              <w:rPr>
                <w:sz w:val="21"/>
                <w:szCs w:val="21"/>
                <w:color w:val="auto"/>
              </w:rPr>
            </w:pPr>
          </w:p>
        </w:tc>
      </w:tr>
      <w:tr>
        <w:trPr>
          <w:trHeight w:val="393"/>
        </w:trPr>
        <w:tc>
          <w:tcPr>
            <w:tcW w:w="3740" w:type="dxa"/>
            <w:vAlign w:val="bottom"/>
            <w:shd w:val="clear" w:color="auto" w:fill="E5EAF8"/>
          </w:tcPr>
          <w:p>
            <w:pPr>
              <w:spacing w:after="0"/>
              <w:rPr>
                <w:sz w:val="24"/>
                <w:szCs w:val="24"/>
                <w:color w:val="auto"/>
              </w:rPr>
            </w:pPr>
          </w:p>
        </w:tc>
        <w:tc>
          <w:tcPr>
            <w:tcW w:w="3740" w:type="dxa"/>
            <w:vAlign w:val="bottom"/>
            <w:shd w:val="clear" w:color="auto" w:fill="E5EAF8"/>
          </w:tcPr>
          <w:p>
            <w:pPr>
              <w:spacing w:after="0"/>
              <w:rPr>
                <w:sz w:val="24"/>
                <w:szCs w:val="24"/>
                <w:color w:val="auto"/>
              </w:rPr>
            </w:pPr>
          </w:p>
        </w:tc>
        <w:tc>
          <w:tcPr>
            <w:tcW w:w="3760" w:type="dxa"/>
            <w:vAlign w:val="bottom"/>
            <w:shd w:val="clear" w:color="auto" w:fill="E5EAF8"/>
          </w:tcPr>
          <w:p>
            <w:pPr>
              <w:spacing w:after="0"/>
              <w:rPr>
                <w:sz w:val="24"/>
                <w:szCs w:val="24"/>
                <w:color w:val="auto"/>
              </w:rPr>
            </w:pPr>
          </w:p>
        </w:tc>
      </w:tr>
      <w:tr>
        <w:trPr>
          <w:trHeight w:val="586"/>
        </w:trPr>
        <w:tc>
          <w:tcPr>
            <w:tcW w:w="3740" w:type="dxa"/>
            <w:vAlign w:val="bottom"/>
          </w:tcPr>
          <w:p>
            <w:pPr>
              <w:ind w:left="20"/>
              <w:spacing w:after="0"/>
              <w:rPr>
                <w:sz w:val="20"/>
                <w:szCs w:val="20"/>
                <w:color w:val="auto"/>
              </w:rPr>
            </w:pPr>
            <w:r>
              <w:rPr>
                <w:rFonts w:ascii="Arial" w:cs="Arial" w:eastAsia="Arial" w:hAnsi="Arial"/>
                <w:sz w:val="13"/>
                <w:szCs w:val="13"/>
                <w:b w:val="1"/>
                <w:bCs w:val="1"/>
                <w:color w:val="auto"/>
              </w:rPr>
              <w:t>50</w:t>
            </w:r>
          </w:p>
        </w:tc>
        <w:tc>
          <w:tcPr>
            <w:tcW w:w="3740" w:type="dxa"/>
            <w:vAlign w:val="bottom"/>
          </w:tcPr>
          <w:p>
            <w:pPr>
              <w:spacing w:after="0"/>
              <w:rPr>
                <w:sz w:val="24"/>
                <w:szCs w:val="24"/>
                <w:color w:val="auto"/>
              </w:rPr>
            </w:pPr>
          </w:p>
        </w:tc>
        <w:tc>
          <w:tcPr>
            <w:tcW w:w="3760" w:type="dxa"/>
            <w:vAlign w:val="bottom"/>
          </w:tcPr>
          <w:p>
            <w:pPr>
              <w:ind w:left="2500"/>
              <w:spacing w:after="0"/>
              <w:rPr>
                <w:sz w:val="20"/>
                <w:szCs w:val="20"/>
                <w:color w:val="auto"/>
              </w:rPr>
            </w:pPr>
            <w:r>
              <w:rPr>
                <w:rFonts w:ascii="Arial" w:cs="Arial" w:eastAsia="Arial" w:hAnsi="Arial"/>
                <w:sz w:val="13"/>
                <w:szCs w:val="13"/>
                <w:b w:val="1"/>
                <w:bCs w:val="1"/>
                <w:color w:val="FF7F32"/>
                <w:w w:val="96"/>
              </w:rPr>
              <w:t xml:space="preserve">2026 </w:t>
            </w:r>
            <w:r>
              <w:rPr>
                <w:rFonts w:ascii="Arial" w:cs="Arial" w:eastAsia="Arial" w:hAnsi="Arial"/>
                <w:sz w:val="13"/>
                <w:szCs w:val="13"/>
                <w:color w:val="000000"/>
                <w:w w:val="96"/>
              </w:rPr>
              <w:t>Proxy Statement</w:t>
            </w:r>
          </w:p>
        </w:tc>
      </w:tr>
      <w:tr>
        <w:trPr>
          <w:trHeight w:val="434"/>
        </w:trPr>
        <w:tc>
          <w:tcPr>
            <w:tcW w:w="374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-496570</wp:posOffset>
            </wp:positionV>
            <wp:extent cx="925830" cy="26543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925830" cy="265430"/>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3"/>
          <w:szCs w:val="13"/>
          <w:color w:val="202945"/>
        </w:rPr>
        <w:t>Compensation Discussion &amp;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32"/>
          <w:szCs w:val="32"/>
          <w:b w:val="1"/>
          <w:bCs w:val="1"/>
          <w:color w:val="202945"/>
        </w:rPr>
        <w:t>Fiscal Year 2025 Executive Compensation</w:t>
      </w:r>
    </w:p>
    <w:p>
      <w:pPr>
        <w:spacing w:after="0" w:line="269" w:lineRule="exact"/>
        <w:rPr>
          <w:sz w:val="20"/>
          <w:szCs w:val="20"/>
          <w:color w:val="auto"/>
        </w:rPr>
      </w:pPr>
    </w:p>
    <w:p>
      <w:pPr>
        <w:ind w:right="180"/>
        <w:spacing w:after="0" w:line="356" w:lineRule="auto"/>
        <w:rPr>
          <w:sz w:val="20"/>
          <w:szCs w:val="20"/>
          <w:color w:val="auto"/>
        </w:rPr>
      </w:pPr>
      <w:r>
        <w:rPr>
          <w:rFonts w:ascii="Arial" w:cs="Arial" w:eastAsia="Arial" w:hAnsi="Arial"/>
          <w:sz w:val="16"/>
          <w:szCs w:val="16"/>
          <w:color w:val="auto"/>
        </w:rPr>
        <w:t>The summary below represents the Company’s 2025 executive compensation overview. See “Executive Officer Employment Arrangements on page 58 for more information.</w:t>
      </w:r>
    </w:p>
    <w:p>
      <w:pPr>
        <w:spacing w:after="0" w:line="204" w:lineRule="exact"/>
        <w:rPr>
          <w:sz w:val="20"/>
          <w:szCs w:val="20"/>
          <w:color w:val="auto"/>
        </w:rPr>
      </w:pPr>
    </w:p>
    <w:p>
      <w:pPr>
        <w:spacing w:after="0"/>
        <w:rPr>
          <w:sz w:val="20"/>
          <w:szCs w:val="20"/>
          <w:color w:val="auto"/>
        </w:rPr>
      </w:pPr>
      <w:r>
        <w:rPr>
          <w:rFonts w:ascii="Arial" w:cs="Arial" w:eastAsia="Arial" w:hAnsi="Arial"/>
          <w:sz w:val="29"/>
          <w:szCs w:val="29"/>
          <w:b w:val="1"/>
          <w:bCs w:val="1"/>
          <w:color w:val="FF7F32"/>
        </w:rPr>
        <w:t>Base Salary</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980" w:type="dxa"/>
            <w:vAlign w:val="bottom"/>
          </w:tcPr>
          <w:p>
            <w:pPr>
              <w:spacing w:after="0"/>
              <w:rPr>
                <w:sz w:val="17"/>
                <w:szCs w:val="17"/>
                <w:color w:val="auto"/>
              </w:rPr>
            </w:pPr>
          </w:p>
        </w:tc>
        <w:tc>
          <w:tcPr>
            <w:tcW w:w="4300" w:type="dxa"/>
            <w:vAlign w:val="bottom"/>
          </w:tcPr>
          <w:p>
            <w:pPr>
              <w:ind w:left="3260"/>
              <w:spacing w:after="0"/>
              <w:rPr>
                <w:sz w:val="20"/>
                <w:szCs w:val="20"/>
                <w:color w:val="auto"/>
              </w:rPr>
            </w:pPr>
            <w:r>
              <w:rPr>
                <w:rFonts w:ascii="Arial" w:cs="Arial" w:eastAsia="Arial" w:hAnsi="Arial"/>
                <w:sz w:val="14"/>
                <w:szCs w:val="14"/>
                <w:b w:val="1"/>
                <w:bCs w:val="1"/>
                <w:color w:val="404040"/>
              </w:rPr>
              <w:t>Fiscal 2025</w:t>
            </w:r>
          </w:p>
        </w:tc>
        <w:tc>
          <w:tcPr>
            <w:tcW w:w="1900" w:type="dxa"/>
            <w:vAlign w:val="bottom"/>
          </w:tcPr>
          <w:p>
            <w:pPr>
              <w:jc w:val="right"/>
              <w:ind w:right="208"/>
              <w:spacing w:after="0"/>
              <w:rPr>
                <w:sz w:val="20"/>
                <w:szCs w:val="20"/>
                <w:color w:val="auto"/>
              </w:rPr>
            </w:pPr>
            <w:r>
              <w:rPr>
                <w:rFonts w:ascii="Arial" w:cs="Arial" w:eastAsia="Arial" w:hAnsi="Arial"/>
                <w:sz w:val="14"/>
                <w:szCs w:val="14"/>
                <w:b w:val="1"/>
                <w:bCs w:val="1"/>
                <w:color w:val="404040"/>
              </w:rPr>
              <w:t>Fiscal 2025</w:t>
            </w:r>
          </w:p>
        </w:tc>
        <w:tc>
          <w:tcPr>
            <w:tcW w:w="1060" w:type="dxa"/>
            <w:vAlign w:val="bottom"/>
          </w:tcPr>
          <w:p>
            <w:pPr>
              <w:spacing w:after="0"/>
              <w:rPr>
                <w:sz w:val="17"/>
                <w:szCs w:val="17"/>
                <w:color w:val="auto"/>
              </w:rPr>
            </w:pPr>
          </w:p>
        </w:tc>
      </w:tr>
      <w:tr>
        <w:trPr>
          <w:trHeight w:val="203"/>
        </w:trPr>
        <w:tc>
          <w:tcPr>
            <w:tcW w:w="3980" w:type="dxa"/>
            <w:vAlign w:val="bottom"/>
          </w:tcPr>
          <w:p>
            <w:pPr>
              <w:spacing w:after="0"/>
              <w:rPr>
                <w:sz w:val="17"/>
                <w:szCs w:val="17"/>
                <w:color w:val="auto"/>
              </w:rPr>
            </w:pPr>
          </w:p>
        </w:tc>
        <w:tc>
          <w:tcPr>
            <w:tcW w:w="4300" w:type="dxa"/>
            <w:vAlign w:val="bottom"/>
          </w:tcPr>
          <w:p>
            <w:pPr>
              <w:jc w:val="right"/>
              <w:ind w:right="208"/>
              <w:spacing w:after="0"/>
              <w:rPr>
                <w:sz w:val="20"/>
                <w:szCs w:val="20"/>
                <w:color w:val="auto"/>
              </w:rPr>
            </w:pPr>
            <w:r>
              <w:rPr>
                <w:rFonts w:ascii="Arial" w:cs="Arial" w:eastAsia="Arial" w:hAnsi="Arial"/>
                <w:sz w:val="14"/>
                <w:szCs w:val="14"/>
                <w:b w:val="1"/>
                <w:bCs w:val="1"/>
                <w:color w:val="404040"/>
              </w:rPr>
              <w:t>Beginning-of-Year</w:t>
            </w:r>
          </w:p>
        </w:tc>
        <w:tc>
          <w:tcPr>
            <w:tcW w:w="1900" w:type="dxa"/>
            <w:vAlign w:val="bottom"/>
          </w:tcPr>
          <w:p>
            <w:pPr>
              <w:jc w:val="right"/>
              <w:ind w:right="208"/>
              <w:spacing w:after="0"/>
              <w:rPr>
                <w:sz w:val="20"/>
                <w:szCs w:val="20"/>
                <w:color w:val="auto"/>
              </w:rPr>
            </w:pPr>
            <w:r>
              <w:rPr>
                <w:rFonts w:ascii="Arial" w:cs="Arial" w:eastAsia="Arial" w:hAnsi="Arial"/>
                <w:sz w:val="14"/>
                <w:szCs w:val="14"/>
                <w:b w:val="1"/>
                <w:bCs w:val="1"/>
                <w:color w:val="404040"/>
              </w:rPr>
              <w:t>End-of-Year</w:t>
            </w:r>
          </w:p>
        </w:tc>
        <w:tc>
          <w:tcPr>
            <w:tcW w:w="1060" w:type="dxa"/>
            <w:vAlign w:val="bottom"/>
          </w:tcPr>
          <w:p>
            <w:pPr>
              <w:spacing w:after="0"/>
              <w:rPr>
                <w:sz w:val="17"/>
                <w:szCs w:val="17"/>
                <w:color w:val="auto"/>
              </w:rPr>
            </w:pPr>
          </w:p>
        </w:tc>
      </w:tr>
      <w:tr>
        <w:trPr>
          <w:trHeight w:val="203"/>
        </w:trPr>
        <w:tc>
          <w:tcPr>
            <w:tcW w:w="3980" w:type="dxa"/>
            <w:vAlign w:val="bottom"/>
          </w:tcPr>
          <w:p>
            <w:pPr>
              <w:ind w:left="20"/>
              <w:spacing w:after="0"/>
              <w:rPr>
                <w:sz w:val="20"/>
                <w:szCs w:val="20"/>
                <w:color w:val="auto"/>
              </w:rPr>
            </w:pPr>
            <w:r>
              <w:rPr>
                <w:rFonts w:ascii="Arial" w:cs="Arial" w:eastAsia="Arial" w:hAnsi="Arial"/>
                <w:sz w:val="14"/>
                <w:szCs w:val="14"/>
                <w:b w:val="1"/>
                <w:bCs w:val="1"/>
                <w:color w:val="404040"/>
              </w:rPr>
              <w:t>NEO</w:t>
            </w:r>
          </w:p>
        </w:tc>
        <w:tc>
          <w:tcPr>
            <w:tcW w:w="4300" w:type="dxa"/>
            <w:vAlign w:val="bottom"/>
          </w:tcPr>
          <w:p>
            <w:pPr>
              <w:jc w:val="right"/>
              <w:ind w:right="208"/>
              <w:spacing w:after="0"/>
              <w:rPr>
                <w:sz w:val="20"/>
                <w:szCs w:val="20"/>
                <w:color w:val="auto"/>
              </w:rPr>
            </w:pPr>
            <w:r>
              <w:rPr>
                <w:rFonts w:ascii="Arial" w:cs="Arial" w:eastAsia="Arial" w:hAnsi="Arial"/>
                <w:sz w:val="14"/>
                <w:szCs w:val="14"/>
                <w:b w:val="1"/>
                <w:bCs w:val="1"/>
                <w:color w:val="404040"/>
              </w:rPr>
              <w:t>Annual Base Salary</w:t>
            </w:r>
          </w:p>
        </w:tc>
        <w:tc>
          <w:tcPr>
            <w:tcW w:w="1900" w:type="dxa"/>
            <w:vAlign w:val="bottom"/>
          </w:tcPr>
          <w:p>
            <w:pPr>
              <w:jc w:val="right"/>
              <w:ind w:right="208"/>
              <w:spacing w:after="0"/>
              <w:rPr>
                <w:sz w:val="20"/>
                <w:szCs w:val="20"/>
                <w:color w:val="auto"/>
              </w:rPr>
            </w:pPr>
            <w:r>
              <w:rPr>
                <w:rFonts w:ascii="Arial" w:cs="Arial" w:eastAsia="Arial" w:hAnsi="Arial"/>
                <w:sz w:val="14"/>
                <w:szCs w:val="14"/>
                <w:b w:val="1"/>
                <w:bCs w:val="1"/>
                <w:color w:val="404040"/>
              </w:rPr>
              <w:t>Annual Base Salary</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404040"/>
              </w:rPr>
              <w:t>% Increase</w:t>
            </w:r>
          </w:p>
        </w:tc>
      </w:tr>
      <w:tr>
        <w:trPr>
          <w:trHeight w:val="43"/>
        </w:trPr>
        <w:tc>
          <w:tcPr>
            <w:tcW w:w="3980" w:type="dxa"/>
            <w:vAlign w:val="bottom"/>
            <w:tcBorders>
              <w:bottom w:val="single" w:sz="8" w:color="FF7F32"/>
            </w:tcBorders>
          </w:tcPr>
          <w:p>
            <w:pPr>
              <w:spacing w:after="0"/>
              <w:rPr>
                <w:sz w:val="3"/>
                <w:szCs w:val="3"/>
                <w:color w:val="auto"/>
              </w:rPr>
            </w:pPr>
          </w:p>
        </w:tc>
        <w:tc>
          <w:tcPr>
            <w:tcW w:w="4300" w:type="dxa"/>
            <w:vAlign w:val="bottom"/>
            <w:tcBorders>
              <w:bottom w:val="single" w:sz="8" w:color="FF7F32"/>
            </w:tcBorders>
          </w:tcPr>
          <w:p>
            <w:pPr>
              <w:spacing w:after="0"/>
              <w:rPr>
                <w:sz w:val="3"/>
                <w:szCs w:val="3"/>
                <w:color w:val="auto"/>
              </w:rPr>
            </w:pPr>
          </w:p>
        </w:tc>
        <w:tc>
          <w:tcPr>
            <w:tcW w:w="1900" w:type="dxa"/>
            <w:vAlign w:val="bottom"/>
            <w:tcBorders>
              <w:bottom w:val="single" w:sz="8" w:color="FF7F32"/>
            </w:tcBorders>
          </w:tcPr>
          <w:p>
            <w:pPr>
              <w:spacing w:after="0"/>
              <w:rPr>
                <w:sz w:val="3"/>
                <w:szCs w:val="3"/>
                <w:color w:val="auto"/>
              </w:rPr>
            </w:pPr>
          </w:p>
        </w:tc>
        <w:tc>
          <w:tcPr>
            <w:tcW w:w="1060" w:type="dxa"/>
            <w:vAlign w:val="bottom"/>
            <w:tcBorders>
              <w:bottom w:val="single" w:sz="8" w:color="FF7F32"/>
            </w:tcBorders>
          </w:tcPr>
          <w:p>
            <w:pPr>
              <w:spacing w:after="0"/>
              <w:rPr>
                <w:sz w:val="3"/>
                <w:szCs w:val="3"/>
                <w:color w:val="auto"/>
              </w:rPr>
            </w:pPr>
          </w:p>
        </w:tc>
      </w:tr>
      <w:tr>
        <w:trPr>
          <w:trHeight w:val="248"/>
        </w:trPr>
        <w:tc>
          <w:tcPr>
            <w:tcW w:w="3980" w:type="dxa"/>
            <w:vAlign w:val="bottom"/>
          </w:tcPr>
          <w:p>
            <w:pPr>
              <w:ind w:left="20"/>
              <w:spacing w:after="0"/>
              <w:rPr>
                <w:sz w:val="20"/>
                <w:szCs w:val="20"/>
                <w:color w:val="auto"/>
              </w:rPr>
            </w:pPr>
            <w:r>
              <w:rPr>
                <w:rFonts w:ascii="Arial" w:cs="Arial" w:eastAsia="Arial" w:hAnsi="Arial"/>
                <w:sz w:val="14"/>
                <w:szCs w:val="14"/>
                <w:b w:val="1"/>
                <w:bCs w:val="1"/>
                <w:color w:val="FF7F32"/>
              </w:rPr>
              <w:t>Mr. Venkatesan</w:t>
            </w:r>
          </w:p>
        </w:tc>
        <w:tc>
          <w:tcPr>
            <w:tcW w:w="4300" w:type="dxa"/>
            <w:vAlign w:val="bottom"/>
          </w:tcPr>
          <w:p>
            <w:pPr>
              <w:ind w:left="3260"/>
              <w:spacing w:after="0"/>
              <w:rPr>
                <w:sz w:val="20"/>
                <w:szCs w:val="20"/>
                <w:color w:val="auto"/>
              </w:rPr>
            </w:pPr>
            <w:r>
              <w:rPr>
                <w:rFonts w:ascii="Arial" w:cs="Arial" w:eastAsia="Arial" w:hAnsi="Arial"/>
                <w:sz w:val="14"/>
                <w:szCs w:val="14"/>
                <w:color w:val="auto"/>
              </w:rPr>
              <w:t>$450,000</w:t>
            </w:r>
          </w:p>
        </w:tc>
        <w:tc>
          <w:tcPr>
            <w:tcW w:w="1900" w:type="dxa"/>
            <w:vAlign w:val="bottom"/>
          </w:tcPr>
          <w:p>
            <w:pPr>
              <w:jc w:val="right"/>
              <w:ind w:right="368"/>
              <w:spacing w:after="0"/>
              <w:rPr>
                <w:sz w:val="20"/>
                <w:szCs w:val="20"/>
                <w:color w:val="auto"/>
              </w:rPr>
            </w:pPr>
            <w:r>
              <w:rPr>
                <w:rFonts w:ascii="Arial" w:cs="Arial" w:eastAsia="Arial" w:hAnsi="Arial"/>
                <w:sz w:val="14"/>
                <w:szCs w:val="14"/>
                <w:color w:val="auto"/>
              </w:rPr>
              <w:t>$450,000</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43"/>
        </w:trPr>
        <w:tc>
          <w:tcPr>
            <w:tcW w:w="3980" w:type="dxa"/>
            <w:vAlign w:val="bottom"/>
            <w:tcBorders>
              <w:bottom w:val="single" w:sz="8" w:color="D9D9D9"/>
            </w:tcBorders>
          </w:tcPr>
          <w:p>
            <w:pPr>
              <w:spacing w:after="0"/>
              <w:rPr>
                <w:sz w:val="3"/>
                <w:szCs w:val="3"/>
                <w:color w:val="auto"/>
              </w:rPr>
            </w:pPr>
          </w:p>
        </w:tc>
        <w:tc>
          <w:tcPr>
            <w:tcW w:w="4300" w:type="dxa"/>
            <w:vAlign w:val="bottom"/>
            <w:tcBorders>
              <w:bottom w:val="single" w:sz="8" w:color="D9D9D9"/>
            </w:tcBorders>
          </w:tcPr>
          <w:p>
            <w:pPr>
              <w:spacing w:after="0"/>
              <w:rPr>
                <w:sz w:val="3"/>
                <w:szCs w:val="3"/>
                <w:color w:val="auto"/>
              </w:rPr>
            </w:pPr>
          </w:p>
        </w:tc>
        <w:tc>
          <w:tcPr>
            <w:tcW w:w="1900" w:type="dxa"/>
            <w:vAlign w:val="bottom"/>
            <w:tcBorders>
              <w:bottom w:val="single" w:sz="8" w:color="D9D9D9"/>
            </w:tcBorders>
          </w:tcPr>
          <w:p>
            <w:pPr>
              <w:spacing w:after="0"/>
              <w:rPr>
                <w:sz w:val="3"/>
                <w:szCs w:val="3"/>
                <w:color w:val="auto"/>
              </w:rPr>
            </w:pPr>
          </w:p>
        </w:tc>
        <w:tc>
          <w:tcPr>
            <w:tcW w:w="1060" w:type="dxa"/>
            <w:vAlign w:val="bottom"/>
            <w:tcBorders>
              <w:bottom w:val="single" w:sz="8" w:color="D9D9D9"/>
            </w:tcBorders>
          </w:tcPr>
          <w:p>
            <w:pPr>
              <w:spacing w:after="0"/>
              <w:rPr>
                <w:sz w:val="3"/>
                <w:szCs w:val="3"/>
                <w:color w:val="auto"/>
              </w:rPr>
            </w:pPr>
          </w:p>
        </w:tc>
      </w:tr>
      <w:tr>
        <w:trPr>
          <w:trHeight w:val="248"/>
        </w:trPr>
        <w:tc>
          <w:tcPr>
            <w:tcW w:w="3980" w:type="dxa"/>
            <w:vAlign w:val="bottom"/>
          </w:tcPr>
          <w:p>
            <w:pPr>
              <w:ind w:left="20"/>
              <w:spacing w:after="0"/>
              <w:rPr>
                <w:sz w:val="20"/>
                <w:szCs w:val="20"/>
                <w:color w:val="auto"/>
              </w:rPr>
            </w:pPr>
            <w:r>
              <w:rPr>
                <w:rFonts w:ascii="Arial" w:cs="Arial" w:eastAsia="Arial" w:hAnsi="Arial"/>
                <w:sz w:val="14"/>
                <w:szCs w:val="14"/>
                <w:b w:val="1"/>
                <w:bCs w:val="1"/>
                <w:color w:val="FF7F32"/>
              </w:rPr>
              <w:t>Mr. Stewart</w:t>
            </w:r>
          </w:p>
        </w:tc>
        <w:tc>
          <w:tcPr>
            <w:tcW w:w="4300" w:type="dxa"/>
            <w:vAlign w:val="bottom"/>
          </w:tcPr>
          <w:p>
            <w:pPr>
              <w:ind w:left="3260"/>
              <w:spacing w:after="0"/>
              <w:rPr>
                <w:sz w:val="20"/>
                <w:szCs w:val="20"/>
                <w:color w:val="auto"/>
              </w:rPr>
            </w:pPr>
            <w:r>
              <w:rPr>
                <w:rFonts w:ascii="Arial" w:cs="Arial" w:eastAsia="Arial" w:hAnsi="Arial"/>
                <w:sz w:val="14"/>
                <w:szCs w:val="14"/>
                <w:color w:val="auto"/>
              </w:rPr>
              <w:t>$400,000</w:t>
            </w:r>
          </w:p>
        </w:tc>
        <w:tc>
          <w:tcPr>
            <w:tcW w:w="1900" w:type="dxa"/>
            <w:vAlign w:val="bottom"/>
          </w:tcPr>
          <w:p>
            <w:pPr>
              <w:jc w:val="right"/>
              <w:ind w:right="368"/>
              <w:spacing w:after="0"/>
              <w:rPr>
                <w:sz w:val="20"/>
                <w:szCs w:val="20"/>
                <w:color w:val="auto"/>
              </w:rPr>
            </w:pPr>
            <w:r>
              <w:rPr>
                <w:rFonts w:ascii="Arial" w:cs="Arial" w:eastAsia="Arial" w:hAnsi="Arial"/>
                <w:sz w:val="14"/>
                <w:szCs w:val="14"/>
                <w:color w:val="auto"/>
              </w:rPr>
              <w:t>$416,000</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4.00%</w:t>
            </w:r>
          </w:p>
        </w:tc>
      </w:tr>
      <w:tr>
        <w:trPr>
          <w:trHeight w:val="43"/>
        </w:trPr>
        <w:tc>
          <w:tcPr>
            <w:tcW w:w="3980" w:type="dxa"/>
            <w:vAlign w:val="bottom"/>
            <w:tcBorders>
              <w:bottom w:val="single" w:sz="8" w:color="D9D9D9"/>
            </w:tcBorders>
          </w:tcPr>
          <w:p>
            <w:pPr>
              <w:spacing w:after="0"/>
              <w:rPr>
                <w:sz w:val="3"/>
                <w:szCs w:val="3"/>
                <w:color w:val="auto"/>
              </w:rPr>
            </w:pPr>
          </w:p>
        </w:tc>
        <w:tc>
          <w:tcPr>
            <w:tcW w:w="4300" w:type="dxa"/>
            <w:vAlign w:val="bottom"/>
            <w:tcBorders>
              <w:bottom w:val="single" w:sz="8" w:color="D9D9D9"/>
            </w:tcBorders>
          </w:tcPr>
          <w:p>
            <w:pPr>
              <w:spacing w:after="0"/>
              <w:rPr>
                <w:sz w:val="3"/>
                <w:szCs w:val="3"/>
                <w:color w:val="auto"/>
              </w:rPr>
            </w:pPr>
          </w:p>
        </w:tc>
        <w:tc>
          <w:tcPr>
            <w:tcW w:w="1900" w:type="dxa"/>
            <w:vAlign w:val="bottom"/>
            <w:tcBorders>
              <w:bottom w:val="single" w:sz="8" w:color="D9D9D9"/>
            </w:tcBorders>
          </w:tcPr>
          <w:p>
            <w:pPr>
              <w:spacing w:after="0"/>
              <w:rPr>
                <w:sz w:val="3"/>
                <w:szCs w:val="3"/>
                <w:color w:val="auto"/>
              </w:rPr>
            </w:pPr>
          </w:p>
        </w:tc>
        <w:tc>
          <w:tcPr>
            <w:tcW w:w="1060" w:type="dxa"/>
            <w:vAlign w:val="bottom"/>
            <w:tcBorders>
              <w:bottom w:val="single" w:sz="8" w:color="D9D9D9"/>
            </w:tcBorders>
          </w:tcPr>
          <w:p>
            <w:pPr>
              <w:spacing w:after="0"/>
              <w:rPr>
                <w:sz w:val="3"/>
                <w:szCs w:val="3"/>
                <w:color w:val="auto"/>
              </w:rPr>
            </w:pPr>
          </w:p>
        </w:tc>
      </w:tr>
      <w:tr>
        <w:trPr>
          <w:trHeight w:val="248"/>
        </w:trPr>
        <w:tc>
          <w:tcPr>
            <w:tcW w:w="3980" w:type="dxa"/>
            <w:vAlign w:val="bottom"/>
          </w:tcPr>
          <w:p>
            <w:pPr>
              <w:ind w:left="20"/>
              <w:spacing w:after="0"/>
              <w:rPr>
                <w:sz w:val="20"/>
                <w:szCs w:val="20"/>
                <w:color w:val="auto"/>
              </w:rPr>
            </w:pPr>
            <w:r>
              <w:rPr>
                <w:rFonts w:ascii="Arial" w:cs="Arial" w:eastAsia="Arial" w:hAnsi="Arial"/>
                <w:sz w:val="14"/>
                <w:szCs w:val="14"/>
                <w:b w:val="1"/>
                <w:bCs w:val="1"/>
                <w:color w:val="FF7F32"/>
              </w:rPr>
              <w:t>Mr. Dumbrell</w:t>
            </w:r>
          </w:p>
        </w:tc>
        <w:tc>
          <w:tcPr>
            <w:tcW w:w="4300" w:type="dxa"/>
            <w:vAlign w:val="bottom"/>
          </w:tcPr>
          <w:p>
            <w:pPr>
              <w:ind w:left="3260"/>
              <w:spacing w:after="0"/>
              <w:rPr>
                <w:sz w:val="20"/>
                <w:szCs w:val="20"/>
                <w:color w:val="auto"/>
              </w:rPr>
            </w:pPr>
            <w:r>
              <w:rPr>
                <w:rFonts w:ascii="Arial" w:cs="Arial" w:eastAsia="Arial" w:hAnsi="Arial"/>
                <w:sz w:val="14"/>
                <w:szCs w:val="14"/>
                <w:color w:val="auto"/>
              </w:rPr>
              <w:t>$400,000</w:t>
            </w:r>
          </w:p>
        </w:tc>
        <w:tc>
          <w:tcPr>
            <w:tcW w:w="1900" w:type="dxa"/>
            <w:vAlign w:val="bottom"/>
          </w:tcPr>
          <w:p>
            <w:pPr>
              <w:jc w:val="right"/>
              <w:ind w:right="368"/>
              <w:spacing w:after="0"/>
              <w:rPr>
                <w:sz w:val="20"/>
                <w:szCs w:val="20"/>
                <w:color w:val="auto"/>
              </w:rPr>
            </w:pPr>
            <w:r>
              <w:rPr>
                <w:rFonts w:ascii="Arial" w:cs="Arial" w:eastAsia="Arial" w:hAnsi="Arial"/>
                <w:sz w:val="14"/>
                <w:szCs w:val="14"/>
                <w:color w:val="auto"/>
              </w:rPr>
              <w:t>$416,000</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4.00%</w:t>
            </w:r>
          </w:p>
        </w:tc>
      </w:tr>
      <w:tr>
        <w:trPr>
          <w:trHeight w:val="43"/>
        </w:trPr>
        <w:tc>
          <w:tcPr>
            <w:tcW w:w="3980" w:type="dxa"/>
            <w:vAlign w:val="bottom"/>
            <w:tcBorders>
              <w:bottom w:val="single" w:sz="8" w:color="D9D9D9"/>
            </w:tcBorders>
          </w:tcPr>
          <w:p>
            <w:pPr>
              <w:spacing w:after="0"/>
              <w:rPr>
                <w:sz w:val="3"/>
                <w:szCs w:val="3"/>
                <w:color w:val="auto"/>
              </w:rPr>
            </w:pPr>
          </w:p>
        </w:tc>
        <w:tc>
          <w:tcPr>
            <w:tcW w:w="4300" w:type="dxa"/>
            <w:vAlign w:val="bottom"/>
            <w:tcBorders>
              <w:bottom w:val="single" w:sz="8" w:color="D9D9D9"/>
            </w:tcBorders>
          </w:tcPr>
          <w:p>
            <w:pPr>
              <w:spacing w:after="0"/>
              <w:rPr>
                <w:sz w:val="3"/>
                <w:szCs w:val="3"/>
                <w:color w:val="auto"/>
              </w:rPr>
            </w:pPr>
          </w:p>
        </w:tc>
        <w:tc>
          <w:tcPr>
            <w:tcW w:w="1900" w:type="dxa"/>
            <w:vAlign w:val="bottom"/>
            <w:tcBorders>
              <w:bottom w:val="single" w:sz="8" w:color="D9D9D9"/>
            </w:tcBorders>
          </w:tcPr>
          <w:p>
            <w:pPr>
              <w:spacing w:after="0"/>
              <w:rPr>
                <w:sz w:val="3"/>
                <w:szCs w:val="3"/>
                <w:color w:val="auto"/>
              </w:rPr>
            </w:pPr>
          </w:p>
        </w:tc>
        <w:tc>
          <w:tcPr>
            <w:tcW w:w="1060" w:type="dxa"/>
            <w:vAlign w:val="bottom"/>
            <w:tcBorders>
              <w:bottom w:val="single" w:sz="8" w:color="D9D9D9"/>
            </w:tcBorders>
          </w:tcPr>
          <w:p>
            <w:pPr>
              <w:spacing w:after="0"/>
              <w:rPr>
                <w:sz w:val="3"/>
                <w:szCs w:val="3"/>
                <w:color w:val="auto"/>
              </w:rPr>
            </w:pPr>
          </w:p>
        </w:tc>
      </w:tr>
      <w:tr>
        <w:trPr>
          <w:trHeight w:val="248"/>
        </w:trPr>
        <w:tc>
          <w:tcPr>
            <w:tcW w:w="3980" w:type="dxa"/>
            <w:vAlign w:val="bottom"/>
          </w:tcPr>
          <w:p>
            <w:pPr>
              <w:ind w:left="20"/>
              <w:spacing w:after="0"/>
              <w:rPr>
                <w:sz w:val="20"/>
                <w:szCs w:val="20"/>
                <w:color w:val="auto"/>
              </w:rPr>
            </w:pPr>
            <w:r>
              <w:rPr>
                <w:rFonts w:ascii="Arial" w:cs="Arial" w:eastAsia="Arial" w:hAnsi="Arial"/>
                <w:sz w:val="14"/>
                <w:szCs w:val="14"/>
                <w:b w:val="1"/>
                <w:bCs w:val="1"/>
                <w:color w:val="FF7F32"/>
              </w:rPr>
              <w:t>Mr. Singal</w:t>
            </w:r>
          </w:p>
        </w:tc>
        <w:tc>
          <w:tcPr>
            <w:tcW w:w="4300" w:type="dxa"/>
            <w:vAlign w:val="bottom"/>
          </w:tcPr>
          <w:p>
            <w:pPr>
              <w:ind w:left="3260"/>
              <w:spacing w:after="0"/>
              <w:rPr>
                <w:sz w:val="20"/>
                <w:szCs w:val="20"/>
                <w:color w:val="auto"/>
              </w:rPr>
            </w:pPr>
            <w:r>
              <w:rPr>
                <w:rFonts w:ascii="Arial" w:cs="Arial" w:eastAsia="Arial" w:hAnsi="Arial"/>
                <w:sz w:val="14"/>
                <w:szCs w:val="14"/>
                <w:color w:val="auto"/>
              </w:rPr>
              <w:t>$362,250</w:t>
            </w:r>
          </w:p>
        </w:tc>
        <w:tc>
          <w:tcPr>
            <w:tcW w:w="1900" w:type="dxa"/>
            <w:vAlign w:val="bottom"/>
          </w:tcPr>
          <w:p>
            <w:pPr>
              <w:jc w:val="right"/>
              <w:ind w:right="368"/>
              <w:spacing w:after="0"/>
              <w:rPr>
                <w:sz w:val="20"/>
                <w:szCs w:val="20"/>
                <w:color w:val="auto"/>
              </w:rPr>
            </w:pPr>
            <w:r>
              <w:rPr>
                <w:rFonts w:ascii="Arial" w:cs="Arial" w:eastAsia="Arial" w:hAnsi="Arial"/>
                <w:sz w:val="14"/>
                <w:szCs w:val="14"/>
                <w:color w:val="auto"/>
              </w:rPr>
              <w:t>$373,115</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3.00%</w:t>
            </w:r>
          </w:p>
        </w:tc>
      </w:tr>
      <w:tr>
        <w:trPr>
          <w:trHeight w:val="43"/>
        </w:trPr>
        <w:tc>
          <w:tcPr>
            <w:tcW w:w="3980" w:type="dxa"/>
            <w:vAlign w:val="bottom"/>
            <w:tcBorders>
              <w:bottom w:val="single" w:sz="8" w:color="D9D9D9"/>
            </w:tcBorders>
          </w:tcPr>
          <w:p>
            <w:pPr>
              <w:spacing w:after="0"/>
              <w:rPr>
                <w:sz w:val="3"/>
                <w:szCs w:val="3"/>
                <w:color w:val="auto"/>
              </w:rPr>
            </w:pPr>
          </w:p>
        </w:tc>
        <w:tc>
          <w:tcPr>
            <w:tcW w:w="4300" w:type="dxa"/>
            <w:vAlign w:val="bottom"/>
            <w:tcBorders>
              <w:bottom w:val="single" w:sz="8" w:color="D9D9D9"/>
            </w:tcBorders>
          </w:tcPr>
          <w:p>
            <w:pPr>
              <w:spacing w:after="0"/>
              <w:rPr>
                <w:sz w:val="3"/>
                <w:szCs w:val="3"/>
                <w:color w:val="auto"/>
              </w:rPr>
            </w:pPr>
          </w:p>
        </w:tc>
        <w:tc>
          <w:tcPr>
            <w:tcW w:w="1900" w:type="dxa"/>
            <w:vAlign w:val="bottom"/>
            <w:tcBorders>
              <w:bottom w:val="single" w:sz="8" w:color="D9D9D9"/>
            </w:tcBorders>
          </w:tcPr>
          <w:p>
            <w:pPr>
              <w:spacing w:after="0"/>
              <w:rPr>
                <w:sz w:val="3"/>
                <w:szCs w:val="3"/>
                <w:color w:val="auto"/>
              </w:rPr>
            </w:pPr>
          </w:p>
        </w:tc>
        <w:tc>
          <w:tcPr>
            <w:tcW w:w="1060" w:type="dxa"/>
            <w:vAlign w:val="bottom"/>
            <w:tcBorders>
              <w:bottom w:val="single" w:sz="8" w:color="D9D9D9"/>
            </w:tcBorders>
          </w:tcPr>
          <w:p>
            <w:pPr>
              <w:spacing w:after="0"/>
              <w:rPr>
                <w:sz w:val="3"/>
                <w:szCs w:val="3"/>
                <w:color w:val="auto"/>
              </w:rPr>
            </w:pPr>
          </w:p>
        </w:tc>
      </w:tr>
      <w:tr>
        <w:trPr>
          <w:trHeight w:val="248"/>
        </w:trPr>
        <w:tc>
          <w:tcPr>
            <w:tcW w:w="3980" w:type="dxa"/>
            <w:vAlign w:val="bottom"/>
          </w:tcPr>
          <w:p>
            <w:pPr>
              <w:ind w:left="20"/>
              <w:spacing w:after="0"/>
              <w:rPr>
                <w:sz w:val="20"/>
                <w:szCs w:val="20"/>
                <w:color w:val="auto"/>
              </w:rPr>
            </w:pPr>
            <w:r>
              <w:rPr>
                <w:rFonts w:ascii="Arial" w:cs="Arial" w:eastAsia="Arial" w:hAnsi="Arial"/>
                <w:sz w:val="14"/>
                <w:szCs w:val="14"/>
                <w:b w:val="1"/>
                <w:bCs w:val="1"/>
                <w:color w:val="FF7F32"/>
              </w:rPr>
              <w:t>Mrs. Novoseletsky</w:t>
            </w:r>
          </w:p>
        </w:tc>
        <w:tc>
          <w:tcPr>
            <w:tcW w:w="4300" w:type="dxa"/>
            <w:vAlign w:val="bottom"/>
          </w:tcPr>
          <w:p>
            <w:pPr>
              <w:ind w:left="3260"/>
              <w:spacing w:after="0"/>
              <w:rPr>
                <w:sz w:val="20"/>
                <w:szCs w:val="20"/>
                <w:color w:val="auto"/>
              </w:rPr>
            </w:pPr>
            <w:r>
              <w:rPr>
                <w:rFonts w:ascii="Arial" w:cs="Arial" w:eastAsia="Arial" w:hAnsi="Arial"/>
                <w:sz w:val="14"/>
                <w:szCs w:val="14"/>
                <w:color w:val="auto"/>
              </w:rPr>
              <w:t>$325,000</w:t>
            </w:r>
          </w:p>
        </w:tc>
        <w:tc>
          <w:tcPr>
            <w:tcW w:w="1900" w:type="dxa"/>
            <w:vAlign w:val="bottom"/>
          </w:tcPr>
          <w:p>
            <w:pPr>
              <w:jc w:val="right"/>
              <w:ind w:right="368"/>
              <w:spacing w:after="0"/>
              <w:rPr>
                <w:sz w:val="20"/>
                <w:szCs w:val="20"/>
                <w:color w:val="auto"/>
              </w:rPr>
            </w:pPr>
            <w:r>
              <w:rPr>
                <w:rFonts w:ascii="Arial" w:cs="Arial" w:eastAsia="Arial" w:hAnsi="Arial"/>
                <w:sz w:val="14"/>
                <w:szCs w:val="14"/>
                <w:color w:val="auto"/>
              </w:rPr>
              <w:t>$350,000</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8.00%</w:t>
            </w:r>
          </w:p>
        </w:tc>
      </w:tr>
      <w:tr>
        <w:trPr>
          <w:trHeight w:val="43"/>
        </w:trPr>
        <w:tc>
          <w:tcPr>
            <w:tcW w:w="3980" w:type="dxa"/>
            <w:vAlign w:val="bottom"/>
            <w:tcBorders>
              <w:bottom w:val="single" w:sz="8" w:color="FF7F32"/>
            </w:tcBorders>
          </w:tcPr>
          <w:p>
            <w:pPr>
              <w:spacing w:after="0"/>
              <w:rPr>
                <w:sz w:val="3"/>
                <w:szCs w:val="3"/>
                <w:color w:val="auto"/>
              </w:rPr>
            </w:pPr>
          </w:p>
        </w:tc>
        <w:tc>
          <w:tcPr>
            <w:tcW w:w="4300" w:type="dxa"/>
            <w:vAlign w:val="bottom"/>
            <w:tcBorders>
              <w:bottom w:val="single" w:sz="8" w:color="FF7F32"/>
            </w:tcBorders>
          </w:tcPr>
          <w:p>
            <w:pPr>
              <w:spacing w:after="0"/>
              <w:rPr>
                <w:sz w:val="3"/>
                <w:szCs w:val="3"/>
                <w:color w:val="auto"/>
              </w:rPr>
            </w:pPr>
          </w:p>
        </w:tc>
        <w:tc>
          <w:tcPr>
            <w:tcW w:w="1900" w:type="dxa"/>
            <w:vAlign w:val="bottom"/>
            <w:tcBorders>
              <w:bottom w:val="single" w:sz="8" w:color="FF7F32"/>
            </w:tcBorders>
          </w:tcPr>
          <w:p>
            <w:pPr>
              <w:spacing w:after="0"/>
              <w:rPr>
                <w:sz w:val="3"/>
                <w:szCs w:val="3"/>
                <w:color w:val="auto"/>
              </w:rPr>
            </w:pPr>
          </w:p>
        </w:tc>
        <w:tc>
          <w:tcPr>
            <w:tcW w:w="1060" w:type="dxa"/>
            <w:vAlign w:val="bottom"/>
            <w:tcBorders>
              <w:bottom w:val="single" w:sz="8" w:color="FF7F32"/>
            </w:tcBorders>
          </w:tcPr>
          <w:p>
            <w:pPr>
              <w:spacing w:after="0"/>
              <w:rPr>
                <w:sz w:val="3"/>
                <w:szCs w:val="3"/>
                <w:color w:val="auto"/>
              </w:rPr>
            </w:pPr>
          </w:p>
        </w:tc>
      </w:tr>
    </w:tbl>
    <w:p>
      <w:pPr>
        <w:spacing w:after="0" w:line="215" w:lineRule="exact"/>
        <w:rPr>
          <w:sz w:val="20"/>
          <w:szCs w:val="20"/>
          <w:color w:val="auto"/>
        </w:rPr>
      </w:pPr>
    </w:p>
    <w:p>
      <w:pPr>
        <w:ind w:right="60"/>
        <w:spacing w:after="0" w:line="326" w:lineRule="auto"/>
        <w:rPr>
          <w:sz w:val="20"/>
          <w:szCs w:val="20"/>
          <w:color w:val="auto"/>
        </w:rPr>
      </w:pPr>
      <w:r>
        <w:rPr>
          <w:rFonts w:ascii="Arial" w:cs="Arial" w:eastAsia="Arial" w:hAnsi="Arial"/>
          <w:sz w:val="16"/>
          <w:szCs w:val="16"/>
          <w:color w:val="auto"/>
        </w:rPr>
        <w:t>Base salary is the fixed component of our NEOs’ annual cash compensation and is set with the goal of attracting and retaining talented executives and adequately compensating and rewarding them for services rendered during the fiscal year. The Compensation Committee reviews our NEOs’ base salaries on an annual basis. Base salaries are intended to reflect an individual’s level of responsibility and performance; however, the Compensation Committee also considers changes in duties and responsibilities, our business and financial results, and its knowledge of market practices in setting and adjusting base salaries.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149860</wp:posOffset>
            </wp:positionV>
            <wp:extent cx="925830" cy="26606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925830" cy="266065"/>
                    </a:xfrm>
                    <a:prstGeom prst="rect">
                      <a:avLst/>
                    </a:prstGeom>
                    <a:noFill/>
                  </pic:spPr>
                </pic:pic>
              </a:graphicData>
            </a:graphic>
          </wp:anchor>
        </w:drawing>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b w:val="1"/>
                <w:bCs w:val="1"/>
                <w:color w:val="FF7F32"/>
              </w:rPr>
              <w:t xml:space="preserve">2026 </w:t>
            </w:r>
            <w:r>
              <w:rPr>
                <w:rFonts w:ascii="Arial" w:cs="Arial" w:eastAsia="Arial" w:hAnsi="Arial"/>
                <w:sz w:val="13"/>
                <w:szCs w:val="13"/>
                <w:color w:val="000000"/>
              </w:rPr>
              <w:t>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auto"/>
              </w:rPr>
              <w:t>51</w:t>
            </w:r>
          </w:p>
        </w:tc>
      </w:tr>
      <w:tr>
        <w:trPr>
          <w:trHeight w:val="434"/>
        </w:trPr>
        <w:tc>
          <w:tcPr>
            <w:tcW w:w="618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54" w:name="page55"/>
    <w:bookmarkEnd w:id="54"/>
    <w:p>
      <w:pPr>
        <w:spacing w:after="0"/>
        <w:rPr>
          <w:sz w:val="20"/>
          <w:szCs w:val="20"/>
          <w:color w:val="auto"/>
        </w:rPr>
      </w:pPr>
      <w:r>
        <w:rPr>
          <w:rFonts w:ascii="Arial" w:cs="Arial" w:eastAsia="Arial" w:hAnsi="Arial"/>
          <w:sz w:val="13"/>
          <w:szCs w:val="13"/>
          <w:color w:val="202945"/>
        </w:rPr>
        <w:t>Compensation Discussion &amp;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9"/>
          <w:szCs w:val="29"/>
          <w:b w:val="1"/>
          <w:bCs w:val="1"/>
          <w:color w:val="FF7F32"/>
        </w:rPr>
        <w:t>Annual Bonus</w:t>
      </w:r>
    </w:p>
    <w:p>
      <w:pPr>
        <w:spacing w:after="0" w:line="267" w:lineRule="exact"/>
        <w:rPr>
          <w:sz w:val="20"/>
          <w:szCs w:val="20"/>
          <w:color w:val="auto"/>
        </w:rPr>
      </w:pPr>
    </w:p>
    <w:p>
      <w:pPr>
        <w:ind w:right="40"/>
        <w:spacing w:after="0" w:line="326" w:lineRule="auto"/>
        <w:rPr>
          <w:sz w:val="20"/>
          <w:szCs w:val="20"/>
          <w:color w:val="auto"/>
        </w:rPr>
      </w:pPr>
      <w:r>
        <w:rPr>
          <w:rFonts w:ascii="Arial" w:cs="Arial" w:eastAsia="Arial" w:hAnsi="Arial"/>
          <w:sz w:val="16"/>
          <w:szCs w:val="16"/>
          <w:color w:val="auto"/>
        </w:rPr>
        <w:t>Performance-based annual cash bonuses based on achievement of pre-established performance goals provide NEOs with an opportunity to receive additional cash compensation based on their performance and Company results, including the achievement of pre-determined Company and/or individual performance goals. Although the Compensation Committee intends that our annual bonus program should primarily rely on pre-established performance metrics and goals, the Compensation Committee also retains flexibility to include discretionary elements in our program so that the program may be adapted to adequately suit its retentive purpose and reflect performance that may not be adequately captured in pre-established, objective metrics.</w:t>
      </w:r>
    </w:p>
    <w:p>
      <w:pPr>
        <w:spacing w:after="0" w:line="87" w:lineRule="exact"/>
        <w:rPr>
          <w:sz w:val="20"/>
          <w:szCs w:val="20"/>
          <w:color w:val="auto"/>
        </w:rPr>
      </w:pPr>
    </w:p>
    <w:p>
      <w:pPr>
        <w:jc w:val="both"/>
        <w:ind w:right="320"/>
        <w:spacing w:after="0" w:line="336" w:lineRule="auto"/>
        <w:rPr>
          <w:sz w:val="20"/>
          <w:szCs w:val="20"/>
          <w:color w:val="auto"/>
        </w:rPr>
      </w:pPr>
      <w:r>
        <w:rPr>
          <w:rFonts w:ascii="Arial" w:cs="Arial" w:eastAsia="Arial" w:hAnsi="Arial"/>
          <w:sz w:val="16"/>
          <w:szCs w:val="16"/>
          <w:color w:val="auto"/>
        </w:rPr>
        <w:t>Annual bonuses for fiscal year 2025 were awarded based on the achievement of predetermined corporate goals and the Board of Directors discretionary evaluation (discretion made up 15% of the predetermined corporate goals). The corporate goals were based on the Company’s Adjusted EBITDA (40%), Revenue (25%), and Monthly Recurring Revenue Growth (20%), as detailed in the table below:</w:t>
      </w:r>
    </w:p>
    <w:p>
      <w:pPr>
        <w:spacing w:after="0" w:line="150" w:lineRule="exact"/>
        <w:rPr>
          <w:sz w:val="20"/>
          <w:szCs w:val="20"/>
          <w:color w:val="auto"/>
        </w:rPr>
      </w:pPr>
    </w:p>
    <w:p>
      <w:pPr>
        <w:ind w:left="3140"/>
        <w:spacing w:after="0"/>
        <w:tabs>
          <w:tab w:leader="none" w:pos="7160" w:val="left"/>
        </w:tabs>
        <w:rPr>
          <w:sz w:val="20"/>
          <w:szCs w:val="20"/>
          <w:color w:val="auto"/>
        </w:rPr>
      </w:pPr>
      <w:r>
        <w:rPr>
          <w:rFonts w:ascii="Arial" w:cs="Arial" w:eastAsia="Arial" w:hAnsi="Arial"/>
          <w:sz w:val="14"/>
          <w:szCs w:val="14"/>
          <w:b w:val="1"/>
          <w:bCs w:val="1"/>
          <w:color w:val="404040"/>
        </w:rPr>
        <w:t>Weight</w:t>
      </w:r>
      <w:r>
        <w:rPr>
          <w:sz w:val="20"/>
          <w:szCs w:val="20"/>
          <w:color w:val="auto"/>
        </w:rPr>
        <w:tab/>
      </w:r>
      <w:r>
        <w:rPr>
          <w:rFonts w:ascii="Arial" w:cs="Arial" w:eastAsia="Arial" w:hAnsi="Arial"/>
          <w:sz w:val="14"/>
          <w:szCs w:val="14"/>
          <w:b w:val="1"/>
          <w:bCs w:val="1"/>
          <w:color w:val="404040"/>
        </w:rPr>
        <w:t>Rationale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00" w:type="dxa"/>
            <w:vAlign w:val="bottom"/>
          </w:tcPr>
          <w:p>
            <w:pPr>
              <w:ind w:left="20"/>
              <w:spacing w:after="0"/>
              <w:rPr>
                <w:sz w:val="20"/>
                <w:szCs w:val="20"/>
                <w:color w:val="auto"/>
              </w:rPr>
            </w:pPr>
            <w:r>
              <w:rPr>
                <w:rFonts w:ascii="Arial" w:cs="Arial" w:eastAsia="Arial" w:hAnsi="Arial"/>
                <w:sz w:val="14"/>
                <w:szCs w:val="14"/>
                <w:color w:val="auto"/>
              </w:rPr>
              <w:t>Adjusted EBITDA ($)</w:t>
            </w: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35"/>
        </w:trPr>
        <w:tc>
          <w:tcPr>
            <w:tcW w:w="2900" w:type="dxa"/>
            <w:vAlign w:val="bottom"/>
            <w:tcBorders>
              <w:bottom w:val="single" w:sz="8" w:color="D9D9D9"/>
            </w:tcBorders>
          </w:tcPr>
          <w:p>
            <w:pPr>
              <w:spacing w:after="0"/>
              <w:rPr>
                <w:sz w:val="3"/>
                <w:szCs w:val="3"/>
                <w:color w:val="auto"/>
              </w:rPr>
            </w:pPr>
          </w:p>
        </w:tc>
        <w:tc>
          <w:tcPr>
            <w:tcW w:w="840" w:type="dxa"/>
            <w:vAlign w:val="bottom"/>
            <w:tcBorders>
              <w:bottom w:val="single" w:sz="8" w:color="D9D9D9"/>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2900" w:type="dxa"/>
            <w:vAlign w:val="bottom"/>
          </w:tcPr>
          <w:p>
            <w:pPr>
              <w:ind w:left="20"/>
              <w:spacing w:after="0"/>
              <w:rPr>
                <w:sz w:val="20"/>
                <w:szCs w:val="20"/>
                <w:color w:val="auto"/>
              </w:rPr>
            </w:pPr>
            <w:r>
              <w:rPr>
                <w:rFonts w:ascii="Arial" w:cs="Arial" w:eastAsia="Arial" w:hAnsi="Arial"/>
                <w:sz w:val="14"/>
                <w:szCs w:val="14"/>
                <w:color w:val="auto"/>
              </w:rPr>
              <w:t>Revenue ($)</w:t>
            </w: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35"/>
        </w:trPr>
        <w:tc>
          <w:tcPr>
            <w:tcW w:w="2900" w:type="dxa"/>
            <w:vAlign w:val="bottom"/>
            <w:tcBorders>
              <w:bottom w:val="single" w:sz="8" w:color="D9D9D9"/>
            </w:tcBorders>
          </w:tcPr>
          <w:p>
            <w:pPr>
              <w:spacing w:after="0"/>
              <w:rPr>
                <w:sz w:val="3"/>
                <w:szCs w:val="3"/>
                <w:color w:val="auto"/>
              </w:rPr>
            </w:pPr>
          </w:p>
        </w:tc>
        <w:tc>
          <w:tcPr>
            <w:tcW w:w="840" w:type="dxa"/>
            <w:vAlign w:val="bottom"/>
            <w:tcBorders>
              <w:bottom w:val="single" w:sz="8" w:color="D9D9D9"/>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900" w:type="dxa"/>
            <w:vAlign w:val="bottom"/>
            <w:vMerge w:val="restart"/>
          </w:tcPr>
          <w:p>
            <w:pPr>
              <w:ind w:left="20"/>
              <w:spacing w:after="0"/>
              <w:rPr>
                <w:sz w:val="20"/>
                <w:szCs w:val="20"/>
                <w:color w:val="auto"/>
              </w:rPr>
            </w:pPr>
            <w:r>
              <w:rPr>
                <w:rFonts w:ascii="Arial" w:cs="Arial" w:eastAsia="Arial" w:hAnsi="Arial"/>
                <w:sz w:val="14"/>
                <w:szCs w:val="14"/>
                <w:color w:val="auto"/>
              </w:rPr>
              <w:t>Monthly Recurring Revenue Growth (%)</w:t>
            </w: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81"/>
        </w:trPr>
        <w:tc>
          <w:tcPr>
            <w:tcW w:w="290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900" w:type="dxa"/>
            <w:vAlign w:val="bottom"/>
            <w:tcBorders>
              <w:bottom w:val="single" w:sz="8" w:color="D9D9D9"/>
            </w:tcBorders>
          </w:tcPr>
          <w:p>
            <w:pPr>
              <w:spacing w:after="0"/>
              <w:rPr>
                <w:sz w:val="11"/>
                <w:szCs w:val="11"/>
                <w:color w:val="auto"/>
              </w:rPr>
            </w:pPr>
          </w:p>
        </w:tc>
        <w:tc>
          <w:tcPr>
            <w:tcW w:w="840" w:type="dxa"/>
            <w:vAlign w:val="bottom"/>
            <w:tcBorders>
              <w:bottom w:val="single" w:sz="8" w:color="D9D9D9"/>
            </w:tcBorders>
          </w:tcPr>
          <w:p>
            <w:pPr>
              <w:spacing w:after="0"/>
              <w:rPr>
                <w:sz w:val="11"/>
                <w:szCs w:val="11"/>
                <w:color w:val="auto"/>
              </w:rPr>
            </w:pPr>
          </w:p>
        </w:tc>
        <w:tc>
          <w:tcPr>
            <w:tcW w:w="0" w:type="dxa"/>
            <w:vAlign w:val="bottom"/>
          </w:tcPr>
          <w:p>
            <w:pPr>
              <w:spacing w:after="0"/>
              <w:rPr>
                <w:sz w:val="1"/>
                <w:szCs w:val="1"/>
                <w:color w:val="auto"/>
              </w:rPr>
            </w:pPr>
          </w:p>
        </w:tc>
      </w:tr>
      <w:tr>
        <w:trPr>
          <w:trHeight w:val="242"/>
        </w:trPr>
        <w:tc>
          <w:tcPr>
            <w:tcW w:w="2900" w:type="dxa"/>
            <w:vAlign w:val="bottom"/>
          </w:tcPr>
          <w:p>
            <w:pPr>
              <w:ind w:left="20"/>
              <w:spacing w:after="0"/>
              <w:rPr>
                <w:sz w:val="20"/>
                <w:szCs w:val="20"/>
                <w:color w:val="auto"/>
              </w:rPr>
            </w:pPr>
            <w:r>
              <w:rPr>
                <w:rFonts w:ascii="Arial" w:cs="Arial" w:eastAsia="Arial" w:hAnsi="Arial"/>
                <w:sz w:val="14"/>
                <w:szCs w:val="14"/>
                <w:color w:val="auto"/>
              </w:rPr>
              <w:t>Board Discretion (%)</w:t>
            </w: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ind w:right="160"/>
        <w:spacing w:after="0" w:line="365" w:lineRule="auto"/>
        <w:rPr>
          <w:sz w:val="20"/>
          <w:szCs w:val="20"/>
          <w:color w:val="auto"/>
        </w:rPr>
      </w:pPr>
      <w:r>
        <w:rPr>
          <w:rFonts w:ascii="Arial" w:cs="Arial" w:eastAsia="Arial" w:hAnsi="Arial"/>
          <w:sz w:val="14"/>
          <w:szCs w:val="14"/>
          <w:color w:val="auto"/>
        </w:rPr>
        <w:t>These metrics appropriately incentivized our NEOs to achieve sustainable growth in fiscal year 2025, while setting challenging goals that, if achieved, would deliver value to our shareholders.</w:t>
      </w:r>
    </w:p>
    <w:p>
      <w:pPr>
        <w:spacing w:after="0" w:line="266"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57785</wp:posOffset>
            </wp:positionV>
            <wp:extent cx="713232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2" w:lineRule="exact"/>
        <w:rPr>
          <w:sz w:val="20"/>
          <w:szCs w:val="20"/>
          <w:color w:val="auto"/>
        </w:rPr>
      </w:pPr>
    </w:p>
    <w:p>
      <w:pPr>
        <w:sectPr>
          <w:pgSz w:w="11900" w:h="16838" w:orient="portrait"/>
          <w:cols w:equalWidth="0" w:num="2">
            <w:col w:w="3740" w:space="100"/>
            <w:col w:w="7400"/>
          </w:cols>
          <w:pgMar w:left="320" w:top="257" w:right="339" w:bottom="1440" w:gutter="0" w:footer="0" w:header="0"/>
          <w:type w:val="continuous"/>
        </w:sect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317"/>
        </w:trPr>
        <w:tc>
          <w:tcPr>
            <w:tcW w:w="1920" w:type="dxa"/>
            <w:vAlign w:val="bottom"/>
            <w:vMerge w:val="restart"/>
            <w:shd w:val="clear" w:color="auto" w:fill="D0D1D2"/>
          </w:tcPr>
          <w:p>
            <w:pPr>
              <w:jc w:val="center"/>
              <w:spacing w:after="0"/>
              <w:rPr>
                <w:sz w:val="20"/>
                <w:szCs w:val="20"/>
                <w:color w:val="auto"/>
              </w:rPr>
            </w:pPr>
            <w:r>
              <w:rPr>
                <w:rFonts w:ascii="Arial" w:cs="Arial" w:eastAsia="Arial" w:hAnsi="Arial"/>
                <w:sz w:val="16"/>
                <w:szCs w:val="16"/>
                <w:b w:val="1"/>
                <w:bCs w:val="1"/>
                <w:color w:val="auto"/>
              </w:rPr>
              <w:t>Adjusted EBITDA</w:t>
            </w:r>
          </w:p>
        </w:tc>
        <w:tc>
          <w:tcPr>
            <w:tcW w:w="340" w:type="dxa"/>
            <w:vAlign w:val="bottom"/>
          </w:tcPr>
          <w:p>
            <w:pPr>
              <w:spacing w:after="0"/>
              <w:rPr>
                <w:sz w:val="24"/>
                <w:szCs w:val="24"/>
                <w:color w:val="auto"/>
              </w:rPr>
            </w:pPr>
          </w:p>
        </w:tc>
        <w:tc>
          <w:tcPr>
            <w:tcW w:w="1940" w:type="dxa"/>
            <w:vAlign w:val="bottom"/>
            <w:vMerge w:val="restart"/>
            <w:shd w:val="clear" w:color="auto" w:fill="D0D1D2"/>
          </w:tcPr>
          <w:p>
            <w:pPr>
              <w:jc w:val="center"/>
              <w:spacing w:after="0"/>
              <w:rPr>
                <w:sz w:val="20"/>
                <w:szCs w:val="20"/>
                <w:color w:val="auto"/>
              </w:rPr>
            </w:pPr>
            <w:r>
              <w:rPr>
                <w:rFonts w:ascii="Arial" w:cs="Arial" w:eastAsia="Arial" w:hAnsi="Arial"/>
                <w:sz w:val="16"/>
                <w:szCs w:val="16"/>
                <w:b w:val="1"/>
                <w:bCs w:val="1"/>
                <w:color w:val="auto"/>
                <w:w w:val="98"/>
              </w:rPr>
              <w:t>Revenue</w:t>
            </w:r>
          </w:p>
        </w:tc>
        <w:tc>
          <w:tcPr>
            <w:tcW w:w="340" w:type="dxa"/>
            <w:vAlign w:val="bottom"/>
          </w:tcPr>
          <w:p>
            <w:pPr>
              <w:spacing w:after="0"/>
              <w:rPr>
                <w:sz w:val="24"/>
                <w:szCs w:val="24"/>
                <w:color w:val="auto"/>
              </w:rPr>
            </w:pPr>
          </w:p>
        </w:tc>
        <w:tc>
          <w:tcPr>
            <w:tcW w:w="2100" w:type="dxa"/>
            <w:vAlign w:val="bottom"/>
            <w:shd w:val="clear" w:color="auto" w:fill="D0D1D2"/>
          </w:tcPr>
          <w:p>
            <w:pPr>
              <w:jc w:val="center"/>
              <w:spacing w:after="0"/>
              <w:rPr>
                <w:sz w:val="20"/>
                <w:szCs w:val="20"/>
                <w:color w:val="auto"/>
              </w:rPr>
            </w:pPr>
            <w:r>
              <w:rPr>
                <w:rFonts w:ascii="Arial" w:cs="Arial" w:eastAsia="Arial" w:hAnsi="Arial"/>
                <w:sz w:val="16"/>
                <w:szCs w:val="16"/>
                <w:b w:val="1"/>
                <w:bCs w:val="1"/>
                <w:color w:val="auto"/>
              </w:rPr>
              <w:t>Monthly Recurring</w:t>
            </w:r>
          </w:p>
        </w:tc>
        <w:tc>
          <w:tcPr>
            <w:tcW w:w="380" w:type="dxa"/>
            <w:vAlign w:val="bottom"/>
          </w:tcPr>
          <w:p>
            <w:pPr>
              <w:spacing w:after="0"/>
              <w:rPr>
                <w:sz w:val="24"/>
                <w:szCs w:val="24"/>
                <w:color w:val="auto"/>
              </w:rPr>
            </w:pPr>
          </w:p>
        </w:tc>
        <w:tc>
          <w:tcPr>
            <w:tcW w:w="1940" w:type="dxa"/>
            <w:vAlign w:val="bottom"/>
            <w:shd w:val="clear" w:color="auto" w:fill="D0D1D2"/>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vMerge w:val="restart"/>
            <w:shd w:val="clear" w:color="auto" w:fill="FF7F32"/>
          </w:tcPr>
          <w:p>
            <w:pPr>
              <w:jc w:val="center"/>
              <w:spacing w:after="0"/>
              <w:rPr>
                <w:sz w:val="20"/>
                <w:szCs w:val="20"/>
                <w:color w:val="auto"/>
              </w:rPr>
            </w:pPr>
            <w:r>
              <w:rPr>
                <w:rFonts w:ascii="Arial" w:cs="Arial" w:eastAsia="Arial" w:hAnsi="Arial"/>
                <w:sz w:val="16"/>
                <w:szCs w:val="16"/>
                <w:b w:val="1"/>
                <w:bCs w:val="1"/>
                <w:color w:val="FFFFFF"/>
              </w:rPr>
              <w:t>Annual Bonus</w:t>
            </w:r>
          </w:p>
        </w:tc>
        <w:tc>
          <w:tcPr>
            <w:tcW w:w="0" w:type="dxa"/>
            <w:vAlign w:val="bottom"/>
          </w:tcPr>
          <w:p>
            <w:pPr>
              <w:spacing w:after="0"/>
              <w:rPr>
                <w:sz w:val="1"/>
                <w:szCs w:val="1"/>
                <w:color w:val="auto"/>
              </w:rPr>
            </w:pPr>
          </w:p>
        </w:tc>
      </w:tr>
      <w:tr>
        <w:trPr>
          <w:trHeight w:val="122"/>
        </w:trPr>
        <w:tc>
          <w:tcPr>
            <w:tcW w:w="1920" w:type="dxa"/>
            <w:vAlign w:val="bottom"/>
            <w:vMerge w:val="continue"/>
            <w:shd w:val="clear" w:color="auto" w:fill="D0D1D2"/>
          </w:tcPr>
          <w:p>
            <w:pPr>
              <w:spacing w:after="0"/>
              <w:rPr>
                <w:sz w:val="10"/>
                <w:szCs w:val="10"/>
                <w:color w:val="auto"/>
              </w:rPr>
            </w:pPr>
          </w:p>
        </w:tc>
        <w:tc>
          <w:tcPr>
            <w:tcW w:w="34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x</w:t>
            </w:r>
          </w:p>
        </w:tc>
        <w:tc>
          <w:tcPr>
            <w:tcW w:w="1940" w:type="dxa"/>
            <w:vAlign w:val="bottom"/>
            <w:vMerge w:val="continue"/>
            <w:shd w:val="clear" w:color="auto" w:fill="D0D1D2"/>
          </w:tcPr>
          <w:p>
            <w:pPr>
              <w:spacing w:after="0"/>
              <w:rPr>
                <w:sz w:val="10"/>
                <w:szCs w:val="10"/>
                <w:color w:val="auto"/>
              </w:rPr>
            </w:pPr>
          </w:p>
        </w:tc>
        <w:tc>
          <w:tcPr>
            <w:tcW w:w="34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x</w:t>
            </w:r>
          </w:p>
        </w:tc>
        <w:tc>
          <w:tcPr>
            <w:tcW w:w="2100" w:type="dxa"/>
            <w:vAlign w:val="bottom"/>
            <w:vMerge w:val="restart"/>
            <w:shd w:val="clear" w:color="auto" w:fill="D0D1D2"/>
          </w:tcPr>
          <w:p>
            <w:pPr>
              <w:jc w:val="center"/>
              <w:spacing w:after="0"/>
              <w:rPr>
                <w:sz w:val="20"/>
                <w:szCs w:val="20"/>
                <w:color w:val="auto"/>
              </w:rPr>
            </w:pPr>
            <w:r>
              <w:rPr>
                <w:rFonts w:ascii="Arial" w:cs="Arial" w:eastAsia="Arial" w:hAnsi="Arial"/>
                <w:sz w:val="16"/>
                <w:szCs w:val="16"/>
                <w:b w:val="1"/>
                <w:bCs w:val="1"/>
                <w:color w:val="auto"/>
              </w:rPr>
              <w:t>Revenue Growth</w:t>
            </w:r>
          </w:p>
        </w:tc>
        <w:tc>
          <w:tcPr>
            <w:tcW w:w="38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x</w:t>
            </w:r>
          </w:p>
        </w:tc>
        <w:tc>
          <w:tcPr>
            <w:tcW w:w="1940" w:type="dxa"/>
            <w:vAlign w:val="bottom"/>
            <w:vMerge w:val="restart"/>
            <w:shd w:val="clear" w:color="auto" w:fill="D0D1D2"/>
          </w:tcPr>
          <w:p>
            <w:pPr>
              <w:ind w:left="80"/>
              <w:spacing w:after="0"/>
              <w:rPr>
                <w:sz w:val="20"/>
                <w:szCs w:val="20"/>
                <w:color w:val="auto"/>
              </w:rPr>
            </w:pPr>
            <w:r>
              <w:rPr>
                <w:rFonts w:ascii="Arial" w:cs="Arial" w:eastAsia="Arial" w:hAnsi="Arial"/>
                <w:sz w:val="16"/>
                <w:szCs w:val="16"/>
                <w:b w:val="1"/>
                <w:bCs w:val="1"/>
                <w:color w:val="auto"/>
              </w:rPr>
              <w:t>Board Discretion (15%)</w:t>
            </w:r>
          </w:p>
        </w:tc>
        <w:tc>
          <w:tcPr>
            <w:tcW w:w="3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FF7F32"/>
              </w:rPr>
              <w:t>=</w:t>
            </w:r>
          </w:p>
        </w:tc>
        <w:tc>
          <w:tcPr>
            <w:tcW w:w="1940" w:type="dxa"/>
            <w:vAlign w:val="bottom"/>
            <w:vMerge w:val="continue"/>
            <w:shd w:val="clear" w:color="auto" w:fill="FF7F32"/>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920" w:type="dxa"/>
            <w:vAlign w:val="bottom"/>
            <w:vMerge w:val="restart"/>
            <w:shd w:val="clear" w:color="auto" w:fill="D0D1D2"/>
          </w:tcPr>
          <w:p>
            <w:pPr>
              <w:jc w:val="right"/>
              <w:ind w:right="659"/>
              <w:spacing w:after="0"/>
              <w:rPr>
                <w:sz w:val="20"/>
                <w:szCs w:val="20"/>
                <w:color w:val="auto"/>
              </w:rPr>
            </w:pPr>
            <w:r>
              <w:rPr>
                <w:rFonts w:ascii="Arial" w:cs="Arial" w:eastAsia="Arial" w:hAnsi="Arial"/>
                <w:sz w:val="16"/>
                <w:szCs w:val="16"/>
                <w:b w:val="1"/>
                <w:bCs w:val="1"/>
                <w:color w:val="auto"/>
              </w:rPr>
              <w:t>(40%)</w:t>
            </w:r>
          </w:p>
        </w:tc>
        <w:tc>
          <w:tcPr>
            <w:tcW w:w="340" w:type="dxa"/>
            <w:vAlign w:val="bottom"/>
            <w:vMerge w:val="continue"/>
          </w:tcPr>
          <w:p>
            <w:pPr>
              <w:spacing w:after="0"/>
              <w:rPr>
                <w:sz w:val="10"/>
                <w:szCs w:val="10"/>
                <w:color w:val="auto"/>
              </w:rPr>
            </w:pPr>
          </w:p>
        </w:tc>
        <w:tc>
          <w:tcPr>
            <w:tcW w:w="1940" w:type="dxa"/>
            <w:vAlign w:val="bottom"/>
            <w:vMerge w:val="restart"/>
            <w:shd w:val="clear" w:color="auto" w:fill="D0D1D2"/>
          </w:tcPr>
          <w:p>
            <w:pPr>
              <w:jc w:val="right"/>
              <w:ind w:right="679"/>
              <w:spacing w:after="0"/>
              <w:rPr>
                <w:sz w:val="20"/>
                <w:szCs w:val="20"/>
                <w:color w:val="auto"/>
              </w:rPr>
            </w:pPr>
            <w:r>
              <w:rPr>
                <w:rFonts w:ascii="Arial" w:cs="Arial" w:eastAsia="Arial" w:hAnsi="Arial"/>
                <w:sz w:val="16"/>
                <w:szCs w:val="16"/>
                <w:b w:val="1"/>
                <w:bCs w:val="1"/>
                <w:color w:val="auto"/>
              </w:rPr>
              <w:t>(25%)</w:t>
            </w:r>
          </w:p>
        </w:tc>
        <w:tc>
          <w:tcPr>
            <w:tcW w:w="340" w:type="dxa"/>
            <w:vAlign w:val="bottom"/>
            <w:vMerge w:val="continue"/>
          </w:tcPr>
          <w:p>
            <w:pPr>
              <w:spacing w:after="0"/>
              <w:rPr>
                <w:sz w:val="10"/>
                <w:szCs w:val="10"/>
                <w:color w:val="auto"/>
              </w:rPr>
            </w:pPr>
          </w:p>
        </w:tc>
        <w:tc>
          <w:tcPr>
            <w:tcW w:w="2100" w:type="dxa"/>
            <w:vAlign w:val="bottom"/>
            <w:vMerge w:val="continue"/>
            <w:shd w:val="clear" w:color="auto" w:fill="D0D1D2"/>
          </w:tcPr>
          <w:p>
            <w:pPr>
              <w:spacing w:after="0"/>
              <w:rPr>
                <w:sz w:val="10"/>
                <w:szCs w:val="10"/>
                <w:color w:val="auto"/>
              </w:rPr>
            </w:pPr>
          </w:p>
        </w:tc>
        <w:tc>
          <w:tcPr>
            <w:tcW w:w="380" w:type="dxa"/>
            <w:vAlign w:val="bottom"/>
            <w:vMerge w:val="continue"/>
          </w:tcPr>
          <w:p>
            <w:pPr>
              <w:spacing w:after="0"/>
              <w:rPr>
                <w:sz w:val="10"/>
                <w:szCs w:val="10"/>
                <w:color w:val="auto"/>
              </w:rPr>
            </w:pPr>
          </w:p>
        </w:tc>
        <w:tc>
          <w:tcPr>
            <w:tcW w:w="1940" w:type="dxa"/>
            <w:vAlign w:val="bottom"/>
            <w:vMerge w:val="continue"/>
            <w:shd w:val="clear" w:color="auto" w:fill="D0D1D2"/>
          </w:tcPr>
          <w:p>
            <w:pPr>
              <w:spacing w:after="0"/>
              <w:rPr>
                <w:sz w:val="10"/>
                <w:szCs w:val="10"/>
                <w:color w:val="auto"/>
              </w:rPr>
            </w:pPr>
          </w:p>
        </w:tc>
        <w:tc>
          <w:tcPr>
            <w:tcW w:w="340" w:type="dxa"/>
            <w:vAlign w:val="bottom"/>
            <w:vMerge w:val="continue"/>
          </w:tcPr>
          <w:p>
            <w:pPr>
              <w:spacing w:after="0"/>
              <w:rPr>
                <w:sz w:val="10"/>
                <w:szCs w:val="10"/>
                <w:color w:val="auto"/>
              </w:rPr>
            </w:pPr>
          </w:p>
        </w:tc>
        <w:tc>
          <w:tcPr>
            <w:tcW w:w="1940" w:type="dxa"/>
            <w:vAlign w:val="bottom"/>
            <w:vMerge w:val="restart"/>
            <w:shd w:val="clear" w:color="auto" w:fill="FF7F32"/>
          </w:tcPr>
          <w:p>
            <w:pPr>
              <w:jc w:val="center"/>
              <w:spacing w:after="0"/>
              <w:rPr>
                <w:sz w:val="20"/>
                <w:szCs w:val="20"/>
                <w:color w:val="auto"/>
              </w:rPr>
            </w:pPr>
            <w:r>
              <w:rPr>
                <w:rFonts w:ascii="Arial" w:cs="Arial" w:eastAsia="Arial" w:hAnsi="Arial"/>
                <w:sz w:val="16"/>
                <w:szCs w:val="16"/>
                <w:b w:val="1"/>
                <w:bCs w:val="1"/>
                <w:color w:val="FFFFFF"/>
              </w:rPr>
              <w:t>Payout</w:t>
            </w:r>
          </w:p>
        </w:tc>
        <w:tc>
          <w:tcPr>
            <w:tcW w:w="0" w:type="dxa"/>
            <w:vAlign w:val="bottom"/>
          </w:tcPr>
          <w:p>
            <w:pPr>
              <w:spacing w:after="0"/>
              <w:rPr>
                <w:sz w:val="1"/>
                <w:szCs w:val="1"/>
                <w:color w:val="auto"/>
              </w:rPr>
            </w:pPr>
          </w:p>
        </w:tc>
      </w:tr>
      <w:tr>
        <w:trPr>
          <w:trHeight w:val="122"/>
        </w:trPr>
        <w:tc>
          <w:tcPr>
            <w:tcW w:w="1920" w:type="dxa"/>
            <w:vAlign w:val="bottom"/>
            <w:vMerge w:val="continue"/>
            <w:shd w:val="clear" w:color="auto" w:fill="D0D1D2"/>
          </w:tcPr>
          <w:p>
            <w:pPr>
              <w:spacing w:after="0"/>
              <w:rPr>
                <w:sz w:val="10"/>
                <w:szCs w:val="10"/>
                <w:color w:val="auto"/>
              </w:rPr>
            </w:pPr>
          </w:p>
        </w:tc>
        <w:tc>
          <w:tcPr>
            <w:tcW w:w="340" w:type="dxa"/>
            <w:vAlign w:val="bottom"/>
          </w:tcPr>
          <w:p>
            <w:pPr>
              <w:spacing w:after="0"/>
              <w:rPr>
                <w:sz w:val="10"/>
                <w:szCs w:val="10"/>
                <w:color w:val="auto"/>
              </w:rPr>
            </w:pPr>
          </w:p>
        </w:tc>
        <w:tc>
          <w:tcPr>
            <w:tcW w:w="1940" w:type="dxa"/>
            <w:vAlign w:val="bottom"/>
            <w:vMerge w:val="continue"/>
            <w:shd w:val="clear" w:color="auto" w:fill="D0D1D2"/>
          </w:tcPr>
          <w:p>
            <w:pPr>
              <w:spacing w:after="0"/>
              <w:rPr>
                <w:sz w:val="10"/>
                <w:szCs w:val="10"/>
                <w:color w:val="auto"/>
              </w:rPr>
            </w:pPr>
          </w:p>
        </w:tc>
        <w:tc>
          <w:tcPr>
            <w:tcW w:w="340" w:type="dxa"/>
            <w:vAlign w:val="bottom"/>
          </w:tcPr>
          <w:p>
            <w:pPr>
              <w:spacing w:after="0"/>
              <w:rPr>
                <w:sz w:val="10"/>
                <w:szCs w:val="10"/>
                <w:color w:val="auto"/>
              </w:rPr>
            </w:pPr>
          </w:p>
        </w:tc>
        <w:tc>
          <w:tcPr>
            <w:tcW w:w="2100" w:type="dxa"/>
            <w:vAlign w:val="bottom"/>
            <w:vMerge w:val="restart"/>
            <w:shd w:val="clear" w:color="auto" w:fill="D0D1D2"/>
          </w:tcPr>
          <w:p>
            <w:pPr>
              <w:jc w:val="center"/>
              <w:spacing w:after="0"/>
              <w:rPr>
                <w:sz w:val="20"/>
                <w:szCs w:val="20"/>
                <w:color w:val="auto"/>
              </w:rPr>
            </w:pPr>
            <w:r>
              <w:rPr>
                <w:rFonts w:ascii="Arial" w:cs="Arial" w:eastAsia="Arial" w:hAnsi="Arial"/>
                <w:sz w:val="16"/>
                <w:szCs w:val="16"/>
                <w:b w:val="1"/>
                <w:bCs w:val="1"/>
                <w:color w:val="auto"/>
                <w:w w:val="98"/>
              </w:rPr>
              <w:t>(20%)</w:t>
            </w:r>
          </w:p>
        </w:tc>
        <w:tc>
          <w:tcPr>
            <w:tcW w:w="380" w:type="dxa"/>
            <w:vAlign w:val="bottom"/>
          </w:tcPr>
          <w:p>
            <w:pPr>
              <w:spacing w:after="0"/>
              <w:rPr>
                <w:sz w:val="10"/>
                <w:szCs w:val="10"/>
                <w:color w:val="auto"/>
              </w:rPr>
            </w:pPr>
          </w:p>
        </w:tc>
        <w:tc>
          <w:tcPr>
            <w:tcW w:w="1940" w:type="dxa"/>
            <w:vAlign w:val="bottom"/>
            <w:shd w:val="clear" w:color="auto" w:fill="D0D1D2"/>
          </w:tcPr>
          <w:p>
            <w:pPr>
              <w:spacing w:after="0"/>
              <w:rPr>
                <w:sz w:val="10"/>
                <w:szCs w:val="10"/>
                <w:color w:val="auto"/>
              </w:rPr>
            </w:pPr>
          </w:p>
        </w:tc>
        <w:tc>
          <w:tcPr>
            <w:tcW w:w="340" w:type="dxa"/>
            <w:vAlign w:val="bottom"/>
          </w:tcPr>
          <w:p>
            <w:pPr>
              <w:spacing w:after="0"/>
              <w:rPr>
                <w:sz w:val="10"/>
                <w:szCs w:val="10"/>
                <w:color w:val="auto"/>
              </w:rPr>
            </w:pPr>
          </w:p>
        </w:tc>
        <w:tc>
          <w:tcPr>
            <w:tcW w:w="1940" w:type="dxa"/>
            <w:vAlign w:val="bottom"/>
            <w:vMerge w:val="continue"/>
            <w:shd w:val="clear" w:color="auto" w:fill="FF7F32"/>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920" w:type="dxa"/>
            <w:vAlign w:val="bottom"/>
            <w:shd w:val="clear" w:color="auto" w:fill="D0D1D2"/>
          </w:tcPr>
          <w:p>
            <w:pPr>
              <w:spacing w:after="0"/>
              <w:rPr>
                <w:sz w:val="10"/>
                <w:szCs w:val="10"/>
                <w:color w:val="auto"/>
              </w:rPr>
            </w:pPr>
          </w:p>
        </w:tc>
        <w:tc>
          <w:tcPr>
            <w:tcW w:w="340" w:type="dxa"/>
            <w:vAlign w:val="bottom"/>
          </w:tcPr>
          <w:p>
            <w:pPr>
              <w:spacing w:after="0"/>
              <w:rPr>
                <w:sz w:val="10"/>
                <w:szCs w:val="10"/>
                <w:color w:val="auto"/>
              </w:rPr>
            </w:pPr>
          </w:p>
        </w:tc>
        <w:tc>
          <w:tcPr>
            <w:tcW w:w="1940" w:type="dxa"/>
            <w:vAlign w:val="bottom"/>
            <w:shd w:val="clear" w:color="auto" w:fill="D0D1D2"/>
          </w:tcPr>
          <w:p>
            <w:pPr>
              <w:spacing w:after="0"/>
              <w:rPr>
                <w:sz w:val="10"/>
                <w:szCs w:val="10"/>
                <w:color w:val="auto"/>
              </w:rPr>
            </w:pPr>
          </w:p>
        </w:tc>
        <w:tc>
          <w:tcPr>
            <w:tcW w:w="340" w:type="dxa"/>
            <w:vAlign w:val="bottom"/>
          </w:tcPr>
          <w:p>
            <w:pPr>
              <w:spacing w:after="0"/>
              <w:rPr>
                <w:sz w:val="10"/>
                <w:szCs w:val="10"/>
                <w:color w:val="auto"/>
              </w:rPr>
            </w:pPr>
          </w:p>
        </w:tc>
        <w:tc>
          <w:tcPr>
            <w:tcW w:w="2100" w:type="dxa"/>
            <w:vAlign w:val="bottom"/>
            <w:vMerge w:val="continue"/>
            <w:shd w:val="clear" w:color="auto" w:fill="D0D1D2"/>
          </w:tcPr>
          <w:p>
            <w:pPr>
              <w:spacing w:after="0"/>
              <w:rPr>
                <w:sz w:val="10"/>
                <w:szCs w:val="10"/>
                <w:color w:val="auto"/>
              </w:rPr>
            </w:pPr>
          </w:p>
        </w:tc>
        <w:tc>
          <w:tcPr>
            <w:tcW w:w="380" w:type="dxa"/>
            <w:vAlign w:val="bottom"/>
          </w:tcPr>
          <w:p>
            <w:pPr>
              <w:spacing w:after="0"/>
              <w:rPr>
                <w:sz w:val="10"/>
                <w:szCs w:val="10"/>
                <w:color w:val="auto"/>
              </w:rPr>
            </w:pPr>
          </w:p>
        </w:tc>
        <w:tc>
          <w:tcPr>
            <w:tcW w:w="1940" w:type="dxa"/>
            <w:vAlign w:val="bottom"/>
            <w:shd w:val="clear" w:color="auto" w:fill="D0D1D2"/>
          </w:tcPr>
          <w:p>
            <w:pPr>
              <w:spacing w:after="0"/>
              <w:rPr>
                <w:sz w:val="10"/>
                <w:szCs w:val="10"/>
                <w:color w:val="auto"/>
              </w:rPr>
            </w:pPr>
          </w:p>
        </w:tc>
        <w:tc>
          <w:tcPr>
            <w:tcW w:w="340" w:type="dxa"/>
            <w:vAlign w:val="bottom"/>
          </w:tcPr>
          <w:p>
            <w:pPr>
              <w:spacing w:after="0"/>
              <w:rPr>
                <w:sz w:val="10"/>
                <w:szCs w:val="10"/>
                <w:color w:val="auto"/>
              </w:rPr>
            </w:pPr>
          </w:p>
        </w:tc>
        <w:tc>
          <w:tcPr>
            <w:tcW w:w="1940" w:type="dxa"/>
            <w:vAlign w:val="bottom"/>
            <w:shd w:val="clear" w:color="auto" w:fill="FF7F32"/>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920" w:type="dxa"/>
            <w:vAlign w:val="bottom"/>
            <w:shd w:val="clear" w:color="auto" w:fill="D0D1D2"/>
          </w:tcPr>
          <w:p>
            <w:pPr>
              <w:spacing w:after="0"/>
              <w:rPr>
                <w:sz w:val="7"/>
                <w:szCs w:val="7"/>
                <w:color w:val="auto"/>
              </w:rPr>
            </w:pPr>
          </w:p>
        </w:tc>
        <w:tc>
          <w:tcPr>
            <w:tcW w:w="340" w:type="dxa"/>
            <w:vAlign w:val="bottom"/>
          </w:tcPr>
          <w:p>
            <w:pPr>
              <w:spacing w:after="0"/>
              <w:rPr>
                <w:sz w:val="7"/>
                <w:szCs w:val="7"/>
                <w:color w:val="auto"/>
              </w:rPr>
            </w:pPr>
          </w:p>
        </w:tc>
        <w:tc>
          <w:tcPr>
            <w:tcW w:w="1940" w:type="dxa"/>
            <w:vAlign w:val="bottom"/>
            <w:shd w:val="clear" w:color="auto" w:fill="D0D1D2"/>
          </w:tcPr>
          <w:p>
            <w:pPr>
              <w:spacing w:after="0"/>
              <w:rPr>
                <w:sz w:val="7"/>
                <w:szCs w:val="7"/>
                <w:color w:val="auto"/>
              </w:rPr>
            </w:pPr>
          </w:p>
        </w:tc>
        <w:tc>
          <w:tcPr>
            <w:tcW w:w="340" w:type="dxa"/>
            <w:vAlign w:val="bottom"/>
          </w:tcPr>
          <w:p>
            <w:pPr>
              <w:spacing w:after="0"/>
              <w:rPr>
                <w:sz w:val="7"/>
                <w:szCs w:val="7"/>
                <w:color w:val="auto"/>
              </w:rPr>
            </w:pPr>
          </w:p>
        </w:tc>
        <w:tc>
          <w:tcPr>
            <w:tcW w:w="2100" w:type="dxa"/>
            <w:vAlign w:val="bottom"/>
            <w:shd w:val="clear" w:color="auto" w:fill="D0D1D2"/>
          </w:tcPr>
          <w:p>
            <w:pPr>
              <w:spacing w:after="0"/>
              <w:rPr>
                <w:sz w:val="7"/>
                <w:szCs w:val="7"/>
                <w:color w:val="auto"/>
              </w:rPr>
            </w:pPr>
          </w:p>
        </w:tc>
        <w:tc>
          <w:tcPr>
            <w:tcW w:w="380" w:type="dxa"/>
            <w:vAlign w:val="bottom"/>
          </w:tcPr>
          <w:p>
            <w:pPr>
              <w:spacing w:after="0"/>
              <w:rPr>
                <w:sz w:val="7"/>
                <w:szCs w:val="7"/>
                <w:color w:val="auto"/>
              </w:rPr>
            </w:pPr>
          </w:p>
        </w:tc>
        <w:tc>
          <w:tcPr>
            <w:tcW w:w="1940" w:type="dxa"/>
            <w:vAlign w:val="bottom"/>
            <w:shd w:val="clear" w:color="auto" w:fill="D0D1D2"/>
          </w:tcPr>
          <w:p>
            <w:pPr>
              <w:spacing w:after="0"/>
              <w:rPr>
                <w:sz w:val="7"/>
                <w:szCs w:val="7"/>
                <w:color w:val="auto"/>
              </w:rPr>
            </w:pPr>
          </w:p>
        </w:tc>
        <w:tc>
          <w:tcPr>
            <w:tcW w:w="340" w:type="dxa"/>
            <w:vAlign w:val="bottom"/>
          </w:tcPr>
          <w:p>
            <w:pPr>
              <w:spacing w:after="0"/>
              <w:rPr>
                <w:sz w:val="7"/>
                <w:szCs w:val="7"/>
                <w:color w:val="auto"/>
              </w:rPr>
            </w:pPr>
          </w:p>
        </w:tc>
        <w:tc>
          <w:tcPr>
            <w:tcW w:w="1940" w:type="dxa"/>
            <w:vAlign w:val="bottom"/>
            <w:shd w:val="clear" w:color="auto" w:fill="FF7F32"/>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See “Executive Officer Employment Arrangements” on page 58 for more information.</w:t>
      </w:r>
    </w:p>
    <w:p>
      <w:pPr>
        <w:spacing w:after="0" w:line="167" w:lineRule="exact"/>
        <w:rPr>
          <w:sz w:val="20"/>
          <w:szCs w:val="20"/>
          <w:color w:val="auto"/>
        </w:rPr>
      </w:pPr>
    </w:p>
    <w:p>
      <w:pPr>
        <w:ind w:right="20"/>
        <w:spacing w:after="0" w:line="322" w:lineRule="auto"/>
        <w:rPr>
          <w:sz w:val="20"/>
          <w:szCs w:val="20"/>
          <w:color w:val="auto"/>
        </w:rPr>
      </w:pPr>
      <w:r>
        <w:rPr>
          <w:rFonts w:ascii="Arial" w:cs="Arial" w:eastAsia="Arial" w:hAnsi="Arial"/>
          <w:sz w:val="16"/>
          <w:szCs w:val="16"/>
          <w:color w:val="auto"/>
        </w:rPr>
        <w:t>Achievement below the Minimum level as established in the below table would result in a “Percent Achieved” of 0% for the applicable metric. Achievement at the Target level would result in a “Percent Achieved” of 100% for the applicable metric. And achievement at the Maximum level would result in a “Percent Achieved” of 130% for the applicable metric. Each metric was capped at a “Percent Achieved” of 130%. Payouts are interpolated on a linear basis for achievement between the levels set forth in the table. The Compensation Committee selected the Adjusted EBITDA, Revenue, and Monthly Recurring Revenue Growth (the increase in revenue generated from subscription services during the fiscal year) metrics because it believed that these metrics appropriately incentivized our NEOs to achieve sustainable growth in fiscal year 2025, while setting challenging goals that, if achieved, would deliver value to our shareholders. Adjusted EBITDA is a non-GAAP financial measure which is not required by or defined under GAAP. We use this non-GAAP financial measure for financial and operational decision-making purposes and as a means to evaluate period-to-period comparisons, which we believe makes it appropriate to use for our incentive compensation plans. We define Adjusted EBITDA as U.S. GAAP net income before (i) interest income on cash and leases, (ii) interest expense on debt and sales tax reserves, (iii) income tax provision, (iv) depreciation, (v) amortization, (vi) stock-based compensation expense, (vii) fees and charges, net of reimbursement from insurance proceeds, that were incurred in connection with the 2019 Investigation and financial statement restatement activities as well as proxy solicitation costs that are not indicative of our core operations, (viii) one-time project expense, one-time severance expenses, and infrequent integration and acquisition expense, and (ix) certain other significant infrequent or unusual losses and gains that are not indicative of our core operations including asset impairment charges, and gain on extinguishment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77470</wp:posOffset>
            </wp:positionV>
            <wp:extent cx="925830" cy="26543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925830" cy="265430"/>
                    </a:xfrm>
                    <a:prstGeom prst="rect">
                      <a:avLst/>
                    </a:prstGeom>
                    <a:noFill/>
                  </pic:spPr>
                </pic:pic>
              </a:graphicData>
            </a:graphic>
          </wp:anchor>
        </w:drawing>
      </w:r>
    </w:p>
    <w:p>
      <w:pPr>
        <w:spacing w:after="0" w:line="273"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auto"/>
        </w:rPr>
        <w:t>52</w:t>
      </w:r>
      <w:r>
        <w:rPr>
          <w:sz w:val="20"/>
          <w:szCs w:val="20"/>
          <w:color w:val="auto"/>
        </w:rPr>
        <w:tab/>
      </w:r>
      <w:r>
        <w:rPr>
          <w:rFonts w:ascii="Arial" w:cs="Arial" w:eastAsia="Arial" w:hAnsi="Arial"/>
          <w:sz w:val="12"/>
          <w:szCs w:val="12"/>
          <w:b w:val="1"/>
          <w:bCs w:val="1"/>
          <w:color w:val="FF7F32"/>
        </w:rPr>
        <w:t xml:space="preserve">2026 </w:t>
      </w:r>
      <w:r>
        <w:rPr>
          <w:rFonts w:ascii="Arial" w:cs="Arial" w:eastAsia="Arial" w:hAnsi="Arial"/>
          <w:sz w:val="12"/>
          <w:szCs w:val="12"/>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271145</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3"/>
          <w:szCs w:val="13"/>
          <w:color w:val="202945"/>
        </w:rPr>
        <w:t>Compensation Discussion &amp;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7"/>
          <w:szCs w:val="27"/>
          <w:color w:val="202945"/>
        </w:rPr>
        <w:t>Financial Goals and Achievement</w:t>
      </w:r>
    </w:p>
    <w:p>
      <w:pPr>
        <w:spacing w:after="0" w:line="189" w:lineRule="exact"/>
        <w:rPr>
          <w:sz w:val="20"/>
          <w:szCs w:val="20"/>
          <w:color w:val="auto"/>
        </w:rPr>
      </w:pPr>
    </w:p>
    <w:p>
      <w:pPr>
        <w:spacing w:after="0" w:line="356" w:lineRule="auto"/>
        <w:rPr>
          <w:sz w:val="20"/>
          <w:szCs w:val="20"/>
          <w:color w:val="auto"/>
        </w:rPr>
      </w:pPr>
      <w:r>
        <w:rPr>
          <w:rFonts w:ascii="Arial" w:cs="Arial" w:eastAsia="Arial" w:hAnsi="Arial"/>
          <w:sz w:val="16"/>
          <w:szCs w:val="16"/>
          <w:color w:val="auto"/>
        </w:rPr>
        <w:t>Based on the actual achievement of each metric in fiscal year 2025 described below, the Compensation Committee calculated an overall achievement on the fiscal 2025 corporate goals of 71.8%, as detailed in table below:</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1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0" w:type="dxa"/>
            <w:vAlign w:val="bottom"/>
          </w:tcPr>
          <w:p>
            <w:pPr>
              <w:jc w:val="center"/>
              <w:ind w:left="8"/>
              <w:spacing w:after="0"/>
              <w:rPr>
                <w:sz w:val="20"/>
                <w:szCs w:val="20"/>
                <w:color w:val="auto"/>
              </w:rPr>
            </w:pPr>
            <w:r>
              <w:rPr>
                <w:rFonts w:ascii="Arial" w:cs="Arial" w:eastAsia="Arial" w:hAnsi="Arial"/>
                <w:sz w:val="14"/>
                <w:szCs w:val="14"/>
                <w:b w:val="1"/>
                <w:bCs w:val="1"/>
                <w:color w:val="404040"/>
              </w:rPr>
              <w:t>Weighted</w:t>
            </w:r>
          </w:p>
        </w:tc>
        <w:tc>
          <w:tcPr>
            <w:tcW w:w="0" w:type="dxa"/>
            <w:vAlign w:val="bottom"/>
          </w:tcPr>
          <w:p>
            <w:pPr>
              <w:spacing w:after="0"/>
              <w:rPr>
                <w:sz w:val="1"/>
                <w:szCs w:val="1"/>
                <w:color w:val="auto"/>
              </w:rPr>
            </w:pPr>
          </w:p>
        </w:tc>
      </w:tr>
      <w:tr>
        <w:trPr>
          <w:trHeight w:val="203"/>
        </w:trPr>
        <w:tc>
          <w:tcPr>
            <w:tcW w:w="2180" w:type="dxa"/>
            <w:vAlign w:val="bottom"/>
            <w:vMerge w:val="restart"/>
          </w:tcPr>
          <w:p>
            <w:pPr>
              <w:ind w:left="20"/>
              <w:spacing w:after="0"/>
              <w:rPr>
                <w:sz w:val="20"/>
                <w:szCs w:val="20"/>
                <w:color w:val="auto"/>
              </w:rPr>
            </w:pPr>
            <w:r>
              <w:rPr>
                <w:rFonts w:ascii="Arial" w:cs="Arial" w:eastAsia="Arial" w:hAnsi="Arial"/>
                <w:sz w:val="14"/>
                <w:szCs w:val="14"/>
                <w:b w:val="1"/>
                <w:bCs w:val="1"/>
                <w:color w:val="404040"/>
              </w:rPr>
              <w:t>Performance Metric</w:t>
            </w:r>
          </w:p>
        </w:tc>
        <w:tc>
          <w:tcPr>
            <w:tcW w:w="2020" w:type="dxa"/>
            <w:vAlign w:val="bottom"/>
            <w:vMerge w:val="restart"/>
          </w:tcPr>
          <w:p>
            <w:pPr>
              <w:ind w:left="820"/>
              <w:spacing w:after="0"/>
              <w:rPr>
                <w:sz w:val="20"/>
                <w:szCs w:val="20"/>
                <w:color w:val="auto"/>
              </w:rPr>
            </w:pPr>
            <w:r>
              <w:rPr>
                <w:rFonts w:ascii="Arial" w:cs="Arial" w:eastAsia="Arial" w:hAnsi="Arial"/>
                <w:sz w:val="14"/>
                <w:szCs w:val="14"/>
                <w:b w:val="1"/>
                <w:bCs w:val="1"/>
                <w:color w:val="404040"/>
              </w:rPr>
              <w:t>Minimum</w:t>
            </w:r>
          </w:p>
        </w:tc>
        <w:tc>
          <w:tcPr>
            <w:tcW w:w="1500" w:type="dxa"/>
            <w:vAlign w:val="bottom"/>
            <w:vMerge w:val="restart"/>
          </w:tcPr>
          <w:p>
            <w:pPr>
              <w:ind w:left="560"/>
              <w:spacing w:after="0"/>
              <w:rPr>
                <w:sz w:val="20"/>
                <w:szCs w:val="20"/>
                <w:color w:val="auto"/>
              </w:rPr>
            </w:pPr>
            <w:r>
              <w:rPr>
                <w:rFonts w:ascii="Arial" w:cs="Arial" w:eastAsia="Arial" w:hAnsi="Arial"/>
                <w:sz w:val="14"/>
                <w:szCs w:val="14"/>
                <w:b w:val="1"/>
                <w:bCs w:val="1"/>
                <w:color w:val="404040"/>
              </w:rPr>
              <w:t>Target</w:t>
            </w:r>
          </w:p>
        </w:tc>
        <w:tc>
          <w:tcPr>
            <w:tcW w:w="1380" w:type="dxa"/>
            <w:vAlign w:val="bottom"/>
            <w:vMerge w:val="restart"/>
          </w:tcPr>
          <w:p>
            <w:pPr>
              <w:ind w:left="480"/>
              <w:spacing w:after="0"/>
              <w:rPr>
                <w:sz w:val="20"/>
                <w:szCs w:val="20"/>
                <w:color w:val="auto"/>
              </w:rPr>
            </w:pPr>
            <w:r>
              <w:rPr>
                <w:rFonts w:ascii="Arial" w:cs="Arial" w:eastAsia="Arial" w:hAnsi="Arial"/>
                <w:sz w:val="14"/>
                <w:szCs w:val="14"/>
                <w:b w:val="1"/>
                <w:bCs w:val="1"/>
                <w:color w:val="404040"/>
              </w:rPr>
              <w:t>Maximum</w:t>
            </w: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404040"/>
              </w:rPr>
              <w:t>Percent Achieved</w:t>
            </w:r>
          </w:p>
        </w:tc>
        <w:tc>
          <w:tcPr>
            <w:tcW w:w="1280" w:type="dxa"/>
            <w:vAlign w:val="bottom"/>
            <w:vMerge w:val="restart"/>
          </w:tcPr>
          <w:p>
            <w:pPr>
              <w:ind w:left="260"/>
              <w:spacing w:after="0"/>
              <w:rPr>
                <w:sz w:val="20"/>
                <w:szCs w:val="20"/>
                <w:color w:val="auto"/>
              </w:rPr>
            </w:pPr>
            <w:r>
              <w:rPr>
                <w:rFonts w:ascii="Arial" w:cs="Arial" w:eastAsia="Arial" w:hAnsi="Arial"/>
                <w:sz w:val="14"/>
                <w:szCs w:val="14"/>
                <w:b w:val="1"/>
                <w:bCs w:val="1"/>
                <w:color w:val="404040"/>
              </w:rPr>
              <w:t>Weighting</w:t>
            </w:r>
          </w:p>
        </w:tc>
        <w:tc>
          <w:tcPr>
            <w:tcW w:w="1200" w:type="dxa"/>
            <w:vAlign w:val="bottom"/>
          </w:tcPr>
          <w:p>
            <w:pPr>
              <w:jc w:val="center"/>
              <w:ind w:left="8"/>
              <w:spacing w:after="0"/>
              <w:rPr>
                <w:sz w:val="20"/>
                <w:szCs w:val="20"/>
                <w:color w:val="auto"/>
              </w:rPr>
            </w:pPr>
            <w:r>
              <w:rPr>
                <w:rFonts w:ascii="Arial" w:cs="Arial" w:eastAsia="Arial" w:hAnsi="Arial"/>
                <w:sz w:val="14"/>
                <w:szCs w:val="14"/>
                <w:b w:val="1"/>
                <w:bCs w:val="1"/>
                <w:color w:val="404040"/>
              </w:rPr>
              <w:t>Percent</w:t>
            </w:r>
          </w:p>
        </w:tc>
        <w:tc>
          <w:tcPr>
            <w:tcW w:w="0" w:type="dxa"/>
            <w:vAlign w:val="bottom"/>
          </w:tcPr>
          <w:p>
            <w:pPr>
              <w:spacing w:after="0"/>
              <w:rPr>
                <w:sz w:val="1"/>
                <w:szCs w:val="1"/>
                <w:color w:val="auto"/>
              </w:rPr>
            </w:pPr>
          </w:p>
        </w:tc>
      </w:tr>
      <w:tr>
        <w:trPr>
          <w:trHeight w:val="212"/>
        </w:trPr>
        <w:tc>
          <w:tcPr>
            <w:tcW w:w="2180" w:type="dxa"/>
            <w:vAlign w:val="bottom"/>
            <w:tcBorders>
              <w:bottom w:val="single" w:sz="8" w:color="FF7F32"/>
            </w:tcBorders>
            <w:vMerge w:val="continue"/>
          </w:tcPr>
          <w:p>
            <w:pPr>
              <w:spacing w:after="0"/>
              <w:rPr>
                <w:sz w:val="18"/>
                <w:szCs w:val="18"/>
                <w:color w:val="auto"/>
              </w:rPr>
            </w:pPr>
          </w:p>
        </w:tc>
        <w:tc>
          <w:tcPr>
            <w:tcW w:w="2020" w:type="dxa"/>
            <w:vAlign w:val="bottom"/>
            <w:tcBorders>
              <w:bottom w:val="single" w:sz="8" w:color="FF7F32"/>
            </w:tcBorders>
            <w:vMerge w:val="continue"/>
          </w:tcPr>
          <w:p>
            <w:pPr>
              <w:spacing w:after="0"/>
              <w:rPr>
                <w:sz w:val="18"/>
                <w:szCs w:val="18"/>
                <w:color w:val="auto"/>
              </w:rPr>
            </w:pPr>
          </w:p>
        </w:tc>
        <w:tc>
          <w:tcPr>
            <w:tcW w:w="1500" w:type="dxa"/>
            <w:vAlign w:val="bottom"/>
            <w:tcBorders>
              <w:bottom w:val="single" w:sz="8" w:color="FF7F32"/>
            </w:tcBorders>
            <w:vMerge w:val="continue"/>
          </w:tcPr>
          <w:p>
            <w:pPr>
              <w:spacing w:after="0"/>
              <w:rPr>
                <w:sz w:val="18"/>
                <w:szCs w:val="18"/>
                <w:color w:val="auto"/>
              </w:rPr>
            </w:pPr>
          </w:p>
        </w:tc>
        <w:tc>
          <w:tcPr>
            <w:tcW w:w="1380" w:type="dxa"/>
            <w:vAlign w:val="bottom"/>
            <w:tcBorders>
              <w:bottom w:val="single" w:sz="8" w:color="FF7F32"/>
            </w:tcBorders>
            <w:vMerge w:val="continue"/>
          </w:tcPr>
          <w:p>
            <w:pPr>
              <w:spacing w:after="0"/>
              <w:rPr>
                <w:sz w:val="18"/>
                <w:szCs w:val="18"/>
                <w:color w:val="auto"/>
              </w:rPr>
            </w:pPr>
          </w:p>
        </w:tc>
        <w:tc>
          <w:tcPr>
            <w:tcW w:w="1680" w:type="dxa"/>
            <w:vAlign w:val="bottom"/>
            <w:tcBorders>
              <w:bottom w:val="single" w:sz="8" w:color="FF7F32"/>
            </w:tcBorders>
            <w:vMerge w:val="continue"/>
          </w:tcPr>
          <w:p>
            <w:pPr>
              <w:spacing w:after="0"/>
              <w:rPr>
                <w:sz w:val="18"/>
                <w:szCs w:val="18"/>
                <w:color w:val="auto"/>
              </w:rPr>
            </w:pPr>
          </w:p>
        </w:tc>
        <w:tc>
          <w:tcPr>
            <w:tcW w:w="1280" w:type="dxa"/>
            <w:vAlign w:val="bottom"/>
            <w:tcBorders>
              <w:bottom w:val="single" w:sz="8" w:color="FF7F32"/>
            </w:tcBorders>
            <w:vMerge w:val="continue"/>
          </w:tcPr>
          <w:p>
            <w:pPr>
              <w:spacing w:after="0"/>
              <w:rPr>
                <w:sz w:val="18"/>
                <w:szCs w:val="18"/>
                <w:color w:val="auto"/>
              </w:rPr>
            </w:pPr>
          </w:p>
        </w:tc>
        <w:tc>
          <w:tcPr>
            <w:tcW w:w="1200" w:type="dxa"/>
            <w:vAlign w:val="bottom"/>
            <w:tcBorders>
              <w:bottom w:val="single" w:sz="8" w:color="FF7F32"/>
            </w:tcBorders>
          </w:tcPr>
          <w:p>
            <w:pPr>
              <w:jc w:val="center"/>
              <w:ind w:left="8"/>
              <w:spacing w:after="0"/>
              <w:rPr>
                <w:sz w:val="20"/>
                <w:szCs w:val="20"/>
                <w:color w:val="auto"/>
              </w:rPr>
            </w:pPr>
            <w:r>
              <w:rPr>
                <w:rFonts w:ascii="Arial" w:cs="Arial" w:eastAsia="Arial" w:hAnsi="Arial"/>
                <w:sz w:val="14"/>
                <w:szCs w:val="14"/>
                <w:b w:val="1"/>
                <w:bCs w:val="1"/>
                <w:color w:val="404040"/>
              </w:rPr>
              <w:t>Achieved</w:t>
            </w:r>
          </w:p>
        </w:tc>
        <w:tc>
          <w:tcPr>
            <w:tcW w:w="0" w:type="dxa"/>
            <w:vAlign w:val="bottom"/>
          </w:tcPr>
          <w:p>
            <w:pPr>
              <w:spacing w:after="0"/>
              <w:rPr>
                <w:sz w:val="1"/>
                <w:szCs w:val="1"/>
                <w:color w:val="auto"/>
              </w:rPr>
            </w:pPr>
          </w:p>
        </w:tc>
      </w:tr>
      <w:tr>
        <w:trPr>
          <w:trHeight w:val="599"/>
        </w:trPr>
        <w:tc>
          <w:tcPr>
            <w:tcW w:w="2180" w:type="dxa"/>
            <w:vAlign w:val="bottom"/>
          </w:tcPr>
          <w:p>
            <w:pPr>
              <w:ind w:left="20"/>
              <w:spacing w:after="0"/>
              <w:rPr>
                <w:sz w:val="20"/>
                <w:szCs w:val="20"/>
                <w:color w:val="auto"/>
              </w:rPr>
            </w:pPr>
            <w:r>
              <w:rPr>
                <w:rFonts w:ascii="Arial" w:cs="Arial" w:eastAsia="Arial" w:hAnsi="Arial"/>
                <w:sz w:val="14"/>
                <w:szCs w:val="14"/>
                <w:color w:val="auto"/>
              </w:rPr>
              <w:t>Adjusted</w:t>
            </w:r>
          </w:p>
        </w:tc>
        <w:tc>
          <w:tcPr>
            <w:tcW w:w="20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80" w:type="dxa"/>
            <w:vAlign w:val="bottom"/>
            <w:vMerge w:val="restart"/>
          </w:tcPr>
          <w:p>
            <w:pPr>
              <w:jc w:val="right"/>
              <w:ind w:right="588"/>
              <w:spacing w:after="0"/>
              <w:rPr>
                <w:sz w:val="20"/>
                <w:szCs w:val="20"/>
                <w:color w:val="auto"/>
              </w:rPr>
            </w:pPr>
            <w:r>
              <w:rPr>
                <w:rFonts w:ascii="Arial" w:cs="Arial" w:eastAsia="Arial" w:hAnsi="Arial"/>
                <w:sz w:val="14"/>
                <w:szCs w:val="14"/>
                <w:color w:val="auto"/>
              </w:rPr>
              <w:t>93.4%</w:t>
            </w:r>
          </w:p>
        </w:tc>
        <w:tc>
          <w:tcPr>
            <w:tcW w:w="1280" w:type="dxa"/>
            <w:vAlign w:val="bottom"/>
          </w:tcPr>
          <w:p>
            <w:pPr>
              <w:spacing w:after="0"/>
              <w:rPr>
                <w:sz w:val="24"/>
                <w:szCs w:val="24"/>
                <w:color w:val="auto"/>
              </w:rPr>
            </w:pPr>
          </w:p>
        </w:tc>
        <w:tc>
          <w:tcPr>
            <w:tcW w:w="1200" w:type="dxa"/>
            <w:vAlign w:val="bottom"/>
            <w:vMerge w:val="restart"/>
          </w:tcPr>
          <w:p>
            <w:pPr>
              <w:jc w:val="center"/>
              <w:ind w:left="8"/>
              <w:spacing w:after="0"/>
              <w:rPr>
                <w:sz w:val="20"/>
                <w:szCs w:val="20"/>
                <w:color w:val="auto"/>
              </w:rPr>
            </w:pPr>
            <w:r>
              <w:rPr>
                <w:rFonts w:ascii="Arial" w:cs="Arial" w:eastAsia="Arial" w:hAnsi="Arial"/>
                <w:sz w:val="14"/>
                <w:szCs w:val="14"/>
                <w:color w:val="auto"/>
              </w:rPr>
              <w:t>37.4%</w:t>
            </w:r>
          </w:p>
        </w:tc>
        <w:tc>
          <w:tcPr>
            <w:tcW w:w="0" w:type="dxa"/>
            <w:vAlign w:val="bottom"/>
          </w:tcPr>
          <w:p>
            <w:pPr>
              <w:spacing w:after="0"/>
              <w:rPr>
                <w:sz w:val="1"/>
                <w:szCs w:val="1"/>
                <w:color w:val="auto"/>
              </w:rPr>
            </w:pPr>
          </w:p>
        </w:tc>
      </w:tr>
      <w:tr>
        <w:trPr>
          <w:trHeight w:val="108"/>
        </w:trPr>
        <w:tc>
          <w:tcPr>
            <w:tcW w:w="2180" w:type="dxa"/>
            <w:vAlign w:val="bottom"/>
            <w:vMerge w:val="restart"/>
          </w:tcPr>
          <w:p>
            <w:pPr>
              <w:ind w:left="20"/>
              <w:spacing w:after="0"/>
              <w:rPr>
                <w:sz w:val="20"/>
                <w:szCs w:val="20"/>
                <w:color w:val="auto"/>
              </w:rPr>
            </w:pPr>
            <w:r>
              <w:rPr>
                <w:rFonts w:ascii="Arial" w:cs="Arial" w:eastAsia="Arial" w:hAnsi="Arial"/>
                <w:sz w:val="14"/>
                <w:szCs w:val="14"/>
                <w:color w:val="auto"/>
              </w:rPr>
              <w:t>EBITDA ($)</w:t>
            </w:r>
          </w:p>
        </w:tc>
        <w:tc>
          <w:tcPr>
            <w:tcW w:w="20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8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180" w:type="dxa"/>
            <w:vAlign w:val="bottom"/>
            <w:vMerge w:val="continue"/>
          </w:tcPr>
          <w:p>
            <w:pPr>
              <w:spacing w:after="0"/>
              <w:rPr>
                <w:sz w:val="8"/>
                <w:szCs w:val="8"/>
                <w:color w:val="auto"/>
              </w:rPr>
            </w:pPr>
          </w:p>
        </w:tc>
        <w:tc>
          <w:tcPr>
            <w:tcW w:w="20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3"/>
        </w:trPr>
        <w:tc>
          <w:tcPr>
            <w:tcW w:w="2180" w:type="dxa"/>
            <w:vAlign w:val="bottom"/>
            <w:tcBorders>
              <w:bottom w:val="single" w:sz="8" w:color="D9D9D9"/>
            </w:tcBorders>
          </w:tcPr>
          <w:p>
            <w:pPr>
              <w:spacing w:after="0"/>
              <w:rPr>
                <w:sz w:val="24"/>
                <w:szCs w:val="24"/>
                <w:color w:val="auto"/>
              </w:rPr>
            </w:pPr>
          </w:p>
        </w:tc>
        <w:tc>
          <w:tcPr>
            <w:tcW w:w="2020" w:type="dxa"/>
            <w:vAlign w:val="bottom"/>
            <w:tcBorders>
              <w:bottom w:val="single" w:sz="8" w:color="D9D9D9"/>
            </w:tcBorders>
          </w:tcPr>
          <w:p>
            <w:pPr>
              <w:spacing w:after="0"/>
              <w:rPr>
                <w:sz w:val="24"/>
                <w:szCs w:val="24"/>
                <w:color w:val="auto"/>
              </w:rPr>
            </w:pPr>
          </w:p>
        </w:tc>
        <w:tc>
          <w:tcPr>
            <w:tcW w:w="1500" w:type="dxa"/>
            <w:vAlign w:val="bottom"/>
            <w:tcBorders>
              <w:bottom w:val="single" w:sz="8" w:color="D9D9D9"/>
            </w:tcBorders>
          </w:tcPr>
          <w:p>
            <w:pPr>
              <w:spacing w:after="0"/>
              <w:rPr>
                <w:sz w:val="24"/>
                <w:szCs w:val="24"/>
                <w:color w:val="auto"/>
              </w:rPr>
            </w:pPr>
          </w:p>
        </w:tc>
        <w:tc>
          <w:tcPr>
            <w:tcW w:w="1380" w:type="dxa"/>
            <w:vAlign w:val="bottom"/>
            <w:tcBorders>
              <w:bottom w:val="single" w:sz="8" w:color="D9D9D9"/>
            </w:tcBorders>
          </w:tcPr>
          <w:p>
            <w:pPr>
              <w:spacing w:after="0"/>
              <w:rPr>
                <w:sz w:val="24"/>
                <w:szCs w:val="24"/>
                <w:color w:val="auto"/>
              </w:rPr>
            </w:pPr>
          </w:p>
        </w:tc>
        <w:tc>
          <w:tcPr>
            <w:tcW w:w="1680" w:type="dxa"/>
            <w:vAlign w:val="bottom"/>
            <w:tcBorders>
              <w:bottom w:val="single" w:sz="8" w:color="D9D9D9"/>
            </w:tcBorders>
          </w:tcPr>
          <w:p>
            <w:pPr>
              <w:spacing w:after="0"/>
              <w:rPr>
                <w:sz w:val="24"/>
                <w:szCs w:val="24"/>
                <w:color w:val="auto"/>
              </w:rPr>
            </w:pPr>
          </w:p>
        </w:tc>
        <w:tc>
          <w:tcPr>
            <w:tcW w:w="1280" w:type="dxa"/>
            <w:vAlign w:val="bottom"/>
            <w:tcBorders>
              <w:bottom w:val="single" w:sz="8" w:color="D9D9D9"/>
            </w:tcBorders>
          </w:tcPr>
          <w:p>
            <w:pPr>
              <w:spacing w:after="0"/>
              <w:rPr>
                <w:sz w:val="24"/>
                <w:szCs w:val="24"/>
                <w:color w:val="auto"/>
              </w:rPr>
            </w:pPr>
          </w:p>
        </w:tc>
        <w:tc>
          <w:tcPr>
            <w:tcW w:w="1200" w:type="dxa"/>
            <w:vAlign w:val="bottom"/>
            <w:tcBorders>
              <w:bottom w:val="single" w:sz="8" w:color="D9D9D9"/>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-650875</wp:posOffset>
            </wp:positionV>
            <wp:extent cx="1688465" cy="44577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688465" cy="445770"/>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-779780</wp:posOffset>
            </wp:positionV>
            <wp:extent cx="4063365" cy="149161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4063365" cy="149161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-779780</wp:posOffset>
            </wp:positionV>
            <wp:extent cx="4063365" cy="149161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4063365" cy="149161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4240" w:type="dxa"/>
            <w:vAlign w:val="bottom"/>
          </w:tcPr>
          <w:p>
            <w:pPr>
              <w:spacing w:after="0"/>
              <w:rPr>
                <w:sz w:val="20"/>
                <w:szCs w:val="20"/>
                <w:color w:val="auto"/>
              </w:rPr>
            </w:pPr>
            <w:r>
              <w:rPr>
                <w:rFonts w:ascii="Arial" w:cs="Arial" w:eastAsia="Arial" w:hAnsi="Arial"/>
                <w:sz w:val="14"/>
                <w:szCs w:val="14"/>
                <w:color w:val="auto"/>
              </w:rPr>
              <w:t>Revenue ($)</w:t>
            </w:r>
          </w:p>
        </w:tc>
        <w:tc>
          <w:tcPr>
            <w:tcW w:w="5040" w:type="dxa"/>
            <w:vAlign w:val="bottom"/>
          </w:tcPr>
          <w:p>
            <w:pPr>
              <w:jc w:val="right"/>
              <w:ind w:right="1128"/>
              <w:spacing w:after="0"/>
              <w:rPr>
                <w:sz w:val="20"/>
                <w:szCs w:val="20"/>
                <w:color w:val="auto"/>
              </w:rPr>
            </w:pPr>
            <w:r>
              <w:rPr>
                <w:rFonts w:ascii="Arial" w:cs="Arial" w:eastAsia="Arial" w:hAnsi="Arial"/>
                <w:sz w:val="14"/>
                <w:szCs w:val="14"/>
                <w:color w:val="auto"/>
              </w:rPr>
              <w:t>0.00%</w:t>
            </w:r>
          </w:p>
        </w:tc>
        <w:tc>
          <w:tcPr>
            <w:tcW w:w="1580" w:type="dxa"/>
            <w:vAlign w:val="bottom"/>
          </w:tcPr>
          <w:p>
            <w:pPr>
              <w:jc w:val="right"/>
              <w:spacing w:after="0"/>
              <w:rPr>
                <w:sz w:val="20"/>
                <w:szCs w:val="20"/>
                <w:color w:val="auto"/>
              </w:rPr>
            </w:pPr>
            <w:r>
              <w:rPr>
                <w:rFonts w:ascii="Arial" w:cs="Arial" w:eastAsia="Arial" w:hAnsi="Arial"/>
                <w:sz w:val="14"/>
                <w:szCs w:val="14"/>
                <w:color w:val="auto"/>
              </w:rPr>
              <w:t>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7132320" cy="7283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32320" cy="72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520" w:type="dxa"/>
            <w:vAlign w:val="bottom"/>
          </w:tcPr>
          <w:p>
            <w:pPr>
              <w:spacing w:after="0"/>
              <w:rPr>
                <w:sz w:val="20"/>
                <w:szCs w:val="20"/>
                <w:color w:val="auto"/>
              </w:rPr>
            </w:pPr>
            <w:r>
              <w:rPr>
                <w:rFonts w:ascii="Arial" w:cs="Arial" w:eastAsia="Arial" w:hAnsi="Arial"/>
                <w:sz w:val="14"/>
                <w:szCs w:val="14"/>
                <w:color w:val="auto"/>
              </w:rPr>
              <w:t>Monthly Recurring</w:t>
            </w:r>
          </w:p>
        </w:tc>
        <w:tc>
          <w:tcPr>
            <w:tcW w:w="4760" w:type="dxa"/>
            <w:vAlign w:val="bottom"/>
            <w:vMerge w:val="restart"/>
          </w:tcPr>
          <w:p>
            <w:pPr>
              <w:jc w:val="right"/>
              <w:ind w:right="1128"/>
              <w:spacing w:after="0"/>
              <w:rPr>
                <w:sz w:val="20"/>
                <w:szCs w:val="20"/>
                <w:color w:val="auto"/>
              </w:rPr>
            </w:pPr>
            <w:r>
              <w:rPr>
                <w:rFonts w:ascii="Arial" w:cs="Arial" w:eastAsia="Arial" w:hAnsi="Arial"/>
                <w:sz w:val="14"/>
                <w:szCs w:val="14"/>
                <w:color w:val="auto"/>
              </w:rPr>
              <w:t>82.2%</w:t>
            </w:r>
          </w:p>
        </w:tc>
        <w:tc>
          <w:tcPr>
            <w:tcW w:w="1580" w:type="dxa"/>
            <w:vAlign w:val="bottom"/>
            <w:vMerge w:val="restart"/>
          </w:tcPr>
          <w:p>
            <w:pPr>
              <w:jc w:val="right"/>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108"/>
        </w:trPr>
        <w:tc>
          <w:tcPr>
            <w:tcW w:w="4520" w:type="dxa"/>
            <w:vAlign w:val="bottom"/>
            <w:vMerge w:val="restart"/>
          </w:tcPr>
          <w:p>
            <w:pPr>
              <w:spacing w:after="0"/>
              <w:rPr>
                <w:sz w:val="20"/>
                <w:szCs w:val="20"/>
                <w:color w:val="auto"/>
              </w:rPr>
            </w:pPr>
            <w:r>
              <w:rPr>
                <w:rFonts w:ascii="Arial" w:cs="Arial" w:eastAsia="Arial" w:hAnsi="Arial"/>
                <w:sz w:val="14"/>
                <w:szCs w:val="14"/>
                <w:color w:val="auto"/>
              </w:rPr>
              <w:t>Revenue Growth (%)</w:t>
            </w:r>
          </w:p>
        </w:tc>
        <w:tc>
          <w:tcPr>
            <w:tcW w:w="4760" w:type="dxa"/>
            <w:vAlign w:val="bottom"/>
            <w:vMerge w:val="continue"/>
          </w:tcPr>
          <w:p>
            <w:pPr>
              <w:spacing w:after="0"/>
              <w:rPr>
                <w:sz w:val="9"/>
                <w:szCs w:val="9"/>
                <w:color w:val="auto"/>
              </w:rPr>
            </w:pPr>
          </w:p>
        </w:tc>
        <w:tc>
          <w:tcPr>
            <w:tcW w:w="1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4520" w:type="dxa"/>
            <w:vAlign w:val="bottom"/>
            <w:vMerge w:val="continue"/>
          </w:tcPr>
          <w:p>
            <w:pPr>
              <w:spacing w:after="0"/>
              <w:rPr>
                <w:sz w:val="8"/>
                <w:szCs w:val="8"/>
                <w:color w:val="auto"/>
              </w:rPr>
            </w:pPr>
          </w:p>
        </w:tc>
        <w:tc>
          <w:tcPr>
            <w:tcW w:w="47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7200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3232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140" w:type="dxa"/>
            <w:vAlign w:val="bottom"/>
            <w:vMerge w:val="restart"/>
          </w:tcPr>
          <w:p>
            <w:pPr>
              <w:spacing w:after="0"/>
              <w:rPr>
                <w:sz w:val="20"/>
                <w:szCs w:val="20"/>
                <w:color w:val="auto"/>
              </w:rPr>
            </w:pPr>
            <w:r>
              <w:rPr>
                <w:rFonts w:ascii="Arial" w:cs="Arial" w:eastAsia="Arial" w:hAnsi="Arial"/>
                <w:sz w:val="14"/>
                <w:szCs w:val="14"/>
                <w:color w:val="auto"/>
              </w:rPr>
              <w:t>Board Discretion (%)</w:t>
            </w:r>
          </w:p>
        </w:tc>
        <w:tc>
          <w:tcPr>
            <w:tcW w:w="1980" w:type="dxa"/>
            <w:vAlign w:val="bottom"/>
          </w:tcPr>
          <w:p>
            <w:pPr>
              <w:ind w:left="1020"/>
              <w:spacing w:after="0"/>
              <w:rPr>
                <w:sz w:val="20"/>
                <w:szCs w:val="20"/>
                <w:color w:val="auto"/>
              </w:rPr>
            </w:pPr>
            <w:r>
              <w:rPr>
                <w:rFonts w:ascii="Arial" w:cs="Arial" w:eastAsia="Arial" w:hAnsi="Arial"/>
                <w:sz w:val="14"/>
                <w:szCs w:val="14"/>
                <w:color w:val="auto"/>
              </w:rPr>
              <w:t>Not</w:t>
            </w:r>
          </w:p>
        </w:tc>
        <w:tc>
          <w:tcPr>
            <w:tcW w:w="1600" w:type="dxa"/>
            <w:vAlign w:val="bottom"/>
          </w:tcPr>
          <w:p>
            <w:pPr>
              <w:ind w:left="720"/>
              <w:spacing w:after="0"/>
              <w:rPr>
                <w:sz w:val="20"/>
                <w:szCs w:val="20"/>
                <w:color w:val="auto"/>
              </w:rPr>
            </w:pPr>
            <w:r>
              <w:rPr>
                <w:rFonts w:ascii="Arial" w:cs="Arial" w:eastAsia="Arial" w:hAnsi="Arial"/>
                <w:sz w:val="14"/>
                <w:szCs w:val="14"/>
                <w:color w:val="auto"/>
              </w:rPr>
              <w:t>Not</w:t>
            </w:r>
          </w:p>
        </w:tc>
        <w:tc>
          <w:tcPr>
            <w:tcW w:w="1480" w:type="dxa"/>
            <w:vAlign w:val="bottom"/>
          </w:tcPr>
          <w:p>
            <w:pPr>
              <w:ind w:left="640"/>
              <w:spacing w:after="0"/>
              <w:rPr>
                <w:sz w:val="20"/>
                <w:szCs w:val="20"/>
                <w:color w:val="auto"/>
              </w:rPr>
            </w:pPr>
            <w:r>
              <w:rPr>
                <w:rFonts w:ascii="Arial" w:cs="Arial" w:eastAsia="Arial" w:hAnsi="Arial"/>
                <w:sz w:val="14"/>
                <w:szCs w:val="14"/>
                <w:color w:val="auto"/>
              </w:rPr>
              <w:t>Not</w:t>
            </w:r>
          </w:p>
        </w:tc>
        <w:tc>
          <w:tcPr>
            <w:tcW w:w="2140" w:type="dxa"/>
            <w:vAlign w:val="bottom"/>
          </w:tcPr>
          <w:p>
            <w:pPr>
              <w:ind w:left="560"/>
              <w:spacing w:after="0"/>
              <w:rPr>
                <w:sz w:val="20"/>
                <w:szCs w:val="20"/>
                <w:color w:val="auto"/>
              </w:rPr>
            </w:pPr>
            <w:r>
              <w:rPr>
                <w:rFonts w:ascii="Arial" w:cs="Arial" w:eastAsia="Arial" w:hAnsi="Arial"/>
                <w:sz w:val="14"/>
                <w:szCs w:val="14"/>
                <w:color w:val="auto"/>
              </w:rPr>
              <w:t>Not</w:t>
            </w: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108"/>
        </w:trPr>
        <w:tc>
          <w:tcPr>
            <w:tcW w:w="2140" w:type="dxa"/>
            <w:vAlign w:val="bottom"/>
            <w:vMerge w:val="continue"/>
          </w:tcPr>
          <w:p>
            <w:pPr>
              <w:spacing w:after="0"/>
              <w:rPr>
                <w:sz w:val="9"/>
                <w:szCs w:val="9"/>
                <w:color w:val="auto"/>
              </w:rPr>
            </w:pPr>
          </w:p>
        </w:tc>
        <w:tc>
          <w:tcPr>
            <w:tcW w:w="1980" w:type="dxa"/>
            <w:vAlign w:val="bottom"/>
            <w:vMerge w:val="restart"/>
          </w:tcPr>
          <w:p>
            <w:pPr>
              <w:ind w:left="820"/>
              <w:spacing w:after="0"/>
              <w:rPr>
                <w:sz w:val="20"/>
                <w:szCs w:val="20"/>
                <w:color w:val="auto"/>
              </w:rPr>
            </w:pPr>
            <w:r>
              <w:rPr>
                <w:rFonts w:ascii="Arial" w:cs="Arial" w:eastAsia="Arial" w:hAnsi="Arial"/>
                <w:sz w:val="14"/>
                <w:szCs w:val="14"/>
                <w:color w:val="auto"/>
              </w:rPr>
              <w:t>applicable</w:t>
            </w:r>
          </w:p>
        </w:tc>
        <w:tc>
          <w:tcPr>
            <w:tcW w:w="1600" w:type="dxa"/>
            <w:vAlign w:val="bottom"/>
            <w:vMerge w:val="restart"/>
          </w:tcPr>
          <w:p>
            <w:pPr>
              <w:ind w:left="520"/>
              <w:spacing w:after="0"/>
              <w:rPr>
                <w:sz w:val="20"/>
                <w:szCs w:val="20"/>
                <w:color w:val="auto"/>
              </w:rPr>
            </w:pPr>
            <w:r>
              <w:rPr>
                <w:rFonts w:ascii="Arial" w:cs="Arial" w:eastAsia="Arial" w:hAnsi="Arial"/>
                <w:sz w:val="14"/>
                <w:szCs w:val="14"/>
                <w:color w:val="auto"/>
              </w:rPr>
              <w:t>applicable</w:t>
            </w:r>
          </w:p>
        </w:tc>
        <w:tc>
          <w:tcPr>
            <w:tcW w:w="1480" w:type="dxa"/>
            <w:vAlign w:val="bottom"/>
            <w:vMerge w:val="restart"/>
          </w:tcPr>
          <w:p>
            <w:pPr>
              <w:ind w:left="460"/>
              <w:spacing w:after="0"/>
              <w:rPr>
                <w:sz w:val="20"/>
                <w:szCs w:val="20"/>
                <w:color w:val="auto"/>
              </w:rPr>
            </w:pPr>
            <w:r>
              <w:rPr>
                <w:rFonts w:ascii="Arial" w:cs="Arial" w:eastAsia="Arial" w:hAnsi="Arial"/>
                <w:sz w:val="14"/>
                <w:szCs w:val="14"/>
                <w:color w:val="auto"/>
              </w:rPr>
              <w:t>applicable</w:t>
            </w:r>
          </w:p>
        </w:tc>
        <w:tc>
          <w:tcPr>
            <w:tcW w:w="2140" w:type="dxa"/>
            <w:vAlign w:val="bottom"/>
            <w:vMerge w:val="restart"/>
          </w:tcPr>
          <w:p>
            <w:pPr>
              <w:ind w:left="360"/>
              <w:spacing w:after="0"/>
              <w:rPr>
                <w:sz w:val="20"/>
                <w:szCs w:val="20"/>
                <w:color w:val="auto"/>
              </w:rPr>
            </w:pPr>
            <w:r>
              <w:rPr>
                <w:rFonts w:ascii="Arial" w:cs="Arial" w:eastAsia="Arial" w:hAnsi="Arial"/>
                <w:sz w:val="14"/>
                <w:szCs w:val="14"/>
                <w:color w:val="auto"/>
              </w:rPr>
              <w:t>applicable</w:t>
            </w: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140" w:type="dxa"/>
            <w:vAlign w:val="bottom"/>
          </w:tcPr>
          <w:p>
            <w:pPr>
              <w:spacing w:after="0"/>
              <w:rPr>
                <w:sz w:val="9"/>
                <w:szCs w:val="9"/>
                <w:color w:val="auto"/>
              </w:rPr>
            </w:pPr>
          </w:p>
        </w:tc>
        <w:tc>
          <w:tcPr>
            <w:tcW w:w="198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2140" w:type="dxa"/>
            <w:vAlign w:val="bottom"/>
            <w:vMerge w:val="continue"/>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459740</wp:posOffset>
            </wp:positionV>
            <wp:extent cx="713232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262255</wp:posOffset>
            </wp:positionV>
            <wp:extent cx="713232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7740"/>
        <w:spacing w:after="0"/>
        <w:tabs>
          <w:tab w:leader="none" w:pos="10160" w:val="left"/>
        </w:tabs>
        <w:rPr>
          <w:sz w:val="20"/>
          <w:szCs w:val="20"/>
          <w:color w:val="auto"/>
        </w:rPr>
      </w:pPr>
      <w:r>
        <w:rPr>
          <w:rFonts w:ascii="Arial" w:cs="Arial" w:eastAsia="Arial" w:hAnsi="Arial"/>
          <w:sz w:val="14"/>
          <w:szCs w:val="14"/>
          <w:b w:val="1"/>
          <w:bCs w:val="1"/>
          <w:color w:val="auto"/>
        </w:rPr>
        <w:t>Total Corporate Percent Achieved</w:t>
        <w:tab/>
        <w:t>71.8%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right="200"/>
        <w:spacing w:after="0" w:line="336" w:lineRule="auto"/>
        <w:rPr>
          <w:sz w:val="20"/>
          <w:szCs w:val="20"/>
          <w:color w:val="auto"/>
        </w:rPr>
      </w:pPr>
      <w:r>
        <w:rPr>
          <w:rFonts w:ascii="Arial" w:cs="Arial" w:eastAsia="Arial" w:hAnsi="Arial"/>
          <w:sz w:val="16"/>
          <w:szCs w:val="16"/>
          <w:color w:val="auto"/>
        </w:rPr>
        <w:t>No personal achievement levels were determined for each of our NEO’s in fiscal year 2025 as each NEO’s annual target bonus opportunity is equal to a percentage of their base salary, based on the achievement of corporate performance goals. The individual performance goals for each of our NEOs were primarily focused on projects and initiatives within the functional areas of each NEO to support the accomplishment of corporate goals. For fiscal 2025, the Board approved 120% payout on the board discretionary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134620</wp:posOffset>
            </wp:positionV>
            <wp:extent cx="925830" cy="26543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925830" cy="265430"/>
                    </a:xfrm>
                    <a:prstGeom prst="rect">
                      <a:avLst/>
                    </a:prstGeom>
                    <a:noFill/>
                  </pic:spPr>
                </pic:pic>
              </a:graphicData>
            </a:graphic>
          </wp:anchor>
        </w:drawing>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b w:val="1"/>
                <w:bCs w:val="1"/>
                <w:color w:val="FF7F32"/>
              </w:rPr>
              <w:t xml:space="preserve">2026 </w:t>
            </w:r>
            <w:r>
              <w:rPr>
                <w:rFonts w:ascii="Arial" w:cs="Arial" w:eastAsia="Arial" w:hAnsi="Arial"/>
                <w:sz w:val="13"/>
                <w:szCs w:val="13"/>
                <w:color w:val="000000"/>
              </w:rPr>
              <w:t>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auto"/>
              </w:rPr>
              <w:t>53</w:t>
            </w:r>
          </w:p>
        </w:tc>
      </w:tr>
      <w:tr>
        <w:trPr>
          <w:trHeight w:val="420"/>
        </w:trPr>
        <w:tc>
          <w:tcPr>
            <w:tcW w:w="618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56" w:name="page57"/>
    <w:bookmarkEnd w:id="56"/>
    <w:p>
      <w:pPr>
        <w:spacing w:after="0"/>
        <w:rPr>
          <w:sz w:val="20"/>
          <w:szCs w:val="20"/>
          <w:color w:val="auto"/>
        </w:rPr>
      </w:pPr>
      <w:r>
        <w:rPr>
          <w:rFonts w:ascii="Arial" w:cs="Arial" w:eastAsia="Arial" w:hAnsi="Arial"/>
          <w:sz w:val="13"/>
          <w:szCs w:val="13"/>
          <w:color w:val="202945"/>
        </w:rPr>
        <w:t>Compensation Discussion &amp;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7"/>
          <w:szCs w:val="27"/>
          <w:color w:val="202945"/>
        </w:rPr>
        <w:t>Fiscal Year 2025 Annual Bonuses</w:t>
      </w:r>
    </w:p>
    <w:p>
      <w:pPr>
        <w:spacing w:after="0" w:line="189" w:lineRule="exact"/>
        <w:rPr>
          <w:sz w:val="20"/>
          <w:szCs w:val="20"/>
          <w:color w:val="auto"/>
        </w:rPr>
      </w:pPr>
    </w:p>
    <w:p>
      <w:pPr>
        <w:ind w:right="600"/>
        <w:spacing w:after="0" w:line="356" w:lineRule="auto"/>
        <w:rPr>
          <w:sz w:val="20"/>
          <w:szCs w:val="20"/>
          <w:color w:val="auto"/>
        </w:rPr>
      </w:pPr>
      <w:r>
        <w:rPr>
          <w:rFonts w:ascii="Arial" w:cs="Arial" w:eastAsia="Arial" w:hAnsi="Arial"/>
          <w:sz w:val="16"/>
          <w:szCs w:val="16"/>
          <w:color w:val="auto"/>
        </w:rPr>
        <w:t>Based on the results achieved above, fiscal year 2025 bonuses earned by each of our NEOs we calculated as set forth in the below table (and in the “Summary Compensation Table” below).</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980" w:type="dxa"/>
            <w:vAlign w:val="bottom"/>
          </w:tcPr>
          <w:p>
            <w:pPr>
              <w:spacing w:after="0"/>
              <w:rPr>
                <w:sz w:val="17"/>
                <w:szCs w:val="17"/>
                <w:color w:val="auto"/>
              </w:rPr>
            </w:pPr>
          </w:p>
        </w:tc>
        <w:tc>
          <w:tcPr>
            <w:tcW w:w="3400" w:type="dxa"/>
            <w:vAlign w:val="bottom"/>
          </w:tcPr>
          <w:p>
            <w:pPr>
              <w:jc w:val="right"/>
              <w:ind w:right="2"/>
              <w:spacing w:after="0"/>
              <w:rPr>
                <w:sz w:val="20"/>
                <w:szCs w:val="20"/>
                <w:color w:val="auto"/>
              </w:rPr>
            </w:pPr>
            <w:r>
              <w:rPr>
                <w:rFonts w:ascii="Arial" w:cs="Arial" w:eastAsia="Arial" w:hAnsi="Arial"/>
                <w:sz w:val="14"/>
                <w:szCs w:val="14"/>
                <w:b w:val="1"/>
                <w:bCs w:val="1"/>
                <w:color w:val="404040"/>
              </w:rPr>
              <w:t>Weight of</w:t>
            </w:r>
          </w:p>
        </w:tc>
        <w:tc>
          <w:tcPr>
            <w:tcW w:w="1480" w:type="dxa"/>
            <w:vAlign w:val="bottom"/>
          </w:tcPr>
          <w:p>
            <w:pPr>
              <w:jc w:val="right"/>
              <w:ind w:right="182"/>
              <w:spacing w:after="0"/>
              <w:rPr>
                <w:sz w:val="20"/>
                <w:szCs w:val="20"/>
                <w:color w:val="auto"/>
              </w:rPr>
            </w:pPr>
            <w:r>
              <w:rPr>
                <w:rFonts w:ascii="Arial" w:cs="Arial" w:eastAsia="Arial" w:hAnsi="Arial"/>
                <w:sz w:val="14"/>
                <w:szCs w:val="14"/>
                <w:b w:val="1"/>
                <w:bCs w:val="1"/>
                <w:color w:val="404040"/>
              </w:rPr>
              <w:t>Total Percentage</w:t>
            </w:r>
          </w:p>
        </w:tc>
        <w:tc>
          <w:tcPr>
            <w:tcW w:w="1200" w:type="dxa"/>
            <w:vAlign w:val="bottom"/>
          </w:tcPr>
          <w:p>
            <w:pPr>
              <w:jc w:val="right"/>
              <w:ind w:right="82"/>
              <w:spacing w:after="0"/>
              <w:rPr>
                <w:sz w:val="20"/>
                <w:szCs w:val="20"/>
                <w:color w:val="auto"/>
              </w:rPr>
            </w:pPr>
            <w:r>
              <w:rPr>
                <w:rFonts w:ascii="Arial" w:cs="Arial" w:eastAsia="Arial" w:hAnsi="Arial"/>
                <w:sz w:val="14"/>
                <w:szCs w:val="14"/>
                <w:b w:val="1"/>
                <w:bCs w:val="1"/>
                <w:color w:val="404040"/>
              </w:rPr>
              <w:t>Target</w:t>
            </w:r>
          </w:p>
        </w:tc>
        <w:tc>
          <w:tcPr>
            <w:tcW w:w="1160" w:type="dxa"/>
            <w:vAlign w:val="bottom"/>
          </w:tcPr>
          <w:p>
            <w:pPr>
              <w:ind w:left="360"/>
              <w:spacing w:after="0"/>
              <w:rPr>
                <w:sz w:val="20"/>
                <w:szCs w:val="20"/>
                <w:color w:val="auto"/>
              </w:rPr>
            </w:pPr>
            <w:r>
              <w:rPr>
                <w:rFonts w:ascii="Arial" w:cs="Arial" w:eastAsia="Arial" w:hAnsi="Arial"/>
                <w:sz w:val="14"/>
                <w:szCs w:val="14"/>
                <w:b w:val="1"/>
                <w:bCs w:val="1"/>
                <w:color w:val="404040"/>
              </w:rPr>
              <w:t>Fiscal 2025</w:t>
            </w:r>
          </w:p>
        </w:tc>
        <w:tc>
          <w:tcPr>
            <w:tcW w:w="0" w:type="dxa"/>
            <w:vAlign w:val="bottom"/>
          </w:tcPr>
          <w:p>
            <w:pPr>
              <w:spacing w:after="0"/>
              <w:rPr>
                <w:sz w:val="1"/>
                <w:szCs w:val="1"/>
                <w:color w:val="auto"/>
              </w:rPr>
            </w:pPr>
          </w:p>
        </w:tc>
      </w:tr>
      <w:tr>
        <w:trPr>
          <w:trHeight w:val="203"/>
        </w:trPr>
        <w:tc>
          <w:tcPr>
            <w:tcW w:w="3980" w:type="dxa"/>
            <w:vAlign w:val="bottom"/>
          </w:tcPr>
          <w:p>
            <w:pPr>
              <w:spacing w:after="0"/>
              <w:rPr>
                <w:sz w:val="17"/>
                <w:szCs w:val="17"/>
                <w:color w:val="auto"/>
              </w:rPr>
            </w:pPr>
          </w:p>
        </w:tc>
        <w:tc>
          <w:tcPr>
            <w:tcW w:w="3400" w:type="dxa"/>
            <w:vAlign w:val="bottom"/>
          </w:tcPr>
          <w:p>
            <w:pPr>
              <w:jc w:val="right"/>
              <w:ind w:right="2"/>
              <w:spacing w:after="0"/>
              <w:rPr>
                <w:sz w:val="20"/>
                <w:szCs w:val="20"/>
                <w:color w:val="auto"/>
              </w:rPr>
            </w:pPr>
            <w:r>
              <w:rPr>
                <w:rFonts w:ascii="Arial" w:cs="Arial" w:eastAsia="Arial" w:hAnsi="Arial"/>
                <w:sz w:val="14"/>
                <w:szCs w:val="14"/>
                <w:b w:val="1"/>
                <w:bCs w:val="1"/>
                <w:color w:val="404040"/>
              </w:rPr>
              <w:t>Corporate</w:t>
            </w:r>
          </w:p>
        </w:tc>
        <w:tc>
          <w:tcPr>
            <w:tcW w:w="1480" w:type="dxa"/>
            <w:vAlign w:val="bottom"/>
          </w:tcPr>
          <w:p>
            <w:pPr>
              <w:ind w:left="580"/>
              <w:spacing w:after="0"/>
              <w:rPr>
                <w:sz w:val="20"/>
                <w:szCs w:val="20"/>
                <w:color w:val="auto"/>
              </w:rPr>
            </w:pPr>
            <w:r>
              <w:rPr>
                <w:rFonts w:ascii="Arial" w:cs="Arial" w:eastAsia="Arial" w:hAnsi="Arial"/>
                <w:sz w:val="14"/>
                <w:szCs w:val="14"/>
                <w:b w:val="1"/>
                <w:bCs w:val="1"/>
                <w:color w:val="404040"/>
              </w:rPr>
              <w:t>Achieved</w:t>
            </w:r>
          </w:p>
        </w:tc>
        <w:tc>
          <w:tcPr>
            <w:tcW w:w="1200" w:type="dxa"/>
            <w:vAlign w:val="bottom"/>
          </w:tcPr>
          <w:p>
            <w:pPr>
              <w:jc w:val="right"/>
              <w:ind w:right="82"/>
              <w:spacing w:after="0"/>
              <w:rPr>
                <w:sz w:val="20"/>
                <w:szCs w:val="20"/>
                <w:color w:val="auto"/>
              </w:rPr>
            </w:pPr>
            <w:r>
              <w:rPr>
                <w:rFonts w:ascii="Arial" w:cs="Arial" w:eastAsia="Arial" w:hAnsi="Arial"/>
                <w:sz w:val="14"/>
                <w:szCs w:val="14"/>
                <w:b w:val="1"/>
                <w:bCs w:val="1"/>
                <w:color w:val="404040"/>
              </w:rPr>
              <w:t>Bonus</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404040"/>
              </w:rPr>
              <w:t>Annual Bonus</w:t>
            </w:r>
          </w:p>
        </w:tc>
        <w:tc>
          <w:tcPr>
            <w:tcW w:w="0" w:type="dxa"/>
            <w:vAlign w:val="bottom"/>
          </w:tcPr>
          <w:p>
            <w:pPr>
              <w:spacing w:after="0"/>
              <w:rPr>
                <w:sz w:val="1"/>
                <w:szCs w:val="1"/>
                <w:color w:val="auto"/>
              </w:rPr>
            </w:pPr>
          </w:p>
        </w:tc>
      </w:tr>
      <w:tr>
        <w:trPr>
          <w:trHeight w:val="203"/>
        </w:trPr>
        <w:tc>
          <w:tcPr>
            <w:tcW w:w="3980" w:type="dxa"/>
            <w:vAlign w:val="bottom"/>
          </w:tcPr>
          <w:p>
            <w:pPr>
              <w:ind w:left="20"/>
              <w:spacing w:after="0"/>
              <w:rPr>
                <w:sz w:val="20"/>
                <w:szCs w:val="20"/>
                <w:color w:val="auto"/>
              </w:rPr>
            </w:pPr>
            <w:r>
              <w:rPr>
                <w:rFonts w:ascii="Arial" w:cs="Arial" w:eastAsia="Arial" w:hAnsi="Arial"/>
                <w:sz w:val="14"/>
                <w:szCs w:val="14"/>
                <w:b w:val="1"/>
                <w:bCs w:val="1"/>
                <w:color w:val="404040"/>
              </w:rPr>
              <w:t>Name</w:t>
            </w:r>
          </w:p>
        </w:tc>
        <w:tc>
          <w:tcPr>
            <w:tcW w:w="3400" w:type="dxa"/>
            <w:vAlign w:val="bottom"/>
          </w:tcPr>
          <w:p>
            <w:pPr>
              <w:jc w:val="right"/>
              <w:ind w:right="2"/>
              <w:spacing w:after="0"/>
              <w:rPr>
                <w:sz w:val="20"/>
                <w:szCs w:val="20"/>
                <w:color w:val="auto"/>
              </w:rPr>
            </w:pPr>
            <w:r>
              <w:rPr>
                <w:rFonts w:ascii="Arial" w:cs="Arial" w:eastAsia="Arial" w:hAnsi="Arial"/>
                <w:sz w:val="14"/>
                <w:szCs w:val="14"/>
                <w:b w:val="1"/>
                <w:bCs w:val="1"/>
                <w:color w:val="404040"/>
              </w:rPr>
              <w:t>Portion</w:t>
            </w:r>
          </w:p>
        </w:tc>
        <w:tc>
          <w:tcPr>
            <w:tcW w:w="1480" w:type="dxa"/>
            <w:vAlign w:val="bottom"/>
          </w:tcPr>
          <w:p>
            <w:pPr>
              <w:jc w:val="right"/>
              <w:ind w:right="182"/>
              <w:spacing w:after="0"/>
              <w:rPr>
                <w:sz w:val="20"/>
                <w:szCs w:val="20"/>
                <w:color w:val="auto"/>
              </w:rPr>
            </w:pPr>
            <w:r>
              <w:rPr>
                <w:rFonts w:ascii="Arial" w:cs="Arial" w:eastAsia="Arial" w:hAnsi="Arial"/>
                <w:sz w:val="14"/>
                <w:szCs w:val="14"/>
                <w:b w:val="1"/>
                <w:bCs w:val="1"/>
                <w:color w:val="404040"/>
              </w:rPr>
              <w:t>(A)</w:t>
            </w:r>
          </w:p>
        </w:tc>
        <w:tc>
          <w:tcPr>
            <w:tcW w:w="1200" w:type="dxa"/>
            <w:vAlign w:val="bottom"/>
          </w:tcPr>
          <w:p>
            <w:pPr>
              <w:jc w:val="right"/>
              <w:ind w:right="82"/>
              <w:spacing w:after="0"/>
              <w:rPr>
                <w:sz w:val="20"/>
                <w:szCs w:val="20"/>
                <w:color w:val="auto"/>
              </w:rPr>
            </w:pPr>
            <w:r>
              <w:rPr>
                <w:rFonts w:ascii="Arial" w:cs="Arial" w:eastAsia="Arial" w:hAnsi="Arial"/>
                <w:sz w:val="14"/>
                <w:szCs w:val="14"/>
                <w:b w:val="1"/>
                <w:bCs w:val="1"/>
                <w:color w:val="404040"/>
              </w:rPr>
              <w:t>(B)</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404040"/>
              </w:rPr>
              <w:t>(A x B)</w:t>
            </w:r>
          </w:p>
        </w:tc>
        <w:tc>
          <w:tcPr>
            <w:tcW w:w="0" w:type="dxa"/>
            <w:vAlign w:val="bottom"/>
          </w:tcPr>
          <w:p>
            <w:pPr>
              <w:spacing w:after="0"/>
              <w:rPr>
                <w:sz w:val="1"/>
                <w:szCs w:val="1"/>
                <w:color w:val="auto"/>
              </w:rPr>
            </w:pPr>
          </w:p>
        </w:tc>
      </w:tr>
      <w:tr>
        <w:trPr>
          <w:trHeight w:val="43"/>
        </w:trPr>
        <w:tc>
          <w:tcPr>
            <w:tcW w:w="3980" w:type="dxa"/>
            <w:vAlign w:val="bottom"/>
            <w:tcBorders>
              <w:bottom w:val="single" w:sz="8" w:color="FF7F32"/>
            </w:tcBorders>
          </w:tcPr>
          <w:p>
            <w:pPr>
              <w:spacing w:after="0"/>
              <w:rPr>
                <w:sz w:val="3"/>
                <w:szCs w:val="3"/>
                <w:color w:val="auto"/>
              </w:rPr>
            </w:pPr>
          </w:p>
        </w:tc>
        <w:tc>
          <w:tcPr>
            <w:tcW w:w="3400" w:type="dxa"/>
            <w:vAlign w:val="bottom"/>
            <w:tcBorders>
              <w:bottom w:val="single" w:sz="8" w:color="FF7F32"/>
            </w:tcBorders>
          </w:tcPr>
          <w:p>
            <w:pPr>
              <w:spacing w:after="0"/>
              <w:rPr>
                <w:sz w:val="3"/>
                <w:szCs w:val="3"/>
                <w:color w:val="auto"/>
              </w:rPr>
            </w:pPr>
          </w:p>
        </w:tc>
        <w:tc>
          <w:tcPr>
            <w:tcW w:w="1480" w:type="dxa"/>
            <w:vAlign w:val="bottom"/>
            <w:tcBorders>
              <w:bottom w:val="single" w:sz="8" w:color="FF7F32"/>
            </w:tcBorders>
          </w:tcPr>
          <w:p>
            <w:pPr>
              <w:spacing w:after="0"/>
              <w:rPr>
                <w:sz w:val="3"/>
                <w:szCs w:val="3"/>
                <w:color w:val="auto"/>
              </w:rPr>
            </w:pPr>
          </w:p>
        </w:tc>
        <w:tc>
          <w:tcPr>
            <w:tcW w:w="1200" w:type="dxa"/>
            <w:vAlign w:val="bottom"/>
            <w:tcBorders>
              <w:bottom w:val="single" w:sz="8" w:color="FF7F32"/>
            </w:tcBorders>
          </w:tcPr>
          <w:p>
            <w:pPr>
              <w:spacing w:after="0"/>
              <w:rPr>
                <w:sz w:val="3"/>
                <w:szCs w:val="3"/>
                <w:color w:val="auto"/>
              </w:rPr>
            </w:pPr>
          </w:p>
        </w:tc>
        <w:tc>
          <w:tcPr>
            <w:tcW w:w="1160" w:type="dxa"/>
            <w:vAlign w:val="bottom"/>
            <w:tcBorders>
              <w:bottom w:val="single" w:sz="8" w:color="FF7F32"/>
            </w:tcBorders>
          </w:tcPr>
          <w:p>
            <w:pPr>
              <w:spacing w:after="0"/>
              <w:rPr>
                <w:sz w:val="3"/>
                <w:szCs w:val="3"/>
                <w:color w:val="auto"/>
              </w:rPr>
            </w:pPr>
          </w:p>
        </w:tc>
        <w:tc>
          <w:tcPr>
            <w:tcW w:w="0" w:type="dxa"/>
            <w:vAlign w:val="bottom"/>
          </w:tcPr>
          <w:p>
            <w:pPr>
              <w:spacing w:after="0"/>
              <w:rPr>
                <w:sz w:val="1"/>
                <w:szCs w:val="1"/>
                <w:color w:val="auto"/>
              </w:rPr>
            </w:pPr>
          </w:p>
        </w:tc>
      </w:tr>
      <w:tr>
        <w:trPr>
          <w:trHeight w:val="275"/>
        </w:trPr>
        <w:tc>
          <w:tcPr>
            <w:tcW w:w="3980" w:type="dxa"/>
            <w:vAlign w:val="bottom"/>
          </w:tcPr>
          <w:p>
            <w:pPr>
              <w:ind w:left="20"/>
              <w:spacing w:after="0"/>
              <w:rPr>
                <w:sz w:val="20"/>
                <w:szCs w:val="20"/>
                <w:color w:val="auto"/>
              </w:rPr>
            </w:pPr>
            <w:r>
              <w:rPr>
                <w:rFonts w:ascii="Arial" w:cs="Arial" w:eastAsia="Arial" w:hAnsi="Arial"/>
                <w:sz w:val="14"/>
                <w:szCs w:val="14"/>
                <w:b w:val="1"/>
                <w:bCs w:val="1"/>
                <w:color w:val="FF7F32"/>
              </w:rPr>
              <w:t>Ravi Venkatesan</w:t>
            </w:r>
          </w:p>
        </w:tc>
        <w:tc>
          <w:tcPr>
            <w:tcW w:w="3400" w:type="dxa"/>
            <w:vAlign w:val="bottom"/>
          </w:tcPr>
          <w:p>
            <w:pPr>
              <w:jc w:val="right"/>
              <w:ind w:right="182"/>
              <w:spacing w:after="0"/>
              <w:rPr>
                <w:sz w:val="20"/>
                <w:szCs w:val="20"/>
                <w:color w:val="auto"/>
              </w:rPr>
            </w:pPr>
            <w:r>
              <w:rPr>
                <w:rFonts w:ascii="Arial" w:cs="Arial" w:eastAsia="Arial" w:hAnsi="Arial"/>
                <w:sz w:val="16"/>
                <w:szCs w:val="16"/>
                <w:color w:val="auto"/>
              </w:rPr>
              <w:t>100%</w:t>
            </w:r>
          </w:p>
        </w:tc>
        <w:tc>
          <w:tcPr>
            <w:tcW w:w="1480" w:type="dxa"/>
            <w:vAlign w:val="bottom"/>
          </w:tcPr>
          <w:p>
            <w:pPr>
              <w:ind w:left="580"/>
              <w:spacing w:after="0"/>
              <w:rPr>
                <w:sz w:val="20"/>
                <w:szCs w:val="20"/>
                <w:color w:val="auto"/>
              </w:rPr>
            </w:pPr>
            <w:r>
              <w:rPr>
                <w:rFonts w:ascii="Arial" w:cs="Arial" w:eastAsia="Arial" w:hAnsi="Arial"/>
                <w:sz w:val="16"/>
                <w:szCs w:val="16"/>
                <w:color w:val="auto"/>
              </w:rPr>
              <w:t>71.8%</w:t>
            </w:r>
          </w:p>
        </w:tc>
        <w:tc>
          <w:tcPr>
            <w:tcW w:w="1200" w:type="dxa"/>
            <w:vAlign w:val="bottom"/>
          </w:tcPr>
          <w:p>
            <w:pPr>
              <w:jc w:val="right"/>
              <w:ind w:right="262"/>
              <w:spacing w:after="0"/>
              <w:rPr>
                <w:sz w:val="20"/>
                <w:szCs w:val="20"/>
                <w:color w:val="auto"/>
              </w:rPr>
            </w:pPr>
            <w:r>
              <w:rPr>
                <w:rFonts w:ascii="Arial" w:cs="Arial" w:eastAsia="Arial" w:hAnsi="Arial"/>
                <w:sz w:val="16"/>
                <w:szCs w:val="16"/>
                <w:color w:val="auto"/>
              </w:rPr>
              <w:t>450,000</w:t>
            </w:r>
          </w:p>
        </w:tc>
        <w:tc>
          <w:tcPr>
            <w:tcW w:w="1160" w:type="dxa"/>
            <w:vAlign w:val="bottom"/>
          </w:tcPr>
          <w:p>
            <w:pPr>
              <w:ind w:left="360"/>
              <w:spacing w:after="0"/>
              <w:rPr>
                <w:sz w:val="20"/>
                <w:szCs w:val="20"/>
                <w:color w:val="auto"/>
              </w:rPr>
            </w:pPr>
            <w:r>
              <w:rPr>
                <w:rFonts w:ascii="Arial" w:cs="Arial" w:eastAsia="Arial" w:hAnsi="Arial"/>
                <w:sz w:val="16"/>
                <w:szCs w:val="16"/>
                <w:color w:val="auto"/>
              </w:rPr>
              <w:t>323,100</w:t>
            </w:r>
          </w:p>
        </w:tc>
        <w:tc>
          <w:tcPr>
            <w:tcW w:w="0" w:type="dxa"/>
            <w:vAlign w:val="bottom"/>
          </w:tcPr>
          <w:p>
            <w:pPr>
              <w:spacing w:after="0"/>
              <w:rPr>
                <w:sz w:val="1"/>
                <w:szCs w:val="1"/>
                <w:color w:val="auto"/>
              </w:rPr>
            </w:pPr>
          </w:p>
        </w:tc>
      </w:tr>
      <w:tr>
        <w:trPr>
          <w:trHeight w:val="69"/>
        </w:trPr>
        <w:tc>
          <w:tcPr>
            <w:tcW w:w="3980" w:type="dxa"/>
            <w:vAlign w:val="bottom"/>
            <w:tcBorders>
              <w:bottom w:val="single" w:sz="8" w:color="D9D9D9"/>
            </w:tcBorders>
          </w:tcPr>
          <w:p>
            <w:pPr>
              <w:spacing w:after="0"/>
              <w:rPr>
                <w:sz w:val="6"/>
                <w:szCs w:val="6"/>
                <w:color w:val="auto"/>
              </w:rPr>
            </w:pPr>
          </w:p>
        </w:tc>
        <w:tc>
          <w:tcPr>
            <w:tcW w:w="3400" w:type="dxa"/>
            <w:vAlign w:val="bottom"/>
            <w:tcBorders>
              <w:bottom w:val="single" w:sz="8" w:color="D9D9D9"/>
            </w:tcBorders>
          </w:tcPr>
          <w:p>
            <w:pPr>
              <w:spacing w:after="0"/>
              <w:rPr>
                <w:sz w:val="6"/>
                <w:szCs w:val="6"/>
                <w:color w:val="auto"/>
              </w:rPr>
            </w:pPr>
          </w:p>
        </w:tc>
        <w:tc>
          <w:tcPr>
            <w:tcW w:w="1480" w:type="dxa"/>
            <w:vAlign w:val="bottom"/>
            <w:tcBorders>
              <w:bottom w:val="single" w:sz="8" w:color="D9D9D9"/>
            </w:tcBorders>
          </w:tcPr>
          <w:p>
            <w:pPr>
              <w:spacing w:after="0"/>
              <w:rPr>
                <w:sz w:val="6"/>
                <w:szCs w:val="6"/>
                <w:color w:val="auto"/>
              </w:rPr>
            </w:pPr>
          </w:p>
        </w:tc>
        <w:tc>
          <w:tcPr>
            <w:tcW w:w="1200" w:type="dxa"/>
            <w:vAlign w:val="bottom"/>
            <w:tcBorders>
              <w:bottom w:val="single" w:sz="8" w:color="D9D9D9"/>
            </w:tcBorders>
          </w:tcPr>
          <w:p>
            <w:pPr>
              <w:spacing w:after="0"/>
              <w:rPr>
                <w:sz w:val="6"/>
                <w:szCs w:val="6"/>
                <w:color w:val="auto"/>
              </w:rPr>
            </w:pPr>
          </w:p>
        </w:tc>
        <w:tc>
          <w:tcPr>
            <w:tcW w:w="1160" w:type="dxa"/>
            <w:vAlign w:val="bottom"/>
            <w:tcBorders>
              <w:bottom w:val="single" w:sz="8" w:color="D9D9D9"/>
            </w:tcBorders>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3980" w:type="dxa"/>
            <w:vAlign w:val="bottom"/>
          </w:tcPr>
          <w:p>
            <w:pPr>
              <w:ind w:left="20"/>
              <w:spacing w:after="0"/>
              <w:rPr>
                <w:sz w:val="20"/>
                <w:szCs w:val="20"/>
                <w:color w:val="auto"/>
              </w:rPr>
            </w:pPr>
            <w:r>
              <w:rPr>
                <w:rFonts w:ascii="Arial" w:cs="Arial" w:eastAsia="Arial" w:hAnsi="Arial"/>
                <w:sz w:val="14"/>
                <w:szCs w:val="14"/>
                <w:b w:val="1"/>
                <w:bCs w:val="1"/>
                <w:color w:val="FF7F32"/>
              </w:rPr>
              <w:t>Scott Stewart</w:t>
            </w:r>
          </w:p>
        </w:tc>
        <w:tc>
          <w:tcPr>
            <w:tcW w:w="3400" w:type="dxa"/>
            <w:vAlign w:val="bottom"/>
          </w:tcPr>
          <w:p>
            <w:pPr>
              <w:jc w:val="right"/>
              <w:ind w:right="182"/>
              <w:spacing w:after="0"/>
              <w:rPr>
                <w:sz w:val="20"/>
                <w:szCs w:val="20"/>
                <w:color w:val="auto"/>
              </w:rPr>
            </w:pPr>
            <w:r>
              <w:rPr>
                <w:rFonts w:ascii="Arial" w:cs="Arial" w:eastAsia="Arial" w:hAnsi="Arial"/>
                <w:sz w:val="16"/>
                <w:szCs w:val="16"/>
                <w:color w:val="auto"/>
              </w:rPr>
              <w:t>100%</w:t>
            </w:r>
          </w:p>
        </w:tc>
        <w:tc>
          <w:tcPr>
            <w:tcW w:w="1480" w:type="dxa"/>
            <w:vAlign w:val="bottom"/>
          </w:tcPr>
          <w:p>
            <w:pPr>
              <w:ind w:left="580"/>
              <w:spacing w:after="0"/>
              <w:rPr>
                <w:sz w:val="20"/>
                <w:szCs w:val="20"/>
                <w:color w:val="auto"/>
              </w:rPr>
            </w:pPr>
            <w:r>
              <w:rPr>
                <w:rFonts w:ascii="Arial" w:cs="Arial" w:eastAsia="Arial" w:hAnsi="Arial"/>
                <w:sz w:val="16"/>
                <w:szCs w:val="16"/>
                <w:color w:val="auto"/>
              </w:rPr>
              <w:t>71.8%</w:t>
            </w:r>
          </w:p>
        </w:tc>
        <w:tc>
          <w:tcPr>
            <w:tcW w:w="1200" w:type="dxa"/>
            <w:vAlign w:val="bottom"/>
          </w:tcPr>
          <w:p>
            <w:pPr>
              <w:jc w:val="right"/>
              <w:ind w:right="262"/>
              <w:spacing w:after="0"/>
              <w:rPr>
                <w:sz w:val="20"/>
                <w:szCs w:val="20"/>
                <w:color w:val="auto"/>
              </w:rPr>
            </w:pPr>
            <w:r>
              <w:rPr>
                <w:rFonts w:ascii="Arial" w:cs="Arial" w:eastAsia="Arial" w:hAnsi="Arial"/>
                <w:sz w:val="16"/>
                <w:szCs w:val="16"/>
                <w:color w:val="auto"/>
              </w:rPr>
              <w:t>208,000</w:t>
            </w:r>
          </w:p>
        </w:tc>
        <w:tc>
          <w:tcPr>
            <w:tcW w:w="1160" w:type="dxa"/>
            <w:vAlign w:val="bottom"/>
          </w:tcPr>
          <w:p>
            <w:pPr>
              <w:ind w:left="360"/>
              <w:spacing w:after="0"/>
              <w:rPr>
                <w:sz w:val="20"/>
                <w:szCs w:val="20"/>
                <w:color w:val="auto"/>
              </w:rPr>
            </w:pPr>
            <w:r>
              <w:rPr>
                <w:rFonts w:ascii="Arial" w:cs="Arial" w:eastAsia="Arial" w:hAnsi="Arial"/>
                <w:sz w:val="16"/>
                <w:szCs w:val="16"/>
                <w:color w:val="auto"/>
              </w:rPr>
              <w:t>149,344</w:t>
            </w:r>
          </w:p>
        </w:tc>
        <w:tc>
          <w:tcPr>
            <w:tcW w:w="0" w:type="dxa"/>
            <w:vAlign w:val="bottom"/>
          </w:tcPr>
          <w:p>
            <w:pPr>
              <w:spacing w:after="0"/>
              <w:rPr>
                <w:sz w:val="1"/>
                <w:szCs w:val="1"/>
                <w:color w:val="auto"/>
              </w:rPr>
            </w:pPr>
          </w:p>
        </w:tc>
      </w:tr>
      <w:tr>
        <w:trPr>
          <w:trHeight w:val="70"/>
        </w:trPr>
        <w:tc>
          <w:tcPr>
            <w:tcW w:w="3980" w:type="dxa"/>
            <w:vAlign w:val="bottom"/>
            <w:tcBorders>
              <w:bottom w:val="single" w:sz="8" w:color="D9D9D9"/>
            </w:tcBorders>
          </w:tcPr>
          <w:p>
            <w:pPr>
              <w:spacing w:after="0"/>
              <w:rPr>
                <w:sz w:val="6"/>
                <w:szCs w:val="6"/>
                <w:color w:val="auto"/>
              </w:rPr>
            </w:pPr>
          </w:p>
        </w:tc>
        <w:tc>
          <w:tcPr>
            <w:tcW w:w="3400" w:type="dxa"/>
            <w:vAlign w:val="bottom"/>
            <w:tcBorders>
              <w:bottom w:val="single" w:sz="8" w:color="D9D9D9"/>
            </w:tcBorders>
          </w:tcPr>
          <w:p>
            <w:pPr>
              <w:spacing w:after="0"/>
              <w:rPr>
                <w:sz w:val="6"/>
                <w:szCs w:val="6"/>
                <w:color w:val="auto"/>
              </w:rPr>
            </w:pPr>
          </w:p>
        </w:tc>
        <w:tc>
          <w:tcPr>
            <w:tcW w:w="1480" w:type="dxa"/>
            <w:vAlign w:val="bottom"/>
            <w:tcBorders>
              <w:bottom w:val="single" w:sz="8" w:color="D9D9D9"/>
            </w:tcBorders>
          </w:tcPr>
          <w:p>
            <w:pPr>
              <w:spacing w:after="0"/>
              <w:rPr>
                <w:sz w:val="6"/>
                <w:szCs w:val="6"/>
                <w:color w:val="auto"/>
              </w:rPr>
            </w:pPr>
          </w:p>
        </w:tc>
        <w:tc>
          <w:tcPr>
            <w:tcW w:w="1200" w:type="dxa"/>
            <w:vAlign w:val="bottom"/>
            <w:tcBorders>
              <w:bottom w:val="single" w:sz="8" w:color="D9D9D9"/>
            </w:tcBorders>
          </w:tcPr>
          <w:p>
            <w:pPr>
              <w:spacing w:after="0"/>
              <w:rPr>
                <w:sz w:val="6"/>
                <w:szCs w:val="6"/>
                <w:color w:val="auto"/>
              </w:rPr>
            </w:pPr>
          </w:p>
        </w:tc>
        <w:tc>
          <w:tcPr>
            <w:tcW w:w="1160" w:type="dxa"/>
            <w:vAlign w:val="bottom"/>
            <w:tcBorders>
              <w:bottom w:val="single" w:sz="8" w:color="D9D9D9"/>
            </w:tcBorders>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3980" w:type="dxa"/>
            <w:vAlign w:val="bottom"/>
            <w:vMerge w:val="restart"/>
          </w:tcPr>
          <w:p>
            <w:pPr>
              <w:ind w:left="20"/>
              <w:spacing w:after="0"/>
              <w:rPr>
                <w:sz w:val="20"/>
                <w:szCs w:val="20"/>
                <w:color w:val="auto"/>
              </w:rPr>
            </w:pPr>
            <w:r>
              <w:rPr>
                <w:rFonts w:ascii="Arial" w:cs="Arial" w:eastAsia="Arial" w:hAnsi="Arial"/>
                <w:sz w:val="14"/>
                <w:szCs w:val="14"/>
                <w:b w:val="1"/>
                <w:bCs w:val="1"/>
                <w:color w:val="FF7F32"/>
              </w:rPr>
              <w:t>Jeffrey Dumbrell</w:t>
            </w:r>
          </w:p>
        </w:tc>
        <w:tc>
          <w:tcPr>
            <w:tcW w:w="3400" w:type="dxa"/>
            <w:vAlign w:val="bottom"/>
            <w:vMerge w:val="restart"/>
          </w:tcPr>
          <w:p>
            <w:pPr>
              <w:jc w:val="right"/>
              <w:ind w:right="182"/>
              <w:spacing w:after="0"/>
              <w:rPr>
                <w:sz w:val="20"/>
                <w:szCs w:val="20"/>
                <w:color w:val="auto"/>
              </w:rPr>
            </w:pPr>
            <w:r>
              <w:rPr>
                <w:rFonts w:ascii="Arial" w:cs="Arial" w:eastAsia="Arial" w:hAnsi="Arial"/>
                <w:sz w:val="16"/>
                <w:szCs w:val="16"/>
                <w:color w:val="auto"/>
              </w:rPr>
              <w:t>100%</w:t>
            </w:r>
          </w:p>
        </w:tc>
        <w:tc>
          <w:tcPr>
            <w:tcW w:w="1480" w:type="dxa"/>
            <w:vAlign w:val="bottom"/>
            <w:vMerge w:val="restart"/>
          </w:tcPr>
          <w:p>
            <w:pPr>
              <w:ind w:left="580"/>
              <w:spacing w:after="0"/>
              <w:rPr>
                <w:sz w:val="20"/>
                <w:szCs w:val="20"/>
                <w:color w:val="auto"/>
              </w:rPr>
            </w:pPr>
            <w:r>
              <w:rPr>
                <w:rFonts w:ascii="Arial" w:cs="Arial" w:eastAsia="Arial" w:hAnsi="Arial"/>
                <w:sz w:val="16"/>
                <w:szCs w:val="16"/>
                <w:color w:val="auto"/>
              </w:rPr>
              <w:t>71.8%</w:t>
            </w:r>
          </w:p>
        </w:tc>
        <w:tc>
          <w:tcPr>
            <w:tcW w:w="1200" w:type="dxa"/>
            <w:vAlign w:val="bottom"/>
          </w:tcPr>
          <w:p>
            <w:pPr>
              <w:jc w:val="right"/>
              <w:ind w:right="82"/>
              <w:spacing w:after="0"/>
              <w:rPr>
                <w:sz w:val="20"/>
                <w:szCs w:val="20"/>
                <w:color w:val="auto"/>
              </w:rPr>
            </w:pPr>
            <w:r>
              <w:rPr>
                <w:rFonts w:ascii="Arial" w:cs="Arial" w:eastAsia="Arial" w:hAnsi="Arial"/>
                <w:sz w:val="16"/>
                <w:szCs w:val="16"/>
                <w:color w:val="auto"/>
              </w:rPr>
              <w:t>208,000</w:t>
            </w:r>
          </w:p>
        </w:tc>
        <w:tc>
          <w:tcPr>
            <w:tcW w:w="1160" w:type="dxa"/>
            <w:vAlign w:val="bottom"/>
            <w:vMerge w:val="restart"/>
          </w:tcPr>
          <w:p>
            <w:pPr>
              <w:ind w:left="360"/>
              <w:spacing w:after="0"/>
              <w:rPr>
                <w:sz w:val="20"/>
                <w:szCs w:val="20"/>
                <w:color w:val="auto"/>
              </w:rPr>
            </w:pPr>
            <w:r>
              <w:rPr>
                <w:rFonts w:ascii="Arial" w:cs="Arial" w:eastAsia="Arial" w:hAnsi="Arial"/>
                <w:sz w:val="16"/>
                <w:szCs w:val="16"/>
                <w:color w:val="auto"/>
              </w:rPr>
              <w:t>149,344</w:t>
            </w:r>
          </w:p>
        </w:tc>
        <w:tc>
          <w:tcPr>
            <w:tcW w:w="0" w:type="dxa"/>
            <w:vAlign w:val="bottom"/>
          </w:tcPr>
          <w:p>
            <w:pPr>
              <w:spacing w:after="0"/>
              <w:rPr>
                <w:sz w:val="1"/>
                <w:szCs w:val="1"/>
                <w:color w:val="auto"/>
              </w:rPr>
            </w:pPr>
          </w:p>
        </w:tc>
      </w:tr>
      <w:tr>
        <w:trPr>
          <w:trHeight w:val="67"/>
        </w:trPr>
        <w:tc>
          <w:tcPr>
            <w:tcW w:w="3980" w:type="dxa"/>
            <w:vAlign w:val="bottom"/>
            <w:vMerge w:val="continue"/>
          </w:tcPr>
          <w:p>
            <w:pPr>
              <w:spacing w:after="0"/>
              <w:rPr>
                <w:sz w:val="5"/>
                <w:szCs w:val="5"/>
                <w:color w:val="auto"/>
              </w:rPr>
            </w:pPr>
          </w:p>
        </w:tc>
        <w:tc>
          <w:tcPr>
            <w:tcW w:w="340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3980" w:type="dxa"/>
            <w:vAlign w:val="bottom"/>
            <w:tcBorders>
              <w:bottom w:val="single" w:sz="8" w:color="D9D9D9"/>
            </w:tcBorders>
          </w:tcPr>
          <w:p>
            <w:pPr>
              <w:spacing w:after="0"/>
              <w:rPr>
                <w:sz w:val="6"/>
                <w:szCs w:val="6"/>
                <w:color w:val="auto"/>
              </w:rPr>
            </w:pPr>
          </w:p>
        </w:tc>
        <w:tc>
          <w:tcPr>
            <w:tcW w:w="3400" w:type="dxa"/>
            <w:vAlign w:val="bottom"/>
            <w:tcBorders>
              <w:bottom w:val="single" w:sz="8" w:color="D9D9D9"/>
            </w:tcBorders>
          </w:tcPr>
          <w:p>
            <w:pPr>
              <w:spacing w:after="0"/>
              <w:rPr>
                <w:sz w:val="6"/>
                <w:szCs w:val="6"/>
                <w:color w:val="auto"/>
              </w:rPr>
            </w:pPr>
          </w:p>
        </w:tc>
        <w:tc>
          <w:tcPr>
            <w:tcW w:w="1480" w:type="dxa"/>
            <w:vAlign w:val="bottom"/>
            <w:tcBorders>
              <w:bottom w:val="single" w:sz="8" w:color="D9D9D9"/>
            </w:tcBorders>
          </w:tcPr>
          <w:p>
            <w:pPr>
              <w:spacing w:after="0"/>
              <w:rPr>
                <w:sz w:val="6"/>
                <w:szCs w:val="6"/>
                <w:color w:val="auto"/>
              </w:rPr>
            </w:pPr>
          </w:p>
        </w:tc>
        <w:tc>
          <w:tcPr>
            <w:tcW w:w="1200" w:type="dxa"/>
            <w:vAlign w:val="bottom"/>
            <w:tcBorders>
              <w:bottom w:val="single" w:sz="8" w:color="D9D9D9"/>
            </w:tcBorders>
          </w:tcPr>
          <w:p>
            <w:pPr>
              <w:spacing w:after="0"/>
              <w:rPr>
                <w:sz w:val="6"/>
                <w:szCs w:val="6"/>
                <w:color w:val="auto"/>
              </w:rPr>
            </w:pPr>
          </w:p>
        </w:tc>
        <w:tc>
          <w:tcPr>
            <w:tcW w:w="1160" w:type="dxa"/>
            <w:vAlign w:val="bottom"/>
            <w:tcBorders>
              <w:bottom w:val="single" w:sz="8" w:color="D9D9D9"/>
            </w:tcBorders>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3980" w:type="dxa"/>
            <w:vAlign w:val="bottom"/>
            <w:vMerge w:val="restart"/>
          </w:tcPr>
          <w:p>
            <w:pPr>
              <w:ind w:left="20"/>
              <w:spacing w:after="0"/>
              <w:rPr>
                <w:sz w:val="20"/>
                <w:szCs w:val="20"/>
                <w:color w:val="auto"/>
              </w:rPr>
            </w:pPr>
            <w:r>
              <w:rPr>
                <w:rFonts w:ascii="Arial" w:cs="Arial" w:eastAsia="Arial" w:hAnsi="Arial"/>
                <w:sz w:val="14"/>
                <w:szCs w:val="14"/>
                <w:b w:val="1"/>
                <w:bCs w:val="1"/>
                <w:color w:val="FF7F32"/>
              </w:rPr>
              <w:t>Gaurav Singal</w:t>
            </w:r>
          </w:p>
        </w:tc>
        <w:tc>
          <w:tcPr>
            <w:tcW w:w="3400" w:type="dxa"/>
            <w:vAlign w:val="bottom"/>
            <w:vMerge w:val="restart"/>
          </w:tcPr>
          <w:p>
            <w:pPr>
              <w:jc w:val="right"/>
              <w:ind w:right="182"/>
              <w:spacing w:after="0"/>
              <w:rPr>
                <w:sz w:val="20"/>
                <w:szCs w:val="20"/>
                <w:color w:val="auto"/>
              </w:rPr>
            </w:pPr>
            <w:r>
              <w:rPr>
                <w:rFonts w:ascii="Arial" w:cs="Arial" w:eastAsia="Arial" w:hAnsi="Arial"/>
                <w:sz w:val="16"/>
                <w:szCs w:val="16"/>
                <w:color w:val="auto"/>
              </w:rPr>
              <w:t>100%</w:t>
            </w:r>
          </w:p>
        </w:tc>
        <w:tc>
          <w:tcPr>
            <w:tcW w:w="1480" w:type="dxa"/>
            <w:vAlign w:val="bottom"/>
            <w:vMerge w:val="restart"/>
          </w:tcPr>
          <w:p>
            <w:pPr>
              <w:ind w:left="580"/>
              <w:spacing w:after="0"/>
              <w:rPr>
                <w:sz w:val="20"/>
                <w:szCs w:val="20"/>
                <w:color w:val="auto"/>
              </w:rPr>
            </w:pPr>
            <w:r>
              <w:rPr>
                <w:rFonts w:ascii="Arial" w:cs="Arial" w:eastAsia="Arial" w:hAnsi="Arial"/>
                <w:sz w:val="16"/>
                <w:szCs w:val="16"/>
                <w:color w:val="auto"/>
              </w:rPr>
              <w:t>71.8%</w:t>
            </w:r>
          </w:p>
        </w:tc>
        <w:tc>
          <w:tcPr>
            <w:tcW w:w="1200" w:type="dxa"/>
            <w:vAlign w:val="bottom"/>
          </w:tcPr>
          <w:p>
            <w:pPr>
              <w:jc w:val="right"/>
              <w:ind w:right="82"/>
              <w:spacing w:after="0"/>
              <w:rPr>
                <w:sz w:val="20"/>
                <w:szCs w:val="20"/>
                <w:color w:val="auto"/>
              </w:rPr>
            </w:pPr>
            <w:r>
              <w:rPr>
                <w:rFonts w:ascii="Arial" w:cs="Arial" w:eastAsia="Arial" w:hAnsi="Arial"/>
                <w:sz w:val="16"/>
                <w:szCs w:val="16"/>
                <w:color w:val="auto"/>
              </w:rPr>
              <w:t>186,559</w:t>
            </w:r>
          </w:p>
        </w:tc>
        <w:tc>
          <w:tcPr>
            <w:tcW w:w="1160" w:type="dxa"/>
            <w:vAlign w:val="bottom"/>
            <w:vMerge w:val="restart"/>
          </w:tcPr>
          <w:p>
            <w:pPr>
              <w:ind w:left="360"/>
              <w:spacing w:after="0"/>
              <w:rPr>
                <w:sz w:val="20"/>
                <w:szCs w:val="20"/>
                <w:color w:val="auto"/>
              </w:rPr>
            </w:pPr>
            <w:r>
              <w:rPr>
                <w:rFonts w:ascii="Arial" w:cs="Arial" w:eastAsia="Arial" w:hAnsi="Arial"/>
                <w:sz w:val="16"/>
                <w:szCs w:val="16"/>
                <w:color w:val="auto"/>
              </w:rPr>
              <w:t>133,949</w:t>
            </w:r>
          </w:p>
        </w:tc>
        <w:tc>
          <w:tcPr>
            <w:tcW w:w="0" w:type="dxa"/>
            <w:vAlign w:val="bottom"/>
          </w:tcPr>
          <w:p>
            <w:pPr>
              <w:spacing w:after="0"/>
              <w:rPr>
                <w:sz w:val="1"/>
                <w:szCs w:val="1"/>
                <w:color w:val="auto"/>
              </w:rPr>
            </w:pPr>
          </w:p>
        </w:tc>
      </w:tr>
      <w:tr>
        <w:trPr>
          <w:trHeight w:val="67"/>
        </w:trPr>
        <w:tc>
          <w:tcPr>
            <w:tcW w:w="3980" w:type="dxa"/>
            <w:vAlign w:val="bottom"/>
            <w:vMerge w:val="continue"/>
          </w:tcPr>
          <w:p>
            <w:pPr>
              <w:spacing w:after="0"/>
              <w:rPr>
                <w:sz w:val="5"/>
                <w:szCs w:val="5"/>
                <w:color w:val="auto"/>
              </w:rPr>
            </w:pPr>
          </w:p>
        </w:tc>
        <w:tc>
          <w:tcPr>
            <w:tcW w:w="340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3980" w:type="dxa"/>
            <w:vAlign w:val="bottom"/>
            <w:tcBorders>
              <w:bottom w:val="single" w:sz="8" w:color="D9D9D9"/>
            </w:tcBorders>
          </w:tcPr>
          <w:p>
            <w:pPr>
              <w:spacing w:after="0"/>
              <w:rPr>
                <w:sz w:val="6"/>
                <w:szCs w:val="6"/>
                <w:color w:val="auto"/>
              </w:rPr>
            </w:pPr>
          </w:p>
        </w:tc>
        <w:tc>
          <w:tcPr>
            <w:tcW w:w="3400" w:type="dxa"/>
            <w:vAlign w:val="bottom"/>
            <w:tcBorders>
              <w:bottom w:val="single" w:sz="8" w:color="D9D9D9"/>
            </w:tcBorders>
          </w:tcPr>
          <w:p>
            <w:pPr>
              <w:spacing w:after="0"/>
              <w:rPr>
                <w:sz w:val="6"/>
                <w:szCs w:val="6"/>
                <w:color w:val="auto"/>
              </w:rPr>
            </w:pPr>
          </w:p>
        </w:tc>
        <w:tc>
          <w:tcPr>
            <w:tcW w:w="1480" w:type="dxa"/>
            <w:vAlign w:val="bottom"/>
            <w:tcBorders>
              <w:bottom w:val="single" w:sz="8" w:color="D9D9D9"/>
            </w:tcBorders>
          </w:tcPr>
          <w:p>
            <w:pPr>
              <w:spacing w:after="0"/>
              <w:rPr>
                <w:sz w:val="6"/>
                <w:szCs w:val="6"/>
                <w:color w:val="auto"/>
              </w:rPr>
            </w:pPr>
          </w:p>
        </w:tc>
        <w:tc>
          <w:tcPr>
            <w:tcW w:w="1200" w:type="dxa"/>
            <w:vAlign w:val="bottom"/>
            <w:tcBorders>
              <w:bottom w:val="single" w:sz="8" w:color="D9D9D9"/>
            </w:tcBorders>
          </w:tcPr>
          <w:p>
            <w:pPr>
              <w:spacing w:after="0"/>
              <w:rPr>
                <w:sz w:val="6"/>
                <w:szCs w:val="6"/>
                <w:color w:val="auto"/>
              </w:rPr>
            </w:pPr>
          </w:p>
        </w:tc>
        <w:tc>
          <w:tcPr>
            <w:tcW w:w="1160" w:type="dxa"/>
            <w:vAlign w:val="bottom"/>
            <w:tcBorders>
              <w:bottom w:val="single" w:sz="8" w:color="D9D9D9"/>
            </w:tcBorders>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3980" w:type="dxa"/>
            <w:vAlign w:val="bottom"/>
          </w:tcPr>
          <w:p>
            <w:pPr>
              <w:ind w:left="20"/>
              <w:spacing w:after="0"/>
              <w:rPr>
                <w:sz w:val="20"/>
                <w:szCs w:val="20"/>
                <w:color w:val="auto"/>
              </w:rPr>
            </w:pPr>
            <w:r>
              <w:rPr>
                <w:rFonts w:ascii="Arial" w:cs="Arial" w:eastAsia="Arial" w:hAnsi="Arial"/>
                <w:sz w:val="14"/>
                <w:szCs w:val="14"/>
                <w:b w:val="1"/>
                <w:bCs w:val="1"/>
                <w:color w:val="FF7F32"/>
              </w:rPr>
              <w:t>Anna Novoseletsky</w:t>
            </w:r>
          </w:p>
        </w:tc>
        <w:tc>
          <w:tcPr>
            <w:tcW w:w="3400" w:type="dxa"/>
            <w:vAlign w:val="bottom"/>
          </w:tcPr>
          <w:p>
            <w:pPr>
              <w:jc w:val="right"/>
              <w:ind w:right="182"/>
              <w:spacing w:after="0"/>
              <w:rPr>
                <w:sz w:val="20"/>
                <w:szCs w:val="20"/>
                <w:color w:val="auto"/>
              </w:rPr>
            </w:pPr>
            <w:r>
              <w:rPr>
                <w:rFonts w:ascii="Arial" w:cs="Arial" w:eastAsia="Arial" w:hAnsi="Arial"/>
                <w:sz w:val="16"/>
                <w:szCs w:val="16"/>
                <w:color w:val="auto"/>
              </w:rPr>
              <w:t>100%</w:t>
            </w:r>
          </w:p>
        </w:tc>
        <w:tc>
          <w:tcPr>
            <w:tcW w:w="1480" w:type="dxa"/>
            <w:vAlign w:val="bottom"/>
          </w:tcPr>
          <w:p>
            <w:pPr>
              <w:ind w:left="580"/>
              <w:spacing w:after="0"/>
              <w:rPr>
                <w:sz w:val="20"/>
                <w:szCs w:val="20"/>
                <w:color w:val="auto"/>
              </w:rPr>
            </w:pPr>
            <w:r>
              <w:rPr>
                <w:rFonts w:ascii="Arial" w:cs="Arial" w:eastAsia="Arial" w:hAnsi="Arial"/>
                <w:sz w:val="16"/>
                <w:szCs w:val="16"/>
                <w:color w:val="auto"/>
              </w:rPr>
              <w:t>71.8%</w:t>
            </w:r>
          </w:p>
        </w:tc>
        <w:tc>
          <w:tcPr>
            <w:tcW w:w="1200" w:type="dxa"/>
            <w:vAlign w:val="bottom"/>
          </w:tcPr>
          <w:p>
            <w:pPr>
              <w:jc w:val="right"/>
              <w:ind w:right="262"/>
              <w:spacing w:after="0"/>
              <w:rPr>
                <w:sz w:val="20"/>
                <w:szCs w:val="20"/>
                <w:color w:val="auto"/>
              </w:rPr>
            </w:pPr>
            <w:r>
              <w:rPr>
                <w:rFonts w:ascii="Arial" w:cs="Arial" w:eastAsia="Arial" w:hAnsi="Arial"/>
                <w:sz w:val="16"/>
                <w:szCs w:val="16"/>
                <w:color w:val="auto"/>
              </w:rPr>
              <w:t>175,500</w:t>
            </w:r>
          </w:p>
        </w:tc>
        <w:tc>
          <w:tcPr>
            <w:tcW w:w="1160" w:type="dxa"/>
            <w:vAlign w:val="bottom"/>
          </w:tcPr>
          <w:p>
            <w:pPr>
              <w:ind w:left="360"/>
              <w:spacing w:after="0"/>
              <w:rPr>
                <w:sz w:val="20"/>
                <w:szCs w:val="20"/>
                <w:color w:val="auto"/>
              </w:rPr>
            </w:pPr>
            <w:r>
              <w:rPr>
                <w:rFonts w:ascii="Arial" w:cs="Arial" w:eastAsia="Arial" w:hAnsi="Arial"/>
                <w:sz w:val="16"/>
                <w:szCs w:val="16"/>
                <w:color w:val="auto"/>
              </w:rPr>
              <w:t>125,650</w:t>
            </w:r>
          </w:p>
        </w:tc>
        <w:tc>
          <w:tcPr>
            <w:tcW w:w="0" w:type="dxa"/>
            <w:vAlign w:val="bottom"/>
          </w:tcPr>
          <w:p>
            <w:pPr>
              <w:spacing w:after="0"/>
              <w:rPr>
                <w:sz w:val="1"/>
                <w:szCs w:val="1"/>
                <w:color w:val="auto"/>
              </w:rPr>
            </w:pPr>
          </w:p>
        </w:tc>
      </w:tr>
      <w:tr>
        <w:trPr>
          <w:trHeight w:val="70"/>
        </w:trPr>
        <w:tc>
          <w:tcPr>
            <w:tcW w:w="3980" w:type="dxa"/>
            <w:vAlign w:val="bottom"/>
            <w:tcBorders>
              <w:bottom w:val="single" w:sz="8" w:color="FF7F32"/>
            </w:tcBorders>
          </w:tcPr>
          <w:p>
            <w:pPr>
              <w:spacing w:after="0"/>
              <w:rPr>
                <w:sz w:val="6"/>
                <w:szCs w:val="6"/>
                <w:color w:val="auto"/>
              </w:rPr>
            </w:pPr>
          </w:p>
        </w:tc>
        <w:tc>
          <w:tcPr>
            <w:tcW w:w="3400" w:type="dxa"/>
            <w:vAlign w:val="bottom"/>
            <w:tcBorders>
              <w:bottom w:val="single" w:sz="8" w:color="FF7F32"/>
            </w:tcBorders>
          </w:tcPr>
          <w:p>
            <w:pPr>
              <w:spacing w:after="0"/>
              <w:rPr>
                <w:sz w:val="6"/>
                <w:szCs w:val="6"/>
                <w:color w:val="auto"/>
              </w:rPr>
            </w:pPr>
          </w:p>
        </w:tc>
        <w:tc>
          <w:tcPr>
            <w:tcW w:w="1480" w:type="dxa"/>
            <w:vAlign w:val="bottom"/>
            <w:tcBorders>
              <w:bottom w:val="single" w:sz="8" w:color="FF7F32"/>
            </w:tcBorders>
          </w:tcPr>
          <w:p>
            <w:pPr>
              <w:spacing w:after="0"/>
              <w:rPr>
                <w:sz w:val="6"/>
                <w:szCs w:val="6"/>
                <w:color w:val="auto"/>
              </w:rPr>
            </w:pPr>
          </w:p>
        </w:tc>
        <w:tc>
          <w:tcPr>
            <w:tcW w:w="1200" w:type="dxa"/>
            <w:vAlign w:val="bottom"/>
            <w:tcBorders>
              <w:bottom w:val="single" w:sz="8" w:color="FF7F32"/>
            </w:tcBorders>
          </w:tcPr>
          <w:p>
            <w:pPr>
              <w:spacing w:after="0"/>
              <w:rPr>
                <w:sz w:val="6"/>
                <w:szCs w:val="6"/>
                <w:color w:val="auto"/>
              </w:rPr>
            </w:pPr>
          </w:p>
        </w:tc>
        <w:tc>
          <w:tcPr>
            <w:tcW w:w="1160" w:type="dxa"/>
            <w:vAlign w:val="bottom"/>
            <w:tcBorders>
              <w:bottom w:val="single" w:sz="8" w:color="FF7F32"/>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371" w:lineRule="exact"/>
        <w:rPr>
          <w:sz w:val="20"/>
          <w:szCs w:val="20"/>
          <w:color w:val="auto"/>
        </w:rPr>
      </w:pPr>
    </w:p>
    <w:p>
      <w:pPr>
        <w:spacing w:after="0"/>
        <w:rPr>
          <w:sz w:val="20"/>
          <w:szCs w:val="20"/>
          <w:color w:val="auto"/>
        </w:rPr>
      </w:pPr>
      <w:r>
        <w:rPr>
          <w:rFonts w:ascii="Arial" w:cs="Arial" w:eastAsia="Arial" w:hAnsi="Arial"/>
          <w:sz w:val="29"/>
          <w:szCs w:val="29"/>
          <w:b w:val="1"/>
          <w:bCs w:val="1"/>
          <w:color w:val="FF7F32"/>
        </w:rPr>
        <w:t>Equity Awards</w:t>
      </w:r>
    </w:p>
    <w:p>
      <w:pPr>
        <w:spacing w:after="0" w:line="267" w:lineRule="exact"/>
        <w:rPr>
          <w:sz w:val="20"/>
          <w:szCs w:val="20"/>
          <w:color w:val="auto"/>
        </w:rPr>
      </w:pPr>
    </w:p>
    <w:p>
      <w:pPr>
        <w:ind w:right="520"/>
        <w:spacing w:after="0" w:line="356" w:lineRule="auto"/>
        <w:rPr>
          <w:sz w:val="20"/>
          <w:szCs w:val="20"/>
          <w:color w:val="auto"/>
        </w:rPr>
      </w:pPr>
      <w:r>
        <w:rPr>
          <w:rFonts w:ascii="Arial" w:cs="Arial" w:eastAsia="Arial" w:hAnsi="Arial"/>
          <w:sz w:val="16"/>
          <w:szCs w:val="16"/>
          <w:color w:val="auto"/>
        </w:rPr>
        <w:t>Our equity awards to our NEOs primarily reflect initial awards in connection with hires and promotions, as opposed to awards granted under a general annual program.</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80" w:type="dxa"/>
            <w:vAlign w:val="bottom"/>
          </w:tcPr>
          <w:p>
            <w:pPr>
              <w:spacing w:after="0"/>
              <w:rPr>
                <w:sz w:val="17"/>
                <w:szCs w:val="17"/>
                <w:color w:val="auto"/>
              </w:rPr>
            </w:pPr>
          </w:p>
        </w:tc>
        <w:tc>
          <w:tcPr>
            <w:tcW w:w="8560" w:type="dxa"/>
            <w:vAlign w:val="bottom"/>
          </w:tcPr>
          <w:p>
            <w:pPr>
              <w:ind w:left="620"/>
              <w:spacing w:after="0"/>
              <w:rPr>
                <w:sz w:val="20"/>
                <w:szCs w:val="20"/>
                <w:color w:val="auto"/>
              </w:rPr>
            </w:pPr>
            <w:r>
              <w:rPr>
                <w:rFonts w:ascii="Arial" w:cs="Arial" w:eastAsia="Arial" w:hAnsi="Arial"/>
                <w:sz w:val="14"/>
                <w:szCs w:val="14"/>
                <w:b w:val="1"/>
                <w:bCs w:val="1"/>
                <w:color w:val="404040"/>
              </w:rPr>
              <w:t>Rationale</w:t>
            </w:r>
          </w:p>
        </w:tc>
      </w:tr>
      <w:tr>
        <w:trPr>
          <w:trHeight w:val="43"/>
        </w:trPr>
        <w:tc>
          <w:tcPr>
            <w:tcW w:w="2680" w:type="dxa"/>
            <w:vAlign w:val="bottom"/>
            <w:tcBorders>
              <w:bottom w:val="single" w:sz="8" w:color="FF7F32"/>
            </w:tcBorders>
          </w:tcPr>
          <w:p>
            <w:pPr>
              <w:spacing w:after="0"/>
              <w:rPr>
                <w:sz w:val="3"/>
                <w:szCs w:val="3"/>
                <w:color w:val="auto"/>
              </w:rPr>
            </w:pPr>
          </w:p>
        </w:tc>
        <w:tc>
          <w:tcPr>
            <w:tcW w:w="8560" w:type="dxa"/>
            <w:vAlign w:val="bottom"/>
            <w:tcBorders>
              <w:bottom w:val="single" w:sz="8" w:color="FF7F32"/>
            </w:tcBorders>
          </w:tcPr>
          <w:p>
            <w:pPr>
              <w:spacing w:after="0"/>
              <w:rPr>
                <w:sz w:val="3"/>
                <w:szCs w:val="3"/>
                <w:color w:val="auto"/>
              </w:rPr>
            </w:pPr>
          </w:p>
        </w:tc>
      </w:tr>
      <w:tr>
        <w:trPr>
          <w:trHeight w:val="275"/>
        </w:trPr>
        <w:tc>
          <w:tcPr>
            <w:tcW w:w="2680" w:type="dxa"/>
            <w:vAlign w:val="bottom"/>
          </w:tcPr>
          <w:p>
            <w:pPr>
              <w:ind w:left="20"/>
              <w:spacing w:after="0"/>
              <w:rPr>
                <w:sz w:val="20"/>
                <w:szCs w:val="20"/>
                <w:color w:val="auto"/>
              </w:rPr>
            </w:pPr>
            <w:r>
              <w:rPr>
                <w:rFonts w:ascii="Arial" w:cs="Arial" w:eastAsia="Arial" w:hAnsi="Arial"/>
                <w:sz w:val="14"/>
                <w:szCs w:val="14"/>
                <w:b w:val="1"/>
                <w:bCs w:val="1"/>
                <w:color w:val="auto"/>
              </w:rPr>
              <w:t>Stock Options</w:t>
            </w:r>
          </w:p>
        </w:tc>
        <w:tc>
          <w:tcPr>
            <w:tcW w:w="8560" w:type="dxa"/>
            <w:vAlign w:val="bottom"/>
          </w:tcPr>
          <w:p>
            <w:pPr>
              <w:ind w:left="620"/>
              <w:spacing w:after="0"/>
              <w:rPr>
                <w:sz w:val="20"/>
                <w:szCs w:val="20"/>
                <w:color w:val="auto"/>
              </w:rPr>
            </w:pPr>
            <w:r>
              <w:rPr>
                <w:rFonts w:ascii="Arial" w:cs="Arial" w:eastAsia="Arial" w:hAnsi="Arial"/>
                <w:sz w:val="16"/>
                <w:szCs w:val="16"/>
                <w:color w:val="auto"/>
              </w:rPr>
              <w:t>We believe stock options motivate executives to build long-term shareholder value and help the Company to</w:t>
            </w:r>
          </w:p>
        </w:tc>
      </w:tr>
      <w:tr>
        <w:trPr>
          <w:trHeight w:val="243"/>
        </w:trPr>
        <w:tc>
          <w:tcPr>
            <w:tcW w:w="2680" w:type="dxa"/>
            <w:vAlign w:val="bottom"/>
          </w:tcPr>
          <w:p>
            <w:pPr>
              <w:spacing w:after="0"/>
              <w:rPr>
                <w:sz w:val="21"/>
                <w:szCs w:val="21"/>
                <w:color w:val="auto"/>
              </w:rPr>
            </w:pPr>
          </w:p>
        </w:tc>
        <w:tc>
          <w:tcPr>
            <w:tcW w:w="8560" w:type="dxa"/>
            <w:vAlign w:val="bottom"/>
          </w:tcPr>
          <w:p>
            <w:pPr>
              <w:ind w:left="620"/>
              <w:spacing w:after="0"/>
              <w:rPr>
                <w:sz w:val="20"/>
                <w:szCs w:val="20"/>
                <w:color w:val="auto"/>
              </w:rPr>
            </w:pPr>
            <w:r>
              <w:rPr>
                <w:rFonts w:ascii="Arial" w:cs="Arial" w:eastAsia="Arial" w:hAnsi="Arial"/>
                <w:sz w:val="16"/>
                <w:szCs w:val="16"/>
                <w:color w:val="auto"/>
              </w:rPr>
              <w:t>retain executive talent.</w:t>
            </w:r>
          </w:p>
        </w:tc>
      </w:tr>
      <w:tr>
        <w:trPr>
          <w:trHeight w:val="70"/>
        </w:trPr>
        <w:tc>
          <w:tcPr>
            <w:tcW w:w="2680" w:type="dxa"/>
            <w:vAlign w:val="bottom"/>
            <w:tcBorders>
              <w:bottom w:val="single" w:sz="8" w:color="D9D9D9"/>
            </w:tcBorders>
          </w:tcPr>
          <w:p>
            <w:pPr>
              <w:spacing w:after="0"/>
              <w:rPr>
                <w:sz w:val="6"/>
                <w:szCs w:val="6"/>
                <w:color w:val="auto"/>
              </w:rPr>
            </w:pPr>
          </w:p>
        </w:tc>
        <w:tc>
          <w:tcPr>
            <w:tcW w:w="8560" w:type="dxa"/>
            <w:vAlign w:val="bottom"/>
            <w:tcBorders>
              <w:bottom w:val="single" w:sz="8" w:color="D9D9D9"/>
            </w:tcBorders>
          </w:tcPr>
          <w:p>
            <w:pPr>
              <w:spacing w:after="0"/>
              <w:rPr>
                <w:sz w:val="6"/>
                <w:szCs w:val="6"/>
                <w:color w:val="auto"/>
              </w:rPr>
            </w:pPr>
          </w:p>
        </w:tc>
      </w:tr>
      <w:tr>
        <w:trPr>
          <w:trHeight w:val="275"/>
        </w:trPr>
        <w:tc>
          <w:tcPr>
            <w:tcW w:w="2680" w:type="dxa"/>
            <w:vAlign w:val="bottom"/>
          </w:tcPr>
          <w:p>
            <w:pPr>
              <w:ind w:left="20"/>
              <w:spacing w:after="0"/>
              <w:rPr>
                <w:sz w:val="20"/>
                <w:szCs w:val="20"/>
                <w:color w:val="auto"/>
              </w:rPr>
            </w:pPr>
            <w:r>
              <w:rPr>
                <w:rFonts w:ascii="Arial" w:cs="Arial" w:eastAsia="Arial" w:hAnsi="Arial"/>
                <w:sz w:val="14"/>
                <w:szCs w:val="14"/>
                <w:b w:val="1"/>
                <w:bCs w:val="1"/>
                <w:color w:val="auto"/>
              </w:rPr>
              <w:t>Restricted Stock Units (RSUs)</w:t>
            </w:r>
          </w:p>
        </w:tc>
        <w:tc>
          <w:tcPr>
            <w:tcW w:w="8560" w:type="dxa"/>
            <w:vAlign w:val="bottom"/>
          </w:tcPr>
          <w:p>
            <w:pPr>
              <w:ind w:left="620"/>
              <w:spacing w:after="0"/>
              <w:rPr>
                <w:sz w:val="20"/>
                <w:szCs w:val="20"/>
                <w:color w:val="auto"/>
              </w:rPr>
            </w:pPr>
            <w:r>
              <w:rPr>
                <w:rFonts w:ascii="Arial" w:cs="Arial" w:eastAsia="Arial" w:hAnsi="Arial"/>
                <w:sz w:val="16"/>
                <w:szCs w:val="16"/>
                <w:color w:val="auto"/>
              </w:rPr>
              <w:t>We believe RSUs provide an appropriate focus on NEO retention and establish strong alignment with long-</w:t>
            </w:r>
          </w:p>
        </w:tc>
      </w:tr>
      <w:tr>
        <w:trPr>
          <w:trHeight w:val="243"/>
        </w:trPr>
        <w:tc>
          <w:tcPr>
            <w:tcW w:w="2680" w:type="dxa"/>
            <w:vAlign w:val="bottom"/>
          </w:tcPr>
          <w:p>
            <w:pPr>
              <w:spacing w:after="0"/>
              <w:rPr>
                <w:sz w:val="21"/>
                <w:szCs w:val="21"/>
                <w:color w:val="auto"/>
              </w:rPr>
            </w:pPr>
          </w:p>
        </w:tc>
        <w:tc>
          <w:tcPr>
            <w:tcW w:w="8560" w:type="dxa"/>
            <w:vAlign w:val="bottom"/>
          </w:tcPr>
          <w:p>
            <w:pPr>
              <w:ind w:left="620"/>
              <w:spacing w:after="0"/>
              <w:rPr>
                <w:sz w:val="20"/>
                <w:szCs w:val="20"/>
                <w:color w:val="auto"/>
              </w:rPr>
            </w:pPr>
            <w:r>
              <w:rPr>
                <w:rFonts w:ascii="Arial" w:cs="Arial" w:eastAsia="Arial" w:hAnsi="Arial"/>
                <w:sz w:val="16"/>
                <w:szCs w:val="16"/>
                <w:color w:val="auto"/>
              </w:rPr>
              <w:t>term stockholder interests through performance-based payouts, and further align our long-term incentive</w:t>
            </w:r>
          </w:p>
        </w:tc>
      </w:tr>
      <w:tr>
        <w:trPr>
          <w:trHeight w:val="257"/>
        </w:trPr>
        <w:tc>
          <w:tcPr>
            <w:tcW w:w="2680" w:type="dxa"/>
            <w:vAlign w:val="bottom"/>
          </w:tcPr>
          <w:p>
            <w:pPr>
              <w:spacing w:after="0"/>
              <w:rPr>
                <w:sz w:val="22"/>
                <w:szCs w:val="22"/>
                <w:color w:val="auto"/>
              </w:rPr>
            </w:pPr>
          </w:p>
        </w:tc>
        <w:tc>
          <w:tcPr>
            <w:tcW w:w="8560" w:type="dxa"/>
            <w:vAlign w:val="bottom"/>
          </w:tcPr>
          <w:p>
            <w:pPr>
              <w:ind w:left="620"/>
              <w:spacing w:after="0"/>
              <w:rPr>
                <w:sz w:val="20"/>
                <w:szCs w:val="20"/>
                <w:color w:val="auto"/>
              </w:rPr>
            </w:pPr>
            <w:r>
              <w:rPr>
                <w:rFonts w:ascii="Arial" w:cs="Arial" w:eastAsia="Arial" w:hAnsi="Arial"/>
                <w:sz w:val="16"/>
                <w:szCs w:val="16"/>
                <w:color w:val="auto"/>
              </w:rPr>
              <w:t>program to with the companies in our peer group.</w:t>
            </w:r>
          </w:p>
        </w:tc>
      </w:tr>
      <w:tr>
        <w:trPr>
          <w:trHeight w:val="56"/>
        </w:trPr>
        <w:tc>
          <w:tcPr>
            <w:tcW w:w="2680" w:type="dxa"/>
            <w:vAlign w:val="bottom"/>
            <w:tcBorders>
              <w:bottom w:val="single" w:sz="8" w:color="FF7F32"/>
            </w:tcBorders>
          </w:tcPr>
          <w:p>
            <w:pPr>
              <w:spacing w:after="0"/>
              <w:rPr>
                <w:sz w:val="4"/>
                <w:szCs w:val="4"/>
                <w:color w:val="auto"/>
              </w:rPr>
            </w:pPr>
          </w:p>
        </w:tc>
        <w:tc>
          <w:tcPr>
            <w:tcW w:w="8560" w:type="dxa"/>
            <w:vAlign w:val="bottom"/>
            <w:tcBorders>
              <w:bottom w:val="single" w:sz="8" w:color="FF7F32"/>
            </w:tcBorders>
          </w:tcPr>
          <w:p>
            <w:pPr>
              <w:spacing w:after="0"/>
              <w:rPr>
                <w:sz w:val="4"/>
                <w:szCs w:val="4"/>
                <w:color w:val="auto"/>
              </w:rPr>
            </w:pPr>
          </w:p>
        </w:tc>
      </w:tr>
    </w:tbl>
    <w:p>
      <w:pPr>
        <w:spacing w:after="0" w:line="215" w:lineRule="exact"/>
        <w:rPr>
          <w:sz w:val="20"/>
          <w:szCs w:val="20"/>
          <w:color w:val="auto"/>
        </w:rPr>
      </w:pPr>
    </w:p>
    <w:p>
      <w:pPr>
        <w:ind w:right="80"/>
        <w:spacing w:after="0" w:line="330" w:lineRule="auto"/>
        <w:rPr>
          <w:sz w:val="20"/>
          <w:szCs w:val="20"/>
          <w:color w:val="auto"/>
        </w:rPr>
      </w:pPr>
      <w:r>
        <w:rPr>
          <w:rFonts w:ascii="Arial" w:cs="Arial" w:eastAsia="Arial" w:hAnsi="Arial"/>
          <w:sz w:val="16"/>
          <w:szCs w:val="16"/>
          <w:color w:val="auto"/>
        </w:rPr>
        <w:t>As described above, our Compensation Committee believes that equity awards are an essential component of an effective compensation program, because they provide a direct link between our shareholders’ interests and our employees, executive officers, directors, and advisors. Our Compensation Committee is therefore focused on emphasizing the importance of equity compensation awards in setting executive compensation. Each NEO’s outstanding equity awards are described in further on the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146685</wp:posOffset>
            </wp:positionV>
            <wp:extent cx="925830" cy="26543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925830" cy="265430"/>
                    </a:xfrm>
                    <a:prstGeom prst="rect">
                      <a:avLst/>
                    </a:prstGeom>
                    <a:noFill/>
                  </pic:spPr>
                </pic:pic>
              </a:graphicData>
            </a:graphic>
          </wp:anchor>
        </w:drawing>
      </w:r>
    </w:p>
    <w:p>
      <w:pPr>
        <w:spacing w:after="0" w:line="368"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auto"/>
        </w:rPr>
        <w:t>54</w:t>
      </w:r>
      <w:r>
        <w:rPr>
          <w:sz w:val="20"/>
          <w:szCs w:val="20"/>
          <w:color w:val="auto"/>
        </w:rPr>
        <w:tab/>
      </w:r>
      <w:r>
        <w:rPr>
          <w:rFonts w:ascii="Arial" w:cs="Arial" w:eastAsia="Arial" w:hAnsi="Arial"/>
          <w:sz w:val="12"/>
          <w:szCs w:val="12"/>
          <w:b w:val="1"/>
          <w:bCs w:val="1"/>
          <w:color w:val="FF7F32"/>
        </w:rPr>
        <w:t xml:space="preserve">2026 </w:t>
      </w:r>
      <w:r>
        <w:rPr>
          <w:rFonts w:ascii="Arial" w:cs="Arial" w:eastAsia="Arial" w:hAnsi="Arial"/>
          <w:sz w:val="12"/>
          <w:szCs w:val="12"/>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57" w:name="page58"/>
    <w:bookmarkEnd w:id="57"/>
    <w:p>
      <w:pPr>
        <w:spacing w:after="0"/>
        <w:rPr>
          <w:sz w:val="20"/>
          <w:szCs w:val="20"/>
          <w:color w:val="auto"/>
        </w:rPr>
      </w:pPr>
      <w:r>
        <w:rPr>
          <w:rFonts w:ascii="Arial" w:cs="Arial" w:eastAsia="Arial" w:hAnsi="Arial"/>
          <w:sz w:val="13"/>
          <w:szCs w:val="13"/>
          <w:color w:val="202945"/>
        </w:rPr>
        <w:t>Compensation Discussion &amp;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Awards Granting</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FF7F32"/>
        </w:rPr>
        <w:t>Ravi Venkatesan</w:t>
      </w:r>
    </w:p>
    <w:p>
      <w:pPr>
        <w:spacing w:after="0" w:line="253" w:lineRule="exact"/>
        <w:rPr>
          <w:sz w:val="20"/>
          <w:szCs w:val="20"/>
          <w:color w:val="auto"/>
        </w:rPr>
      </w:pPr>
    </w:p>
    <w:p>
      <w:pPr>
        <w:ind w:left="200"/>
        <w:spacing w:after="0"/>
        <w:tabs>
          <w:tab w:leader="none" w:pos="1320" w:val="left"/>
        </w:tabs>
        <w:rPr>
          <w:sz w:val="20"/>
          <w:szCs w:val="20"/>
          <w:color w:val="auto"/>
        </w:rPr>
      </w:pPr>
      <w:r>
        <w:rPr>
          <w:rFonts w:ascii="Arial" w:cs="Arial" w:eastAsia="Arial" w:hAnsi="Arial"/>
          <w:sz w:val="14"/>
          <w:szCs w:val="14"/>
          <w:b w:val="1"/>
          <w:bCs w:val="1"/>
          <w:color w:val="404040"/>
        </w:rPr>
        <w:t>Fiscal Year</w:t>
      </w:r>
      <w:r>
        <w:rPr>
          <w:sz w:val="20"/>
          <w:szCs w:val="20"/>
          <w:color w:val="auto"/>
        </w:rPr>
        <w:tab/>
      </w:r>
      <w:r>
        <w:rPr>
          <w:rFonts w:ascii="Arial" w:cs="Arial" w:eastAsia="Arial" w:hAnsi="Arial"/>
          <w:sz w:val="14"/>
          <w:szCs w:val="14"/>
          <w:b w:val="1"/>
          <w:bCs w:val="1"/>
          <w:color w:val="404040"/>
        </w:rPr>
        <w:t>Grant</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661"/>
        </w:trPr>
        <w:tc>
          <w:tcPr>
            <w:tcW w:w="1140" w:type="dxa"/>
            <w:vAlign w:val="bottom"/>
            <w:tcBorders>
              <w:top w:val="single" w:sz="8" w:color="E5EAF8"/>
              <w:right w:val="single" w:sz="8" w:color="FF7F32"/>
            </w:tcBorders>
            <w:shd w:val="clear" w:color="auto" w:fill="E5EAF8"/>
          </w:tcPr>
          <w:p>
            <w:pPr>
              <w:jc w:val="center"/>
              <w:spacing w:after="0"/>
              <w:rPr>
                <w:sz w:val="20"/>
                <w:szCs w:val="20"/>
                <w:color w:val="auto"/>
              </w:rPr>
            </w:pPr>
            <w:r>
              <w:rPr>
                <w:rFonts w:ascii="Arial" w:cs="Arial" w:eastAsia="Arial" w:hAnsi="Arial"/>
                <w:sz w:val="16"/>
                <w:szCs w:val="16"/>
                <w:b w:val="1"/>
                <w:bCs w:val="1"/>
                <w:color w:val="auto"/>
              </w:rPr>
              <w:t>2023</w:t>
            </w:r>
          </w:p>
        </w:tc>
        <w:tc>
          <w:tcPr>
            <w:tcW w:w="10100" w:type="dxa"/>
            <w:vAlign w:val="bottom"/>
            <w:tcBorders>
              <w:top w:val="single" w:sz="8" w:color="E5EAF8"/>
            </w:tcBorders>
            <w:shd w:val="clear" w:color="auto" w:fill="E5EAF8"/>
          </w:tcPr>
          <w:p>
            <w:pPr>
              <w:ind w:left="220"/>
              <w:spacing w:after="0"/>
              <w:rPr>
                <w:sz w:val="20"/>
                <w:szCs w:val="20"/>
                <w:color w:val="auto"/>
              </w:rPr>
            </w:pPr>
            <w:r>
              <w:rPr>
                <w:rFonts w:ascii="Arial" w:cs="Arial" w:eastAsia="Arial" w:hAnsi="Arial"/>
                <w:sz w:val="16"/>
                <w:szCs w:val="16"/>
                <w:b w:val="1"/>
                <w:bCs w:val="1"/>
                <w:color w:val="FF7F32"/>
              </w:rPr>
              <w:t xml:space="preserve">•  </w:t>
            </w:r>
            <w:r>
              <w:rPr>
                <w:rFonts w:ascii="Arial" w:cs="Arial" w:eastAsia="Arial" w:hAnsi="Arial"/>
                <w:sz w:val="16"/>
                <w:szCs w:val="16"/>
                <w:color w:val="000000"/>
              </w:rPr>
              <w:t>On August 11, 2022, Mr. Venkatesan was awarded a grant of 12,011 RSUs, which vest in three equal installments on each of</w:t>
            </w:r>
          </w:p>
        </w:tc>
      </w:tr>
      <w:tr>
        <w:trPr>
          <w:trHeight w:val="215"/>
        </w:trPr>
        <w:tc>
          <w:tcPr>
            <w:tcW w:w="1140" w:type="dxa"/>
            <w:vAlign w:val="bottom"/>
            <w:tcBorders>
              <w:right w:val="single" w:sz="8" w:color="FF7F32"/>
            </w:tcBorders>
            <w:shd w:val="clear" w:color="auto" w:fill="E5EAF8"/>
          </w:tcPr>
          <w:p>
            <w:pPr>
              <w:spacing w:after="0"/>
              <w:rPr>
                <w:sz w:val="18"/>
                <w:szCs w:val="18"/>
                <w:color w:val="auto"/>
              </w:rPr>
            </w:pPr>
          </w:p>
        </w:tc>
        <w:tc>
          <w:tcPr>
            <w:tcW w:w="10100" w:type="dxa"/>
            <w:vAlign w:val="bottom"/>
            <w:shd w:val="clear" w:color="auto" w:fill="E5EAF8"/>
          </w:tcPr>
          <w:p>
            <w:pPr>
              <w:ind w:left="400"/>
              <w:spacing w:after="0"/>
              <w:rPr>
                <w:sz w:val="20"/>
                <w:szCs w:val="20"/>
                <w:color w:val="auto"/>
              </w:rPr>
            </w:pPr>
            <w:r>
              <w:rPr>
                <w:rFonts w:ascii="Arial" w:cs="Arial" w:eastAsia="Arial" w:hAnsi="Arial"/>
                <w:sz w:val="16"/>
                <w:szCs w:val="16"/>
                <w:color w:val="auto"/>
              </w:rPr>
              <w:t>anniversary of the grant date, generally subject to Mr. Venkatesan’s continued employment through each such vesting date.</w:t>
            </w:r>
          </w:p>
        </w:tc>
      </w:tr>
      <w:tr>
        <w:trPr>
          <w:trHeight w:val="332"/>
        </w:trPr>
        <w:tc>
          <w:tcPr>
            <w:tcW w:w="1140" w:type="dxa"/>
            <w:vAlign w:val="bottom"/>
            <w:tcBorders>
              <w:right w:val="single" w:sz="8" w:color="FF7F32"/>
            </w:tcBorders>
            <w:shd w:val="clear" w:color="auto" w:fill="E5EAF8"/>
          </w:tcPr>
          <w:p>
            <w:pPr>
              <w:spacing w:after="0"/>
              <w:rPr>
                <w:sz w:val="24"/>
                <w:szCs w:val="24"/>
                <w:color w:val="auto"/>
              </w:rPr>
            </w:pPr>
          </w:p>
        </w:tc>
        <w:tc>
          <w:tcPr>
            <w:tcW w:w="10100" w:type="dxa"/>
            <w:vAlign w:val="bottom"/>
            <w:shd w:val="clear" w:color="auto" w:fill="E5EAF8"/>
          </w:tcPr>
          <w:p>
            <w:pPr>
              <w:ind w:left="220"/>
              <w:spacing w:after="0"/>
              <w:rPr>
                <w:sz w:val="20"/>
                <w:szCs w:val="20"/>
                <w:color w:val="auto"/>
              </w:rPr>
            </w:pPr>
            <w:r>
              <w:rPr>
                <w:rFonts w:ascii="Arial" w:cs="Arial" w:eastAsia="Arial" w:hAnsi="Arial"/>
                <w:sz w:val="16"/>
                <w:szCs w:val="16"/>
                <w:b w:val="1"/>
                <w:bCs w:val="1"/>
                <w:color w:val="FF7F32"/>
              </w:rPr>
              <w:t xml:space="preserve">•  </w:t>
            </w:r>
            <w:r>
              <w:rPr>
                <w:rFonts w:ascii="Arial" w:cs="Arial" w:eastAsia="Arial" w:hAnsi="Arial"/>
                <w:sz w:val="16"/>
                <w:szCs w:val="16"/>
                <w:color w:val="000000"/>
              </w:rPr>
              <w:t>In connection with his appointment to Chief Executive Officer, Mr. Venkatesan was granted the option to purchase 800,000 options</w:t>
            </w:r>
          </w:p>
        </w:tc>
      </w:tr>
      <w:tr>
        <w:trPr>
          <w:trHeight w:val="235"/>
        </w:trPr>
        <w:tc>
          <w:tcPr>
            <w:tcW w:w="1140" w:type="dxa"/>
            <w:vAlign w:val="bottom"/>
            <w:tcBorders>
              <w:right w:val="single" w:sz="8" w:color="FF7F32"/>
            </w:tcBorders>
            <w:shd w:val="clear" w:color="auto" w:fill="E5EAF8"/>
          </w:tcPr>
          <w:p>
            <w:pPr>
              <w:spacing w:after="0"/>
              <w:rPr>
                <w:sz w:val="20"/>
                <w:szCs w:val="20"/>
                <w:color w:val="auto"/>
              </w:rPr>
            </w:pPr>
          </w:p>
        </w:tc>
        <w:tc>
          <w:tcPr>
            <w:tcW w:w="10100" w:type="dxa"/>
            <w:vAlign w:val="bottom"/>
            <w:shd w:val="clear" w:color="auto" w:fill="E5EAF8"/>
          </w:tcPr>
          <w:p>
            <w:pPr>
              <w:ind w:left="400"/>
              <w:spacing w:after="0"/>
              <w:rPr>
                <w:sz w:val="20"/>
                <w:szCs w:val="20"/>
                <w:color w:val="auto"/>
              </w:rPr>
            </w:pPr>
            <w:r>
              <w:rPr>
                <w:rFonts w:ascii="Arial" w:cs="Arial" w:eastAsia="Arial" w:hAnsi="Arial"/>
                <w:sz w:val="16"/>
                <w:szCs w:val="16"/>
                <w:color w:val="auto"/>
              </w:rPr>
              <w:t>pursuant to the Company’s 2018 Equity Incentive Plan, to be vested equally on the first four anniversaries of October 1, 2022, which</w:t>
            </w:r>
          </w:p>
        </w:tc>
      </w:tr>
      <w:tr>
        <w:trPr>
          <w:trHeight w:val="243"/>
        </w:trPr>
        <w:tc>
          <w:tcPr>
            <w:tcW w:w="1140" w:type="dxa"/>
            <w:vAlign w:val="bottom"/>
            <w:tcBorders>
              <w:right w:val="single" w:sz="8" w:color="FF7F32"/>
            </w:tcBorders>
            <w:shd w:val="clear" w:color="auto" w:fill="E5EAF8"/>
          </w:tcPr>
          <w:p>
            <w:pPr>
              <w:spacing w:after="0"/>
              <w:rPr>
                <w:sz w:val="21"/>
                <w:szCs w:val="21"/>
                <w:color w:val="auto"/>
              </w:rPr>
            </w:pPr>
          </w:p>
        </w:tc>
        <w:tc>
          <w:tcPr>
            <w:tcW w:w="10100" w:type="dxa"/>
            <w:vAlign w:val="bottom"/>
            <w:shd w:val="clear" w:color="auto" w:fill="E5EAF8"/>
          </w:tcPr>
          <w:p>
            <w:pPr>
              <w:ind w:left="400"/>
              <w:spacing w:after="0"/>
              <w:rPr>
                <w:sz w:val="20"/>
                <w:szCs w:val="20"/>
                <w:color w:val="auto"/>
              </w:rPr>
            </w:pPr>
            <w:r>
              <w:rPr>
                <w:rFonts w:ascii="Arial" w:cs="Arial" w:eastAsia="Arial" w:hAnsi="Arial"/>
                <w:sz w:val="16"/>
                <w:szCs w:val="16"/>
                <w:color w:val="auto"/>
              </w:rPr>
              <w:t>are subject to the terms of the award agreement and contingent on the approval of additional shares in the Second Amendment to</w:t>
            </w:r>
          </w:p>
        </w:tc>
      </w:tr>
      <w:tr>
        <w:trPr>
          <w:trHeight w:val="243"/>
        </w:trPr>
        <w:tc>
          <w:tcPr>
            <w:tcW w:w="1140" w:type="dxa"/>
            <w:vAlign w:val="bottom"/>
            <w:tcBorders>
              <w:right w:val="single" w:sz="8" w:color="FF7F32"/>
            </w:tcBorders>
            <w:shd w:val="clear" w:color="auto" w:fill="E5EAF8"/>
          </w:tcPr>
          <w:p>
            <w:pPr>
              <w:spacing w:after="0"/>
              <w:rPr>
                <w:sz w:val="21"/>
                <w:szCs w:val="21"/>
                <w:color w:val="auto"/>
              </w:rPr>
            </w:pPr>
          </w:p>
        </w:tc>
        <w:tc>
          <w:tcPr>
            <w:tcW w:w="10100" w:type="dxa"/>
            <w:vAlign w:val="bottom"/>
            <w:shd w:val="clear" w:color="auto" w:fill="E5EAF8"/>
          </w:tcPr>
          <w:p>
            <w:pPr>
              <w:ind w:left="400"/>
              <w:spacing w:after="0"/>
              <w:rPr>
                <w:sz w:val="20"/>
                <w:szCs w:val="20"/>
                <w:color w:val="auto"/>
              </w:rPr>
            </w:pPr>
            <w:r>
              <w:rPr>
                <w:rFonts w:ascii="Arial" w:cs="Arial" w:eastAsia="Arial" w:hAnsi="Arial"/>
                <w:sz w:val="16"/>
                <w:szCs w:val="16"/>
                <w:color w:val="auto"/>
              </w:rPr>
              <w:t>the Company’s 2018 Equity Incentive Plan.</w:t>
            </w:r>
          </w:p>
        </w:tc>
      </w:tr>
      <w:tr>
        <w:trPr>
          <w:trHeight w:val="379"/>
        </w:trPr>
        <w:tc>
          <w:tcPr>
            <w:tcW w:w="1140" w:type="dxa"/>
            <w:vAlign w:val="bottom"/>
            <w:tcBorders>
              <w:right w:val="single" w:sz="8" w:color="FF7F32"/>
            </w:tcBorders>
            <w:shd w:val="clear" w:color="auto" w:fill="E5EAF8"/>
          </w:tcPr>
          <w:p>
            <w:pPr>
              <w:jc w:val="center"/>
              <w:spacing w:after="0"/>
              <w:rPr>
                <w:sz w:val="20"/>
                <w:szCs w:val="20"/>
                <w:color w:val="auto"/>
              </w:rPr>
            </w:pPr>
            <w:r>
              <w:rPr>
                <w:rFonts w:ascii="Arial" w:cs="Arial" w:eastAsia="Arial" w:hAnsi="Arial"/>
                <w:sz w:val="16"/>
                <w:szCs w:val="16"/>
                <w:b w:val="1"/>
                <w:bCs w:val="1"/>
                <w:color w:val="auto"/>
              </w:rPr>
              <w:t>2024</w:t>
            </w:r>
          </w:p>
        </w:tc>
        <w:tc>
          <w:tcPr>
            <w:tcW w:w="10100" w:type="dxa"/>
            <w:vAlign w:val="bottom"/>
            <w:shd w:val="clear" w:color="auto" w:fill="E5EAF8"/>
          </w:tcPr>
          <w:p>
            <w:pPr>
              <w:ind w:left="220"/>
              <w:spacing w:after="0"/>
              <w:rPr>
                <w:sz w:val="20"/>
                <w:szCs w:val="20"/>
                <w:color w:val="auto"/>
              </w:rPr>
            </w:pPr>
            <w:r>
              <w:rPr>
                <w:rFonts w:ascii="Arial" w:cs="Arial" w:eastAsia="Arial" w:hAnsi="Arial"/>
                <w:sz w:val="16"/>
                <w:szCs w:val="16"/>
                <w:b w:val="1"/>
                <w:bCs w:val="1"/>
                <w:color w:val="FF7F32"/>
              </w:rPr>
              <w:t xml:space="preserve">•  </w:t>
            </w:r>
            <w:r>
              <w:rPr>
                <w:rFonts w:ascii="Arial" w:cs="Arial" w:eastAsia="Arial" w:hAnsi="Arial"/>
                <w:sz w:val="16"/>
                <w:szCs w:val="16"/>
                <w:color w:val="000000"/>
              </w:rPr>
              <w:t>On August 4, 2023,Mr. Venkatesan was awarded a grant of 32,904 RSUs, which vest in three equal installments on each of</w:t>
            </w:r>
          </w:p>
        </w:tc>
      </w:tr>
      <w:tr>
        <w:trPr>
          <w:trHeight w:val="215"/>
        </w:trPr>
        <w:tc>
          <w:tcPr>
            <w:tcW w:w="1140" w:type="dxa"/>
            <w:vAlign w:val="bottom"/>
            <w:tcBorders>
              <w:right w:val="single" w:sz="8" w:color="FF7F32"/>
            </w:tcBorders>
            <w:shd w:val="clear" w:color="auto" w:fill="E5EAF8"/>
          </w:tcPr>
          <w:p>
            <w:pPr>
              <w:spacing w:after="0"/>
              <w:rPr>
                <w:sz w:val="18"/>
                <w:szCs w:val="18"/>
                <w:color w:val="auto"/>
              </w:rPr>
            </w:pPr>
          </w:p>
        </w:tc>
        <w:tc>
          <w:tcPr>
            <w:tcW w:w="10100" w:type="dxa"/>
            <w:vAlign w:val="bottom"/>
            <w:shd w:val="clear" w:color="auto" w:fill="E5EAF8"/>
          </w:tcPr>
          <w:p>
            <w:pPr>
              <w:ind w:left="400"/>
              <w:spacing w:after="0"/>
              <w:rPr>
                <w:sz w:val="20"/>
                <w:szCs w:val="20"/>
                <w:color w:val="auto"/>
              </w:rPr>
            </w:pPr>
            <w:r>
              <w:rPr>
                <w:rFonts w:ascii="Arial" w:cs="Arial" w:eastAsia="Arial" w:hAnsi="Arial"/>
                <w:sz w:val="16"/>
                <w:szCs w:val="16"/>
                <w:color w:val="auto"/>
              </w:rPr>
              <w:t>anniversary of the grant date, generally subject to Mr. Venkatesan’s continued employment through each such vesting date.</w:t>
            </w:r>
          </w:p>
        </w:tc>
      </w:tr>
      <w:tr>
        <w:trPr>
          <w:trHeight w:val="325"/>
        </w:trPr>
        <w:tc>
          <w:tcPr>
            <w:tcW w:w="1140" w:type="dxa"/>
            <w:vAlign w:val="bottom"/>
            <w:tcBorders>
              <w:right w:val="single" w:sz="8" w:color="FF7F32"/>
            </w:tcBorders>
            <w:shd w:val="clear" w:color="auto" w:fill="E5EAF8"/>
          </w:tcPr>
          <w:p>
            <w:pPr>
              <w:jc w:val="center"/>
              <w:spacing w:after="0"/>
              <w:rPr>
                <w:sz w:val="20"/>
                <w:szCs w:val="20"/>
                <w:color w:val="auto"/>
              </w:rPr>
            </w:pPr>
            <w:r>
              <w:rPr>
                <w:rFonts w:ascii="Arial" w:cs="Arial" w:eastAsia="Arial" w:hAnsi="Arial"/>
                <w:sz w:val="16"/>
                <w:szCs w:val="16"/>
                <w:b w:val="1"/>
                <w:bCs w:val="1"/>
                <w:color w:val="auto"/>
              </w:rPr>
              <w:t>2025</w:t>
            </w:r>
          </w:p>
        </w:tc>
        <w:tc>
          <w:tcPr>
            <w:tcW w:w="10100" w:type="dxa"/>
            <w:vAlign w:val="bottom"/>
            <w:shd w:val="clear" w:color="auto" w:fill="E5EAF8"/>
          </w:tcPr>
          <w:p>
            <w:pPr>
              <w:ind w:left="220"/>
              <w:spacing w:after="0"/>
              <w:rPr>
                <w:sz w:val="20"/>
                <w:szCs w:val="20"/>
                <w:color w:val="auto"/>
              </w:rPr>
            </w:pPr>
            <w:r>
              <w:rPr>
                <w:rFonts w:ascii="Arial" w:cs="Arial" w:eastAsia="Arial" w:hAnsi="Arial"/>
                <w:sz w:val="16"/>
                <w:szCs w:val="16"/>
                <w:b w:val="1"/>
                <w:bCs w:val="1"/>
                <w:color w:val="FF7F32"/>
              </w:rPr>
              <w:t xml:space="preserve">•  </w:t>
            </w:r>
            <w:r>
              <w:rPr>
                <w:rFonts w:ascii="Arial" w:cs="Arial" w:eastAsia="Arial" w:hAnsi="Arial"/>
                <w:sz w:val="16"/>
                <w:szCs w:val="16"/>
                <w:color w:val="000000"/>
              </w:rPr>
              <w:t>On September 20, 2024, Mr. Venkatesan was awarded a grant of 26,745 RSUs, which vest in three equal installments on each of</w:t>
            </w:r>
          </w:p>
        </w:tc>
      </w:tr>
      <w:tr>
        <w:trPr>
          <w:trHeight w:val="215"/>
        </w:trPr>
        <w:tc>
          <w:tcPr>
            <w:tcW w:w="1140" w:type="dxa"/>
            <w:vAlign w:val="bottom"/>
            <w:tcBorders>
              <w:right w:val="single" w:sz="8" w:color="FF7F32"/>
            </w:tcBorders>
            <w:shd w:val="clear" w:color="auto" w:fill="E5EAF8"/>
          </w:tcPr>
          <w:p>
            <w:pPr>
              <w:spacing w:after="0"/>
              <w:rPr>
                <w:sz w:val="18"/>
                <w:szCs w:val="18"/>
                <w:color w:val="auto"/>
              </w:rPr>
            </w:pPr>
          </w:p>
        </w:tc>
        <w:tc>
          <w:tcPr>
            <w:tcW w:w="10100" w:type="dxa"/>
            <w:vAlign w:val="bottom"/>
            <w:shd w:val="clear" w:color="auto" w:fill="E5EAF8"/>
          </w:tcPr>
          <w:p>
            <w:pPr>
              <w:ind w:left="400"/>
              <w:spacing w:after="0"/>
              <w:rPr>
                <w:sz w:val="20"/>
                <w:szCs w:val="20"/>
                <w:color w:val="auto"/>
              </w:rPr>
            </w:pPr>
            <w:r>
              <w:rPr>
                <w:rFonts w:ascii="Arial" w:cs="Arial" w:eastAsia="Arial" w:hAnsi="Arial"/>
                <w:sz w:val="16"/>
                <w:szCs w:val="16"/>
                <w:color w:val="auto"/>
              </w:rPr>
              <w:t>anniversary the grant date, generally subject to Mr. Venkatesan’s continued employment through each such vesting date.</w:t>
            </w:r>
          </w:p>
        </w:tc>
      </w:tr>
      <w:tr>
        <w:trPr>
          <w:trHeight w:val="97"/>
        </w:trPr>
        <w:tc>
          <w:tcPr>
            <w:tcW w:w="1140" w:type="dxa"/>
            <w:vAlign w:val="bottom"/>
            <w:tcBorders>
              <w:right w:val="single" w:sz="8" w:color="FF7F32"/>
            </w:tcBorders>
            <w:shd w:val="clear" w:color="auto" w:fill="E5EAF8"/>
          </w:tcPr>
          <w:p>
            <w:pPr>
              <w:spacing w:after="0"/>
              <w:rPr>
                <w:sz w:val="8"/>
                <w:szCs w:val="8"/>
                <w:color w:val="auto"/>
              </w:rPr>
            </w:pPr>
          </w:p>
        </w:tc>
        <w:tc>
          <w:tcPr>
            <w:tcW w:w="10100" w:type="dxa"/>
            <w:vAlign w:val="bottom"/>
            <w:shd w:val="clear" w:color="auto" w:fill="E5EAF8"/>
          </w:tcPr>
          <w:p>
            <w:pPr>
              <w:spacing w:after="0"/>
              <w:rPr>
                <w:sz w:val="8"/>
                <w:szCs w:val="8"/>
                <w:color w:val="auto"/>
              </w:rPr>
            </w:pPr>
          </w:p>
        </w:tc>
      </w:tr>
      <w:tr>
        <w:trPr>
          <w:trHeight w:val="438"/>
        </w:trPr>
        <w:tc>
          <w:tcPr>
            <w:tcW w:w="1140" w:type="dxa"/>
            <w:vAlign w:val="bottom"/>
          </w:tcPr>
          <w:p>
            <w:pPr>
              <w:spacing w:after="0"/>
              <w:rPr>
                <w:sz w:val="20"/>
                <w:szCs w:val="20"/>
                <w:color w:val="auto"/>
              </w:rPr>
            </w:pPr>
            <w:r>
              <w:rPr>
                <w:rFonts w:ascii="Arial" w:cs="Arial" w:eastAsia="Arial" w:hAnsi="Arial"/>
                <w:sz w:val="16"/>
                <w:szCs w:val="16"/>
                <w:b w:val="1"/>
                <w:bCs w:val="1"/>
                <w:color w:val="FF7F32"/>
              </w:rPr>
              <w:t>Scott Stewart</w:t>
            </w:r>
          </w:p>
        </w:tc>
        <w:tc>
          <w:tcPr>
            <w:tcW w:w="10100" w:type="dxa"/>
            <w:vAlign w:val="bottom"/>
          </w:tcPr>
          <w:p>
            <w:pPr>
              <w:spacing w:after="0"/>
              <w:rPr>
                <w:sz w:val="24"/>
                <w:szCs w:val="24"/>
                <w:color w:val="auto"/>
              </w:rPr>
            </w:pPr>
          </w:p>
        </w:tc>
      </w:tr>
      <w:tr>
        <w:trPr>
          <w:trHeight w:val="370"/>
        </w:trPr>
        <w:tc>
          <w:tcPr>
            <w:tcW w:w="1140" w:type="dxa"/>
            <w:vAlign w:val="bottom"/>
          </w:tcPr>
          <w:p>
            <w:pPr>
              <w:jc w:val="center"/>
              <w:spacing w:after="0"/>
              <w:rPr>
                <w:sz w:val="20"/>
                <w:szCs w:val="20"/>
                <w:color w:val="auto"/>
              </w:rPr>
            </w:pPr>
            <w:r>
              <w:rPr>
                <w:rFonts w:ascii="Arial" w:cs="Arial" w:eastAsia="Arial" w:hAnsi="Arial"/>
                <w:sz w:val="14"/>
                <w:szCs w:val="14"/>
                <w:b w:val="1"/>
                <w:bCs w:val="1"/>
                <w:color w:val="404040"/>
              </w:rPr>
              <w:t>Fiscal Year</w:t>
            </w:r>
          </w:p>
        </w:tc>
        <w:tc>
          <w:tcPr>
            <w:tcW w:w="10100" w:type="dxa"/>
            <w:vAlign w:val="bottom"/>
          </w:tcPr>
          <w:p>
            <w:pPr>
              <w:ind w:left="200"/>
              <w:spacing w:after="0"/>
              <w:rPr>
                <w:sz w:val="20"/>
                <w:szCs w:val="20"/>
                <w:color w:val="auto"/>
              </w:rPr>
            </w:pPr>
            <w:r>
              <w:rPr>
                <w:rFonts w:ascii="Arial" w:cs="Arial" w:eastAsia="Arial" w:hAnsi="Arial"/>
                <w:sz w:val="14"/>
                <w:szCs w:val="14"/>
                <w:b w:val="1"/>
                <w:bCs w:val="1"/>
                <w:color w:val="404040"/>
              </w:rPr>
              <w:t>Grant</w:t>
            </w:r>
          </w:p>
        </w:tc>
      </w:tr>
      <w:tr>
        <w:trPr>
          <w:trHeight w:val="77"/>
        </w:trPr>
        <w:tc>
          <w:tcPr>
            <w:tcW w:w="1140" w:type="dxa"/>
            <w:vAlign w:val="bottom"/>
          </w:tcPr>
          <w:p>
            <w:pPr>
              <w:spacing w:after="0"/>
              <w:rPr>
                <w:sz w:val="6"/>
                <w:szCs w:val="6"/>
                <w:color w:val="auto"/>
              </w:rPr>
            </w:pPr>
          </w:p>
        </w:tc>
        <w:tc>
          <w:tcPr>
            <w:tcW w:w="10100" w:type="dxa"/>
            <w:vAlign w:val="bottom"/>
            <w:tcBorders>
              <w:bottom w:val="single" w:sz="8" w:color="E5EAF8"/>
            </w:tcBorders>
          </w:tcPr>
          <w:p>
            <w:pPr>
              <w:spacing w:after="0"/>
              <w:rPr>
                <w:sz w:val="6"/>
                <w:szCs w:val="6"/>
                <w:color w:val="auto"/>
              </w:rPr>
            </w:pPr>
          </w:p>
        </w:tc>
      </w:tr>
      <w:tr>
        <w:trPr>
          <w:trHeight w:val="357"/>
        </w:trPr>
        <w:tc>
          <w:tcPr>
            <w:tcW w:w="1140" w:type="dxa"/>
            <w:vAlign w:val="bottom"/>
          </w:tcPr>
          <w:p>
            <w:pPr>
              <w:jc w:val="center"/>
              <w:spacing w:after="0"/>
              <w:rPr>
                <w:sz w:val="20"/>
                <w:szCs w:val="20"/>
                <w:color w:val="auto"/>
              </w:rPr>
            </w:pPr>
            <w:r>
              <w:rPr>
                <w:rFonts w:ascii="Arial" w:cs="Arial" w:eastAsia="Arial" w:hAnsi="Arial"/>
                <w:sz w:val="16"/>
                <w:szCs w:val="16"/>
                <w:b w:val="1"/>
                <w:bCs w:val="1"/>
                <w:color w:val="auto"/>
              </w:rPr>
              <w:t>2023</w:t>
            </w:r>
          </w:p>
        </w:tc>
        <w:tc>
          <w:tcPr>
            <w:tcW w:w="10100" w:type="dxa"/>
            <w:vAlign w:val="bottom"/>
          </w:tcPr>
          <w:p>
            <w:pPr>
              <w:ind w:left="220"/>
              <w:spacing w:after="0"/>
              <w:rPr>
                <w:sz w:val="20"/>
                <w:szCs w:val="20"/>
                <w:color w:val="auto"/>
              </w:rPr>
            </w:pPr>
            <w:r>
              <w:rPr>
                <w:rFonts w:ascii="Arial" w:cs="Arial" w:eastAsia="Arial" w:hAnsi="Arial"/>
                <w:sz w:val="16"/>
                <w:szCs w:val="16"/>
                <w:b w:val="1"/>
                <w:bCs w:val="1"/>
                <w:color w:val="FF7F32"/>
              </w:rPr>
              <w:t xml:space="preserve">•  </w:t>
            </w:r>
            <w:r>
              <w:rPr>
                <w:rFonts w:ascii="Arial" w:cs="Arial" w:eastAsia="Arial" w:hAnsi="Arial"/>
                <w:sz w:val="16"/>
                <w:szCs w:val="16"/>
                <w:color w:val="000000"/>
              </w:rPr>
              <w:t>On August 11, 2022, Mr. Stewart was awarded a grant of 11,260 RSUs and 225,000 options, which each vest in three equal</w:t>
            </w:r>
          </w:p>
        </w:tc>
      </w:tr>
      <w:tr>
        <w:trPr>
          <w:trHeight w:val="235"/>
        </w:trPr>
        <w:tc>
          <w:tcPr>
            <w:tcW w:w="1140" w:type="dxa"/>
            <w:vAlign w:val="bottom"/>
          </w:tcPr>
          <w:p>
            <w:pPr>
              <w:spacing w:after="0"/>
              <w:rPr>
                <w:sz w:val="20"/>
                <w:szCs w:val="20"/>
                <w:color w:val="auto"/>
              </w:rPr>
            </w:pPr>
          </w:p>
        </w:tc>
        <w:tc>
          <w:tcPr>
            <w:tcW w:w="10100" w:type="dxa"/>
            <w:vAlign w:val="bottom"/>
          </w:tcPr>
          <w:p>
            <w:pPr>
              <w:ind w:left="400"/>
              <w:spacing w:after="0"/>
              <w:rPr>
                <w:sz w:val="20"/>
                <w:szCs w:val="20"/>
                <w:color w:val="auto"/>
              </w:rPr>
            </w:pPr>
            <w:r>
              <w:rPr>
                <w:rFonts w:ascii="Arial" w:cs="Arial" w:eastAsia="Arial" w:hAnsi="Arial"/>
                <w:sz w:val="16"/>
                <w:szCs w:val="16"/>
                <w:color w:val="auto"/>
              </w:rPr>
              <w:t>installments on each of anniversary of the grant date, generally subject to Mr. Stewart’s continued employment through each such</w:t>
            </w:r>
          </w:p>
        </w:tc>
      </w:tr>
      <w:tr>
        <w:trPr>
          <w:trHeight w:val="243"/>
        </w:trPr>
        <w:tc>
          <w:tcPr>
            <w:tcW w:w="1140" w:type="dxa"/>
            <w:vAlign w:val="bottom"/>
          </w:tcPr>
          <w:p>
            <w:pPr>
              <w:spacing w:after="0"/>
              <w:rPr>
                <w:sz w:val="21"/>
                <w:szCs w:val="21"/>
                <w:color w:val="auto"/>
              </w:rPr>
            </w:pPr>
          </w:p>
        </w:tc>
        <w:tc>
          <w:tcPr>
            <w:tcW w:w="10100" w:type="dxa"/>
            <w:vAlign w:val="bottom"/>
          </w:tcPr>
          <w:p>
            <w:pPr>
              <w:ind w:left="400"/>
              <w:spacing w:after="0"/>
              <w:rPr>
                <w:sz w:val="20"/>
                <w:szCs w:val="20"/>
                <w:color w:val="auto"/>
              </w:rPr>
            </w:pPr>
            <w:r>
              <w:rPr>
                <w:rFonts w:ascii="Arial" w:cs="Arial" w:eastAsia="Arial" w:hAnsi="Arial"/>
                <w:sz w:val="16"/>
                <w:szCs w:val="16"/>
                <w:color w:val="auto"/>
              </w:rPr>
              <w:t>vesting date.</w:t>
            </w:r>
          </w:p>
        </w:tc>
      </w:tr>
      <w:tr>
        <w:trPr>
          <w:trHeight w:val="426"/>
        </w:trPr>
        <w:tc>
          <w:tcPr>
            <w:tcW w:w="1140" w:type="dxa"/>
            <w:vAlign w:val="bottom"/>
          </w:tcPr>
          <w:p>
            <w:pPr>
              <w:jc w:val="center"/>
              <w:spacing w:after="0"/>
              <w:rPr>
                <w:sz w:val="20"/>
                <w:szCs w:val="20"/>
                <w:color w:val="auto"/>
              </w:rPr>
            </w:pPr>
            <w:r>
              <w:rPr>
                <w:rFonts w:ascii="Arial" w:cs="Arial" w:eastAsia="Arial" w:hAnsi="Arial"/>
                <w:sz w:val="16"/>
                <w:szCs w:val="16"/>
                <w:b w:val="1"/>
                <w:bCs w:val="1"/>
                <w:color w:val="auto"/>
              </w:rPr>
              <w:t>2024</w:t>
            </w:r>
          </w:p>
        </w:tc>
        <w:tc>
          <w:tcPr>
            <w:tcW w:w="10100" w:type="dxa"/>
            <w:vAlign w:val="bottom"/>
          </w:tcPr>
          <w:p>
            <w:pPr>
              <w:ind w:left="220"/>
              <w:spacing w:after="0"/>
              <w:rPr>
                <w:sz w:val="20"/>
                <w:szCs w:val="20"/>
                <w:color w:val="auto"/>
              </w:rPr>
            </w:pPr>
            <w:r>
              <w:rPr>
                <w:rFonts w:ascii="Arial" w:cs="Arial" w:eastAsia="Arial" w:hAnsi="Arial"/>
                <w:sz w:val="16"/>
                <w:szCs w:val="16"/>
                <w:b w:val="1"/>
                <w:bCs w:val="1"/>
                <w:color w:val="FF7F32"/>
              </w:rPr>
              <w:t xml:space="preserve">•  </w:t>
            </w:r>
            <w:r>
              <w:rPr>
                <w:rFonts w:ascii="Arial" w:cs="Arial" w:eastAsia="Arial" w:hAnsi="Arial"/>
                <w:sz w:val="16"/>
                <w:szCs w:val="16"/>
                <w:color w:val="000000"/>
              </w:rPr>
              <w:t>On August 4, 2023, Mr. Stewart was awarded a grant of 16,952 RSUs, which vest in three equal installments on each of anniversary</w:t>
            </w:r>
          </w:p>
        </w:tc>
      </w:tr>
      <w:tr>
        <w:trPr>
          <w:trHeight w:val="235"/>
        </w:trPr>
        <w:tc>
          <w:tcPr>
            <w:tcW w:w="1140" w:type="dxa"/>
            <w:vAlign w:val="bottom"/>
          </w:tcPr>
          <w:p>
            <w:pPr>
              <w:spacing w:after="0"/>
              <w:rPr>
                <w:sz w:val="20"/>
                <w:szCs w:val="20"/>
                <w:color w:val="auto"/>
              </w:rPr>
            </w:pPr>
          </w:p>
        </w:tc>
        <w:tc>
          <w:tcPr>
            <w:tcW w:w="10100" w:type="dxa"/>
            <w:vAlign w:val="bottom"/>
          </w:tcPr>
          <w:p>
            <w:pPr>
              <w:ind w:left="400"/>
              <w:spacing w:after="0"/>
              <w:rPr>
                <w:sz w:val="20"/>
                <w:szCs w:val="20"/>
                <w:color w:val="auto"/>
              </w:rPr>
            </w:pPr>
            <w:r>
              <w:rPr>
                <w:rFonts w:ascii="Arial" w:cs="Arial" w:eastAsia="Arial" w:hAnsi="Arial"/>
                <w:sz w:val="16"/>
                <w:szCs w:val="16"/>
                <w:color w:val="auto"/>
              </w:rPr>
              <w:t>of the grant date, generally subject to Mr. Stewart’s continued employment through each such vesting 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-983615</wp:posOffset>
            </wp:positionV>
            <wp:extent cx="7132320" cy="176593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32320" cy="1765935"/>
                    </a:xfrm>
                    <a:prstGeom prst="rect">
                      <a:avLst/>
                    </a:prstGeom>
                    <a:noFill/>
                  </pic:spPr>
                </pic:pic>
              </a:graphicData>
            </a:graphic>
          </wp:anchor>
        </w:drawing>
      </w:r>
    </w:p>
    <w:p>
      <w:pPr>
        <w:spacing w:after="0" w:line="116" w:lineRule="exact"/>
        <w:rPr>
          <w:sz w:val="20"/>
          <w:szCs w:val="20"/>
          <w:color w:val="auto"/>
        </w:rPr>
      </w:pPr>
    </w:p>
    <w:p>
      <w:pPr>
        <w:ind w:left="1360" w:right="260" w:hanging="1160"/>
        <w:spacing w:after="0" w:line="343" w:lineRule="auto"/>
        <w:tabs>
          <w:tab w:leader="none" w:pos="1340" w:val="left"/>
        </w:tabs>
        <w:rPr>
          <w:sz w:val="20"/>
          <w:szCs w:val="20"/>
          <w:color w:val="auto"/>
        </w:rPr>
      </w:pPr>
      <w:r>
        <w:rPr>
          <w:rFonts w:ascii="Arial" w:cs="Arial" w:eastAsia="Arial" w:hAnsi="Arial"/>
          <w:sz w:val="16"/>
          <w:szCs w:val="16"/>
          <w:b w:val="1"/>
          <w:bCs w:val="1"/>
          <w:color w:val="auto"/>
        </w:rPr>
        <w:t>2025</w:t>
      </w:r>
      <w:r>
        <w:rPr>
          <w:sz w:val="20"/>
          <w:szCs w:val="20"/>
          <w:color w:val="auto"/>
        </w:rPr>
        <w:tab/>
      </w:r>
      <w:r>
        <w:rPr>
          <w:rFonts w:ascii="Arial" w:cs="Arial" w:eastAsia="Arial" w:hAnsi="Arial"/>
          <w:sz w:val="16"/>
          <w:szCs w:val="16"/>
          <w:b w:val="1"/>
          <w:bCs w:val="1"/>
          <w:color w:val="FF7F32"/>
        </w:rPr>
        <w:t xml:space="preserve">• </w:t>
      </w:r>
      <w:r>
        <w:rPr>
          <w:rFonts w:ascii="Arial" w:cs="Arial" w:eastAsia="Arial" w:hAnsi="Arial"/>
          <w:sz w:val="16"/>
          <w:szCs w:val="16"/>
          <w:color w:val="000000"/>
        </w:rPr>
        <w:t>On August 2, 2024, Mr. Stewart was awarded a grant of 37,500 RSUs, which vest in three equal installments on each of anniversary</w:t>
      </w:r>
      <w:r>
        <w:rPr>
          <w:rFonts w:ascii="Arial" w:cs="Arial" w:eastAsia="Arial" w:hAnsi="Arial"/>
          <w:sz w:val="16"/>
          <w:szCs w:val="16"/>
          <w:b w:val="1"/>
          <w:bCs w:val="1"/>
          <w:color w:val="FF7F32"/>
        </w:rPr>
        <w:t xml:space="preserve"> </w:t>
      </w:r>
      <w:r>
        <w:rPr>
          <w:rFonts w:ascii="Arial" w:cs="Arial" w:eastAsia="Arial" w:hAnsi="Arial"/>
          <w:sz w:val="16"/>
          <w:szCs w:val="16"/>
          <w:color w:val="000000"/>
        </w:rPr>
        <w:t>of the grant date, generally subject to Mr. Stewart’s continued employment through each such vesting date.</w:t>
      </w:r>
    </w:p>
    <w:p>
      <w:pPr>
        <w:spacing w:after="0" w:line="1" w:lineRule="exact"/>
        <w:rPr>
          <w:sz w:val="20"/>
          <w:szCs w:val="20"/>
          <w:color w:val="auto"/>
        </w:rPr>
      </w:pPr>
    </w:p>
    <w:p>
      <w:pPr>
        <w:ind w:left="1540" w:right="760" w:hanging="185"/>
        <w:spacing w:after="0" w:line="356" w:lineRule="auto"/>
        <w:tabs>
          <w:tab w:leader="none" w:pos="1524" w:val="left"/>
        </w:tabs>
        <w:numPr>
          <w:ilvl w:val="0"/>
          <w:numId w:val="62"/>
        </w:numPr>
        <w:rPr>
          <w:rFonts w:ascii="Arial" w:cs="Arial" w:eastAsia="Arial" w:hAnsi="Arial"/>
          <w:sz w:val="16"/>
          <w:szCs w:val="16"/>
          <w:b w:val="1"/>
          <w:bCs w:val="1"/>
          <w:color w:val="FF7F32"/>
        </w:rPr>
      </w:pPr>
      <w:r>
        <w:rPr>
          <w:rFonts w:ascii="Arial" w:cs="Arial" w:eastAsia="Arial" w:hAnsi="Arial"/>
          <w:sz w:val="16"/>
          <w:szCs w:val="16"/>
          <w:color w:val="auto"/>
        </w:rPr>
        <w:t>On September 20, 2024, Mr. Stewart was awarded a grant of 14,264 RSUs, which vest in three equal installments on each of anniversary of the grant date, generally subject to Mr. Stewart’s continued employment through each such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450850</wp:posOffset>
            </wp:positionV>
            <wp:extent cx="925830" cy="26606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925830"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b w:val="1"/>
                <w:bCs w:val="1"/>
                <w:color w:val="FF7F32"/>
              </w:rPr>
              <w:t xml:space="preserve">2026 </w:t>
            </w:r>
            <w:r>
              <w:rPr>
                <w:rFonts w:ascii="Arial" w:cs="Arial" w:eastAsia="Arial" w:hAnsi="Arial"/>
                <w:sz w:val="13"/>
                <w:szCs w:val="13"/>
                <w:color w:val="000000"/>
              </w:rPr>
              <w:t>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auto"/>
              </w:rPr>
              <w:t>57</w:t>
            </w:r>
          </w:p>
        </w:tc>
      </w:tr>
      <w:tr>
        <w:trPr>
          <w:trHeight w:val="433"/>
        </w:trPr>
        <w:tc>
          <w:tcPr>
            <w:tcW w:w="618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58" w:name="page59"/>
    <w:bookmarkEnd w:id="58"/>
    <w:p>
      <w:pPr>
        <w:spacing w:after="0"/>
        <w:rPr>
          <w:sz w:val="20"/>
          <w:szCs w:val="20"/>
          <w:color w:val="auto"/>
        </w:rPr>
      </w:pPr>
      <w:r>
        <w:rPr>
          <w:rFonts w:ascii="Arial" w:cs="Arial" w:eastAsia="Arial" w:hAnsi="Arial"/>
          <w:sz w:val="13"/>
          <w:szCs w:val="13"/>
          <w:color w:val="202945"/>
        </w:rPr>
        <w:t>Compensation Discussion &amp;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FF7F32"/>
        </w:rPr>
        <w:t>Jeff Dumbrell</w:t>
      </w:r>
    </w:p>
    <w:p>
      <w:pPr>
        <w:spacing w:after="0" w:line="212" w:lineRule="exact"/>
        <w:rPr>
          <w:sz w:val="20"/>
          <w:szCs w:val="20"/>
          <w:color w:val="auto"/>
        </w:rPr>
      </w:pPr>
    </w:p>
    <w:p>
      <w:pPr>
        <w:ind w:left="200"/>
        <w:spacing w:after="0"/>
        <w:tabs>
          <w:tab w:leader="none" w:pos="1320" w:val="left"/>
        </w:tabs>
        <w:rPr>
          <w:sz w:val="20"/>
          <w:szCs w:val="20"/>
          <w:color w:val="auto"/>
        </w:rPr>
      </w:pPr>
      <w:r>
        <w:rPr>
          <w:rFonts w:ascii="Arial" w:cs="Arial" w:eastAsia="Arial" w:hAnsi="Arial"/>
          <w:sz w:val="14"/>
          <w:szCs w:val="14"/>
          <w:b w:val="1"/>
          <w:bCs w:val="1"/>
          <w:color w:val="404040"/>
        </w:rPr>
        <w:t>Fiscal Year</w:t>
      </w:r>
      <w:r>
        <w:rPr>
          <w:sz w:val="20"/>
          <w:szCs w:val="20"/>
          <w:color w:val="auto"/>
        </w:rPr>
        <w:tab/>
      </w:r>
      <w:r>
        <w:rPr>
          <w:rFonts w:ascii="Arial" w:cs="Arial" w:eastAsia="Arial" w:hAnsi="Arial"/>
          <w:sz w:val="14"/>
          <w:szCs w:val="14"/>
          <w:b w:val="1"/>
          <w:bCs w:val="1"/>
          <w:color w:val="404040"/>
        </w:rPr>
        <w:t>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316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32320" cy="1731645"/>
                    </a:xfrm>
                    <a:prstGeom prst="rect">
                      <a:avLst/>
                    </a:prstGeom>
                    <a:noFill/>
                  </pic:spPr>
                </pic:pic>
              </a:graphicData>
            </a:graphic>
          </wp:anchor>
        </w:drawing>
      </w:r>
    </w:p>
    <w:p>
      <w:pPr>
        <w:spacing w:after="0" w:line="246" w:lineRule="exact"/>
        <w:rPr>
          <w:sz w:val="20"/>
          <w:szCs w:val="20"/>
          <w:color w:val="auto"/>
        </w:rPr>
      </w:pPr>
    </w:p>
    <w:p>
      <w:pPr>
        <w:ind w:left="1360" w:right="300" w:hanging="1160"/>
        <w:spacing w:after="0" w:line="345" w:lineRule="auto"/>
        <w:tabs>
          <w:tab w:leader="none" w:pos="1340" w:val="left"/>
        </w:tabs>
        <w:rPr>
          <w:sz w:val="20"/>
          <w:szCs w:val="20"/>
          <w:color w:val="auto"/>
        </w:rPr>
      </w:pPr>
      <w:r>
        <w:rPr>
          <w:rFonts w:ascii="Arial" w:cs="Arial" w:eastAsia="Arial" w:hAnsi="Arial"/>
          <w:sz w:val="16"/>
          <w:szCs w:val="16"/>
          <w:b w:val="1"/>
          <w:bCs w:val="1"/>
          <w:color w:val="auto"/>
        </w:rPr>
        <w:t>2023</w:t>
      </w:r>
      <w:r>
        <w:rPr>
          <w:sz w:val="20"/>
          <w:szCs w:val="20"/>
          <w:color w:val="auto"/>
        </w:rPr>
        <w:tab/>
      </w:r>
      <w:r>
        <w:rPr>
          <w:rFonts w:ascii="Arial" w:cs="Arial" w:eastAsia="Arial" w:hAnsi="Arial"/>
          <w:sz w:val="16"/>
          <w:szCs w:val="16"/>
          <w:b w:val="1"/>
          <w:bCs w:val="1"/>
          <w:color w:val="FF7F32"/>
        </w:rPr>
        <w:t xml:space="preserve">• </w:t>
      </w:r>
      <w:r>
        <w:rPr>
          <w:rFonts w:ascii="Arial" w:cs="Arial" w:eastAsia="Arial" w:hAnsi="Arial"/>
          <w:sz w:val="16"/>
          <w:szCs w:val="16"/>
          <w:color w:val="000000"/>
        </w:rPr>
        <w:t>On August 12, 2022, Mr. Dumbrell was awarded a grant of 11,260 RSUs and 225,000 options, which each vest in three equal</w:t>
      </w:r>
      <w:r>
        <w:rPr>
          <w:rFonts w:ascii="Arial" w:cs="Arial" w:eastAsia="Arial" w:hAnsi="Arial"/>
          <w:sz w:val="16"/>
          <w:szCs w:val="16"/>
          <w:b w:val="1"/>
          <w:bCs w:val="1"/>
          <w:color w:val="FF7F32"/>
        </w:rPr>
        <w:t xml:space="preserve"> </w:t>
      </w:r>
      <w:r>
        <w:rPr>
          <w:rFonts w:ascii="Arial" w:cs="Arial" w:eastAsia="Arial" w:hAnsi="Arial"/>
          <w:sz w:val="16"/>
          <w:szCs w:val="16"/>
          <w:color w:val="000000"/>
        </w:rPr>
        <w:t>installments on each of anniversary of the grant date, generally subject to Mr. Dumbrell’s continued employment through each such vesting date.</w:t>
      </w:r>
    </w:p>
    <w:p>
      <w:pPr>
        <w:spacing w:after="0" w:line="111" w:lineRule="exact"/>
        <w:rPr>
          <w:sz w:val="20"/>
          <w:szCs w:val="20"/>
          <w:color w:val="auto"/>
        </w:rPr>
      </w:pPr>
    </w:p>
    <w:p>
      <w:pPr>
        <w:jc w:val="right"/>
        <w:ind w:left="380" w:right="1020"/>
        <w:spacing w:after="0" w:line="356" w:lineRule="auto"/>
        <w:rPr>
          <w:sz w:val="20"/>
          <w:szCs w:val="20"/>
          <w:color w:val="auto"/>
        </w:rPr>
      </w:pPr>
      <w:r>
        <w:rPr>
          <w:rFonts w:ascii="Arial" w:cs="Arial" w:eastAsia="Arial" w:hAnsi="Arial"/>
          <w:sz w:val="16"/>
          <w:szCs w:val="16"/>
          <w:b w:val="1"/>
          <w:bCs w:val="1"/>
          <w:color w:val="auto"/>
        </w:rPr>
        <w:t xml:space="preserve">2024       </w:t>
      </w:r>
      <w:r>
        <w:rPr>
          <w:rFonts w:ascii="Arial" w:cs="Arial" w:eastAsia="Arial" w:hAnsi="Arial"/>
          <w:sz w:val="16"/>
          <w:szCs w:val="16"/>
          <w:b w:val="1"/>
          <w:bCs w:val="1"/>
          <w:color w:val="FF7F32"/>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On August 4, 2023, Mr. Dumbrell was awarded a grant of 16,952 RSUs, which vest in three equal installments on each of</w:t>
      </w:r>
      <w:r>
        <w:rPr>
          <w:rFonts w:ascii="Arial" w:cs="Arial" w:eastAsia="Arial" w:hAnsi="Arial"/>
          <w:sz w:val="16"/>
          <w:szCs w:val="16"/>
          <w:b w:val="1"/>
          <w:bCs w:val="1"/>
          <w:color w:val="auto"/>
        </w:rPr>
        <w:t xml:space="preserve"> </w:t>
      </w:r>
      <w:r>
        <w:rPr>
          <w:rFonts w:ascii="Arial" w:cs="Arial" w:eastAsia="Arial" w:hAnsi="Arial"/>
          <w:sz w:val="16"/>
          <w:szCs w:val="16"/>
          <w:color w:val="auto"/>
        </w:rPr>
        <w:t>anniversary of the grant date, generally subject to Mr. Dumbrell’s continued employment through each such vesting date.</w:t>
      </w:r>
    </w:p>
    <w:p>
      <w:pPr>
        <w:spacing w:after="0" w:line="48" w:lineRule="exact"/>
        <w:rPr>
          <w:sz w:val="20"/>
          <w:szCs w:val="20"/>
          <w:color w:val="auto"/>
        </w:rPr>
      </w:pPr>
    </w:p>
    <w:p>
      <w:pPr>
        <w:jc w:val="right"/>
        <w:ind w:left="380" w:right="980"/>
        <w:spacing w:after="0" w:line="343" w:lineRule="auto"/>
        <w:rPr>
          <w:sz w:val="20"/>
          <w:szCs w:val="20"/>
          <w:color w:val="auto"/>
        </w:rPr>
      </w:pPr>
      <w:r>
        <w:rPr>
          <w:rFonts w:ascii="Arial" w:cs="Arial" w:eastAsia="Arial" w:hAnsi="Arial"/>
          <w:sz w:val="16"/>
          <w:szCs w:val="16"/>
          <w:b w:val="1"/>
          <w:bCs w:val="1"/>
          <w:color w:val="auto"/>
        </w:rPr>
        <w:t xml:space="preserve">2025       </w:t>
      </w:r>
      <w:r>
        <w:rPr>
          <w:rFonts w:ascii="Arial" w:cs="Arial" w:eastAsia="Arial" w:hAnsi="Arial"/>
          <w:sz w:val="16"/>
          <w:szCs w:val="16"/>
          <w:b w:val="1"/>
          <w:bCs w:val="1"/>
          <w:color w:val="FF7F32"/>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On August 12, 2024, Mr. Dumbrell was awarded a grant of 37,500 RSUs which vest in three equal installments on each of</w:t>
      </w:r>
      <w:r>
        <w:rPr>
          <w:rFonts w:ascii="Arial" w:cs="Arial" w:eastAsia="Arial" w:hAnsi="Arial"/>
          <w:sz w:val="16"/>
          <w:szCs w:val="16"/>
          <w:b w:val="1"/>
          <w:bCs w:val="1"/>
          <w:color w:val="auto"/>
        </w:rPr>
        <w:t xml:space="preserve"> </w:t>
      </w:r>
      <w:r>
        <w:rPr>
          <w:rFonts w:ascii="Arial" w:cs="Arial" w:eastAsia="Arial" w:hAnsi="Arial"/>
          <w:sz w:val="16"/>
          <w:szCs w:val="16"/>
          <w:color w:val="auto"/>
        </w:rPr>
        <w:t>anniversary of the grant date, generally subject to Mr. Dumbrell’s continued employment through each such vesting date.</w:t>
      </w:r>
    </w:p>
    <w:p>
      <w:pPr>
        <w:spacing w:after="0" w:line="1" w:lineRule="exact"/>
        <w:rPr>
          <w:sz w:val="20"/>
          <w:szCs w:val="20"/>
          <w:color w:val="auto"/>
        </w:rPr>
      </w:pPr>
    </w:p>
    <w:p>
      <w:pPr>
        <w:ind w:left="1540" w:right="640" w:hanging="185"/>
        <w:spacing w:after="0" w:line="356" w:lineRule="auto"/>
        <w:tabs>
          <w:tab w:leader="none" w:pos="1524" w:val="left"/>
        </w:tabs>
        <w:numPr>
          <w:ilvl w:val="0"/>
          <w:numId w:val="63"/>
        </w:numPr>
        <w:rPr>
          <w:rFonts w:ascii="Arial" w:cs="Arial" w:eastAsia="Arial" w:hAnsi="Arial"/>
          <w:sz w:val="16"/>
          <w:szCs w:val="16"/>
          <w:b w:val="1"/>
          <w:bCs w:val="1"/>
          <w:color w:val="FF7F32"/>
        </w:rPr>
      </w:pPr>
      <w:r>
        <w:rPr>
          <w:rFonts w:ascii="Arial" w:cs="Arial" w:eastAsia="Arial" w:hAnsi="Arial"/>
          <w:sz w:val="16"/>
          <w:szCs w:val="16"/>
          <w:color w:val="auto"/>
        </w:rPr>
        <w:t>On September 20, 2024, Mr. Dumbrell was awarded a grant of 14,264 RSUs, which vest in three equal installments on each of anniversary of the grant date, generally subject to Mr. Dumbrell’s continued employment through each such vesting date.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FF7F32"/>
        </w:rPr>
        <w:t>Gaurav Singal</w:t>
      </w:r>
    </w:p>
    <w:p>
      <w:pPr>
        <w:spacing w:after="0" w:line="253" w:lineRule="exact"/>
        <w:rPr>
          <w:sz w:val="20"/>
          <w:szCs w:val="20"/>
          <w:color w:val="auto"/>
        </w:rPr>
      </w:pPr>
    </w:p>
    <w:p>
      <w:pPr>
        <w:ind w:left="420"/>
        <w:spacing w:after="0"/>
        <w:tabs>
          <w:tab w:leader="none" w:pos="1320" w:val="left"/>
        </w:tabs>
        <w:rPr>
          <w:sz w:val="20"/>
          <w:szCs w:val="20"/>
          <w:color w:val="auto"/>
        </w:rPr>
      </w:pPr>
      <w:r>
        <w:rPr>
          <w:rFonts w:ascii="Arial" w:cs="Arial" w:eastAsia="Arial" w:hAnsi="Arial"/>
          <w:sz w:val="14"/>
          <w:szCs w:val="14"/>
          <w:b w:val="1"/>
          <w:bCs w:val="1"/>
          <w:color w:val="404040"/>
        </w:rPr>
        <w:t>Year</w:t>
      </w:r>
      <w:r>
        <w:rPr>
          <w:sz w:val="20"/>
          <w:szCs w:val="20"/>
          <w:color w:val="auto"/>
        </w:rPr>
        <w:tab/>
      </w:r>
      <w:r>
        <w:rPr>
          <w:rFonts w:ascii="Arial" w:cs="Arial" w:eastAsia="Arial" w:hAnsi="Arial"/>
          <w:sz w:val="14"/>
          <w:szCs w:val="14"/>
          <w:b w:val="1"/>
          <w:bCs w:val="1"/>
          <w:color w:val="404040"/>
        </w:rPr>
        <w:t>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234886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32320" cy="2348865"/>
                    </a:xfrm>
                    <a:prstGeom prst="rect">
                      <a:avLst/>
                    </a:prstGeom>
                    <a:noFill/>
                  </pic:spPr>
                </pic:pic>
              </a:graphicData>
            </a:graphic>
          </wp:anchor>
        </w:drawing>
      </w:r>
    </w:p>
    <w:p>
      <w:pPr>
        <w:spacing w:after="0" w:line="192" w:lineRule="exact"/>
        <w:rPr>
          <w:sz w:val="20"/>
          <w:szCs w:val="20"/>
          <w:color w:val="auto"/>
        </w:rPr>
      </w:pPr>
    </w:p>
    <w:p>
      <w:pPr>
        <w:ind w:left="1360" w:right="200" w:hanging="1160"/>
        <w:spacing w:after="0" w:line="331" w:lineRule="auto"/>
        <w:tabs>
          <w:tab w:leader="none" w:pos="1340" w:val="left"/>
        </w:tabs>
        <w:rPr>
          <w:sz w:val="20"/>
          <w:szCs w:val="20"/>
          <w:color w:val="auto"/>
        </w:rPr>
      </w:pPr>
      <w:r>
        <w:rPr>
          <w:rFonts w:ascii="Arial" w:cs="Arial" w:eastAsia="Arial" w:hAnsi="Arial"/>
          <w:sz w:val="16"/>
          <w:szCs w:val="16"/>
          <w:b w:val="1"/>
          <w:bCs w:val="1"/>
          <w:color w:val="auto"/>
        </w:rPr>
        <w:t>2023</w:t>
      </w:r>
      <w:r>
        <w:rPr>
          <w:sz w:val="20"/>
          <w:szCs w:val="20"/>
          <w:color w:val="auto"/>
        </w:rPr>
        <w:tab/>
      </w:r>
      <w:r>
        <w:rPr>
          <w:rFonts w:ascii="Arial" w:cs="Arial" w:eastAsia="Arial" w:hAnsi="Arial"/>
          <w:sz w:val="16"/>
          <w:szCs w:val="16"/>
          <w:b w:val="1"/>
          <w:bCs w:val="1"/>
          <w:color w:val="FF7F32"/>
        </w:rPr>
        <w:t xml:space="preserve">• </w:t>
      </w:r>
      <w:r>
        <w:rPr>
          <w:rFonts w:ascii="Arial" w:cs="Arial" w:eastAsia="Arial" w:hAnsi="Arial"/>
          <w:sz w:val="16"/>
          <w:szCs w:val="16"/>
          <w:color w:val="000000"/>
        </w:rPr>
        <w:t>In connection with our hiring of Mr. Singal as our Chief Technology Officer, Mr. Singal was awarded an initial grant of 200,000 stock</w:t>
      </w:r>
      <w:r>
        <w:rPr>
          <w:rFonts w:ascii="Arial" w:cs="Arial" w:eastAsia="Arial" w:hAnsi="Arial"/>
          <w:sz w:val="16"/>
          <w:szCs w:val="16"/>
          <w:b w:val="1"/>
          <w:bCs w:val="1"/>
          <w:color w:val="FF7F32"/>
        </w:rPr>
        <w:t xml:space="preserve"> </w:t>
      </w:r>
      <w:r>
        <w:rPr>
          <w:rFonts w:ascii="Arial" w:cs="Arial" w:eastAsia="Arial" w:hAnsi="Arial"/>
          <w:sz w:val="16"/>
          <w:szCs w:val="16"/>
          <w:color w:val="000000"/>
        </w:rPr>
        <w:t>options on October 27, 2022 with an exercise price of $3.27 per share, which are eligible to vest as follows: eligible to vest in three equal annual installments on the first three anniversaries of the October 27, 2022 dates and in each case subject to Mr. Singal’s continued employment through the applicable vesting date. Mr. Singal resigned from the Company effective October 7, 2025, and as such will not receive the third installment of his annual vesting.</w:t>
      </w:r>
    </w:p>
    <w:p>
      <w:pPr>
        <w:spacing w:after="0" w:line="122" w:lineRule="exact"/>
        <w:rPr>
          <w:sz w:val="20"/>
          <w:szCs w:val="20"/>
          <w:color w:val="auto"/>
        </w:rPr>
      </w:pPr>
    </w:p>
    <w:p>
      <w:pPr>
        <w:jc w:val="both"/>
        <w:ind w:left="1360" w:right="300" w:hanging="1160"/>
        <w:spacing w:after="0" w:line="336" w:lineRule="auto"/>
        <w:tabs>
          <w:tab w:leader="none" w:pos="1340" w:val="left"/>
        </w:tabs>
        <w:rPr>
          <w:sz w:val="20"/>
          <w:szCs w:val="20"/>
          <w:color w:val="auto"/>
        </w:rPr>
      </w:pPr>
      <w:r>
        <w:rPr>
          <w:rFonts w:ascii="Arial" w:cs="Arial" w:eastAsia="Arial" w:hAnsi="Arial"/>
          <w:sz w:val="16"/>
          <w:szCs w:val="16"/>
          <w:b w:val="1"/>
          <w:bCs w:val="1"/>
          <w:color w:val="auto"/>
        </w:rPr>
        <w:t>2024</w:t>
      </w:r>
      <w:r>
        <w:rPr>
          <w:sz w:val="20"/>
          <w:szCs w:val="20"/>
          <w:color w:val="auto"/>
        </w:rPr>
        <w:tab/>
      </w:r>
      <w:r>
        <w:rPr>
          <w:rFonts w:ascii="Arial" w:cs="Arial" w:eastAsia="Arial" w:hAnsi="Arial"/>
          <w:sz w:val="16"/>
          <w:szCs w:val="16"/>
          <w:b w:val="1"/>
          <w:bCs w:val="1"/>
          <w:color w:val="FF7F32"/>
        </w:rPr>
        <w:t xml:space="preserve">• </w:t>
      </w:r>
      <w:r>
        <w:rPr>
          <w:rFonts w:ascii="Arial" w:cs="Arial" w:eastAsia="Arial" w:hAnsi="Arial"/>
          <w:sz w:val="16"/>
          <w:szCs w:val="16"/>
          <w:color w:val="000000"/>
        </w:rPr>
        <w:t>On August 4, 2023, Mr. Singal was awarded a grant of 15,355 RSUs, which vest in three equal installments on each of anniversary</w:t>
      </w:r>
      <w:r>
        <w:rPr>
          <w:rFonts w:ascii="Arial" w:cs="Arial" w:eastAsia="Arial" w:hAnsi="Arial"/>
          <w:sz w:val="16"/>
          <w:szCs w:val="16"/>
          <w:b w:val="1"/>
          <w:bCs w:val="1"/>
          <w:color w:val="FF7F32"/>
        </w:rPr>
        <w:t xml:space="preserve"> </w:t>
      </w:r>
      <w:r>
        <w:rPr>
          <w:rFonts w:ascii="Arial" w:cs="Arial" w:eastAsia="Arial" w:hAnsi="Arial"/>
          <w:sz w:val="16"/>
          <w:szCs w:val="16"/>
          <w:color w:val="000000"/>
        </w:rPr>
        <w:t>of the grant date, generally subject to Mr. Singal’s continued employment through each such vesting date. Mr. Singal resigned from the Company effective October 7, 2025, and as such will not receive the third installment of his annual vesting.</w:t>
      </w:r>
    </w:p>
    <w:p>
      <w:pPr>
        <w:spacing w:after="0" w:line="78" w:lineRule="exact"/>
        <w:rPr>
          <w:sz w:val="20"/>
          <w:szCs w:val="20"/>
          <w:color w:val="auto"/>
        </w:rPr>
      </w:pPr>
    </w:p>
    <w:p>
      <w:pPr>
        <w:ind w:left="1360" w:right="380" w:hanging="1160"/>
        <w:spacing w:after="0" w:line="330" w:lineRule="auto"/>
        <w:tabs>
          <w:tab w:leader="none" w:pos="1340" w:val="left"/>
        </w:tabs>
        <w:rPr>
          <w:sz w:val="20"/>
          <w:szCs w:val="20"/>
          <w:color w:val="auto"/>
        </w:rPr>
      </w:pPr>
      <w:r>
        <w:rPr>
          <w:rFonts w:ascii="Arial" w:cs="Arial" w:eastAsia="Arial" w:hAnsi="Arial"/>
          <w:sz w:val="16"/>
          <w:szCs w:val="16"/>
          <w:b w:val="1"/>
          <w:bCs w:val="1"/>
          <w:color w:val="auto"/>
        </w:rPr>
        <w:t>2025</w:t>
      </w:r>
      <w:r>
        <w:rPr>
          <w:sz w:val="20"/>
          <w:szCs w:val="20"/>
          <w:color w:val="auto"/>
        </w:rPr>
        <w:tab/>
      </w:r>
      <w:r>
        <w:rPr>
          <w:rFonts w:ascii="Arial" w:cs="Arial" w:eastAsia="Arial" w:hAnsi="Arial"/>
          <w:sz w:val="16"/>
          <w:szCs w:val="16"/>
          <w:b w:val="1"/>
          <w:bCs w:val="1"/>
          <w:color w:val="FF7F32"/>
        </w:rPr>
        <w:t xml:space="preserve">• </w:t>
      </w:r>
      <w:r>
        <w:rPr>
          <w:rFonts w:ascii="Arial" w:cs="Arial" w:eastAsia="Arial" w:hAnsi="Arial"/>
          <w:sz w:val="16"/>
          <w:szCs w:val="16"/>
          <w:color w:val="000000"/>
        </w:rPr>
        <w:t>On September 20, 2024, Mr. Singal was awarded a grant of 12,198 RSUs, which vest in three equal installments on each of</w:t>
      </w:r>
      <w:r>
        <w:rPr>
          <w:rFonts w:ascii="Arial" w:cs="Arial" w:eastAsia="Arial" w:hAnsi="Arial"/>
          <w:sz w:val="16"/>
          <w:szCs w:val="16"/>
          <w:b w:val="1"/>
          <w:bCs w:val="1"/>
          <w:color w:val="FF7F32"/>
        </w:rPr>
        <w:t xml:space="preserve"> </w:t>
      </w:r>
      <w:r>
        <w:rPr>
          <w:rFonts w:ascii="Arial" w:cs="Arial" w:eastAsia="Arial" w:hAnsi="Arial"/>
          <w:sz w:val="16"/>
          <w:szCs w:val="16"/>
          <w:color w:val="000000"/>
        </w:rPr>
        <w:t>anniversary of the grant date, generally subject to Mr. Singal’s continued employment through each such vesting date. Mr. Singal resigned from the Company effective October 7, 2025, and as such will not receive the second and third installments of his annual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369570</wp:posOffset>
            </wp:positionV>
            <wp:extent cx="925830" cy="26543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92583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auto"/>
        </w:rPr>
        <w:t>56</w:t>
      </w:r>
      <w:r>
        <w:rPr>
          <w:sz w:val="20"/>
          <w:szCs w:val="20"/>
          <w:color w:val="auto"/>
        </w:rPr>
        <w:tab/>
      </w:r>
      <w:r>
        <w:rPr>
          <w:rFonts w:ascii="Arial" w:cs="Arial" w:eastAsia="Arial" w:hAnsi="Arial"/>
          <w:sz w:val="12"/>
          <w:szCs w:val="12"/>
          <w:b w:val="1"/>
          <w:bCs w:val="1"/>
          <w:color w:val="FF7F32"/>
        </w:rPr>
        <w:t xml:space="preserve">2026 </w:t>
      </w:r>
      <w:r>
        <w:rPr>
          <w:rFonts w:ascii="Arial" w:cs="Arial" w:eastAsia="Arial" w:hAnsi="Arial"/>
          <w:sz w:val="12"/>
          <w:szCs w:val="12"/>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271145</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7" w:right="359" w:bottom="1440" w:gutter="0" w:footer="0" w:header="0"/>
        </w:sectPr>
      </w:pPr>
    </w:p>
    <w:bookmarkStart w:id="59" w:name="page60"/>
    <w:bookmarkEnd w:id="59"/>
    <w:p>
      <w:pPr>
        <w:spacing w:after="0"/>
        <w:rPr>
          <w:sz w:val="20"/>
          <w:szCs w:val="20"/>
          <w:color w:val="auto"/>
        </w:rPr>
      </w:pPr>
      <w:r>
        <w:rPr>
          <w:rFonts w:ascii="Arial" w:cs="Arial" w:eastAsia="Arial" w:hAnsi="Arial"/>
          <w:sz w:val="13"/>
          <w:szCs w:val="13"/>
          <w:color w:val="202945"/>
        </w:rPr>
        <w:t>Compensation Discussion &amp;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FF7F32"/>
        </w:rPr>
        <w:t>Anna Novoseletsky</w:t>
      </w:r>
    </w:p>
    <w:p>
      <w:pPr>
        <w:spacing w:after="0" w:line="145" w:lineRule="exact"/>
        <w:rPr>
          <w:sz w:val="20"/>
          <w:szCs w:val="20"/>
          <w:color w:val="auto"/>
        </w:rPr>
      </w:pPr>
    </w:p>
    <w:p>
      <w:pPr>
        <w:ind w:left="420"/>
        <w:spacing w:after="0"/>
        <w:tabs>
          <w:tab w:leader="none" w:pos="1320" w:val="left"/>
        </w:tabs>
        <w:rPr>
          <w:sz w:val="20"/>
          <w:szCs w:val="20"/>
          <w:color w:val="auto"/>
        </w:rPr>
      </w:pPr>
      <w:r>
        <w:rPr>
          <w:rFonts w:ascii="Arial" w:cs="Arial" w:eastAsia="Arial" w:hAnsi="Arial"/>
          <w:sz w:val="14"/>
          <w:szCs w:val="14"/>
          <w:b w:val="1"/>
          <w:bCs w:val="1"/>
          <w:color w:val="404040"/>
        </w:rPr>
        <w:t>Year</w:t>
      </w:r>
      <w:r>
        <w:rPr>
          <w:sz w:val="20"/>
          <w:szCs w:val="20"/>
          <w:color w:val="auto"/>
        </w:rPr>
        <w:tab/>
      </w:r>
      <w:r>
        <w:rPr>
          <w:rFonts w:ascii="Arial" w:cs="Arial" w:eastAsia="Arial" w:hAnsi="Arial"/>
          <w:sz w:val="14"/>
          <w:szCs w:val="14"/>
          <w:b w:val="1"/>
          <w:bCs w:val="1"/>
          <w:color w:val="404040"/>
        </w:rPr>
        <w:t>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49161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32320" cy="1491615"/>
                    </a:xfrm>
                    <a:prstGeom prst="rect">
                      <a:avLst/>
                    </a:prstGeom>
                    <a:noFill/>
                  </pic:spPr>
                </pic:pic>
              </a:graphicData>
            </a:graphic>
          </wp:anchor>
        </w:drawing>
      </w:r>
    </w:p>
    <w:p>
      <w:pPr>
        <w:spacing w:after="0" w:line="192" w:lineRule="exact"/>
        <w:rPr>
          <w:sz w:val="20"/>
          <w:szCs w:val="20"/>
          <w:color w:val="auto"/>
        </w:rPr>
      </w:pPr>
    </w:p>
    <w:p>
      <w:pPr>
        <w:ind w:left="1360" w:right="320" w:hanging="1160"/>
        <w:spacing w:after="0" w:line="330" w:lineRule="auto"/>
        <w:tabs>
          <w:tab w:leader="none" w:pos="1340" w:val="left"/>
        </w:tabs>
        <w:rPr>
          <w:sz w:val="20"/>
          <w:szCs w:val="20"/>
          <w:color w:val="auto"/>
        </w:rPr>
      </w:pPr>
      <w:r>
        <w:rPr>
          <w:rFonts w:ascii="Arial" w:cs="Arial" w:eastAsia="Arial" w:hAnsi="Arial"/>
          <w:sz w:val="16"/>
          <w:szCs w:val="16"/>
          <w:b w:val="1"/>
          <w:bCs w:val="1"/>
          <w:color w:val="auto"/>
        </w:rPr>
        <w:t>2024</w:t>
      </w:r>
      <w:r>
        <w:rPr>
          <w:sz w:val="20"/>
          <w:szCs w:val="20"/>
          <w:color w:val="auto"/>
        </w:rPr>
        <w:tab/>
      </w:r>
      <w:r>
        <w:rPr>
          <w:rFonts w:ascii="Arial" w:cs="Arial" w:eastAsia="Arial" w:hAnsi="Arial"/>
          <w:sz w:val="16"/>
          <w:szCs w:val="16"/>
          <w:b w:val="1"/>
          <w:bCs w:val="1"/>
          <w:color w:val="FF7F32"/>
        </w:rPr>
        <w:t xml:space="preserve">• </w:t>
      </w:r>
      <w:r>
        <w:rPr>
          <w:rFonts w:ascii="Arial" w:cs="Arial" w:eastAsia="Arial" w:hAnsi="Arial"/>
          <w:sz w:val="16"/>
          <w:szCs w:val="16"/>
          <w:color w:val="000000"/>
        </w:rPr>
        <w:t>In connection with our hiring of Ms. Novoseletsky as our Chief Legal and Compliance Officer, Ms. Novoseletsky was awarded an</w:t>
      </w:r>
      <w:r>
        <w:rPr>
          <w:rFonts w:ascii="Arial" w:cs="Arial" w:eastAsia="Arial" w:hAnsi="Arial"/>
          <w:sz w:val="16"/>
          <w:szCs w:val="16"/>
          <w:b w:val="1"/>
          <w:bCs w:val="1"/>
          <w:color w:val="FF7F32"/>
        </w:rPr>
        <w:t xml:space="preserve"> </w:t>
      </w:r>
      <w:r>
        <w:rPr>
          <w:rFonts w:ascii="Arial" w:cs="Arial" w:eastAsia="Arial" w:hAnsi="Arial"/>
          <w:sz w:val="16"/>
          <w:szCs w:val="16"/>
          <w:color w:val="000000"/>
        </w:rPr>
        <w:t>initial grant of 100,000 stock options on January 24, 2023, with an exercise price of $5.19 per share, which are eligible to vest as follows: eligible to vest in three equal annual installments on the first three anniversaries of the January 24, 2023 dates and in each case subject to Ms. Novoseletsky’s continued employment through the applicable vesting date.</w:t>
      </w:r>
    </w:p>
    <w:p>
      <w:pPr>
        <w:spacing w:after="0" w:line="41" w:lineRule="exact"/>
        <w:rPr>
          <w:sz w:val="20"/>
          <w:szCs w:val="20"/>
          <w:color w:val="auto"/>
        </w:rPr>
      </w:pPr>
    </w:p>
    <w:p>
      <w:pPr>
        <w:jc w:val="both"/>
        <w:ind w:left="1540" w:right="640" w:hanging="185"/>
        <w:spacing w:after="0" w:line="356" w:lineRule="auto"/>
        <w:tabs>
          <w:tab w:leader="none" w:pos="1524" w:val="left"/>
        </w:tabs>
        <w:numPr>
          <w:ilvl w:val="0"/>
          <w:numId w:val="64"/>
        </w:numPr>
        <w:rPr>
          <w:rFonts w:ascii="Arial" w:cs="Arial" w:eastAsia="Arial" w:hAnsi="Arial"/>
          <w:sz w:val="16"/>
          <w:szCs w:val="16"/>
          <w:b w:val="1"/>
          <w:bCs w:val="1"/>
          <w:color w:val="FF7F32"/>
        </w:rPr>
      </w:pPr>
      <w:r>
        <w:rPr>
          <w:rFonts w:ascii="Arial" w:cs="Arial" w:eastAsia="Arial" w:hAnsi="Arial"/>
          <w:sz w:val="16"/>
          <w:szCs w:val="16"/>
          <w:color w:val="auto"/>
        </w:rPr>
        <w:t>On August 4, 2023, Ms. Novoseletsky was awarded a grant of 14,258 RSUs, which vest in three equal installments on each of anniversary of the grant date, generally subject to Mrs. Novoseletsky’s continued employment through each such vesting date.</w:t>
      </w:r>
    </w:p>
    <w:p>
      <w:pPr>
        <w:spacing w:after="0" w:line="48" w:lineRule="exact"/>
        <w:rPr>
          <w:sz w:val="20"/>
          <w:szCs w:val="20"/>
          <w:color w:val="auto"/>
        </w:rPr>
      </w:pPr>
    </w:p>
    <w:p>
      <w:pPr>
        <w:ind w:left="1360" w:right="320" w:hanging="1160"/>
        <w:spacing w:after="0" w:line="356" w:lineRule="auto"/>
        <w:tabs>
          <w:tab w:leader="none" w:pos="1340" w:val="left"/>
        </w:tabs>
        <w:rPr>
          <w:sz w:val="20"/>
          <w:szCs w:val="20"/>
          <w:color w:val="auto"/>
        </w:rPr>
      </w:pPr>
      <w:r>
        <w:rPr>
          <w:rFonts w:ascii="Arial" w:cs="Arial" w:eastAsia="Arial" w:hAnsi="Arial"/>
          <w:sz w:val="16"/>
          <w:szCs w:val="16"/>
          <w:b w:val="1"/>
          <w:bCs w:val="1"/>
          <w:color w:val="auto"/>
        </w:rPr>
        <w:t>2025</w:t>
      </w:r>
      <w:r>
        <w:rPr>
          <w:sz w:val="20"/>
          <w:szCs w:val="20"/>
          <w:color w:val="auto"/>
        </w:rPr>
        <w:tab/>
      </w:r>
      <w:r>
        <w:rPr>
          <w:rFonts w:ascii="Arial" w:cs="Arial" w:eastAsia="Arial" w:hAnsi="Arial"/>
          <w:sz w:val="16"/>
          <w:szCs w:val="16"/>
          <w:b w:val="1"/>
          <w:bCs w:val="1"/>
          <w:color w:val="FF7F32"/>
        </w:rPr>
        <w:t xml:space="preserve">• </w:t>
      </w:r>
      <w:r>
        <w:rPr>
          <w:rFonts w:ascii="Arial" w:cs="Arial" w:eastAsia="Arial" w:hAnsi="Arial"/>
          <w:sz w:val="16"/>
          <w:szCs w:val="16"/>
          <w:color w:val="000000"/>
        </w:rPr>
        <w:t>On September 20, 2024, Ms. Novoseletsky was awarded a grant of 11,589 RSUs, which vest in three equal installments on each of</w:t>
      </w:r>
      <w:r>
        <w:rPr>
          <w:rFonts w:ascii="Arial" w:cs="Arial" w:eastAsia="Arial" w:hAnsi="Arial"/>
          <w:sz w:val="16"/>
          <w:szCs w:val="16"/>
          <w:b w:val="1"/>
          <w:bCs w:val="1"/>
          <w:color w:val="FF7F32"/>
        </w:rPr>
        <w:t xml:space="preserve"> </w:t>
      </w:r>
      <w:r>
        <w:rPr>
          <w:rFonts w:ascii="Arial" w:cs="Arial" w:eastAsia="Arial" w:hAnsi="Arial"/>
          <w:sz w:val="16"/>
          <w:szCs w:val="16"/>
          <w:color w:val="000000"/>
        </w:rPr>
        <w:t>anniversary of the grant date, generally subject to Ms. Novoseletsky’s continued employment through each such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245110</wp:posOffset>
            </wp:positionV>
            <wp:extent cx="925830" cy="26543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925830" cy="26543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b w:val="1"/>
                <w:bCs w:val="1"/>
                <w:color w:val="FF7F32"/>
              </w:rPr>
              <w:t xml:space="preserve">2026 </w:t>
            </w:r>
            <w:r>
              <w:rPr>
                <w:rFonts w:ascii="Arial" w:cs="Arial" w:eastAsia="Arial" w:hAnsi="Arial"/>
                <w:sz w:val="13"/>
                <w:szCs w:val="13"/>
                <w:color w:val="000000"/>
              </w:rPr>
              <w:t>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auto"/>
              </w:rPr>
              <w:t>57</w:t>
            </w:r>
          </w:p>
        </w:tc>
      </w:tr>
      <w:tr>
        <w:trPr>
          <w:trHeight w:val="420"/>
        </w:trPr>
        <w:tc>
          <w:tcPr>
            <w:tcW w:w="618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60" w:name="page61"/>
    <w:bookmarkEnd w:id="60"/>
    <w:p>
      <w:pPr>
        <w:spacing w:after="0"/>
        <w:rPr>
          <w:sz w:val="20"/>
          <w:szCs w:val="20"/>
          <w:color w:val="auto"/>
        </w:rPr>
      </w:pPr>
      <w:r>
        <w:rPr>
          <w:rFonts w:ascii="Arial" w:cs="Arial" w:eastAsia="Arial" w:hAnsi="Arial"/>
          <w:sz w:val="13"/>
          <w:szCs w:val="13"/>
          <w:color w:val="202945"/>
        </w:rPr>
        <w:t>Compensation Discussion &amp;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9"/>
          <w:szCs w:val="29"/>
          <w:b w:val="1"/>
          <w:bCs w:val="1"/>
          <w:color w:val="FF7F32"/>
        </w:rPr>
        <w:t>Executive Perquisites and Other Benefits</w:t>
      </w:r>
    </w:p>
    <w:p>
      <w:pPr>
        <w:spacing w:after="0" w:line="200" w:lineRule="exact"/>
        <w:rPr>
          <w:sz w:val="20"/>
          <w:szCs w:val="20"/>
          <w:color w:val="auto"/>
        </w:rPr>
      </w:pPr>
    </w:p>
    <w:p>
      <w:pPr>
        <w:ind w:right="320"/>
        <w:spacing w:after="0" w:line="356" w:lineRule="auto"/>
        <w:rPr>
          <w:sz w:val="20"/>
          <w:szCs w:val="20"/>
          <w:color w:val="auto"/>
        </w:rPr>
      </w:pPr>
      <w:r>
        <w:rPr>
          <w:rFonts w:ascii="Arial" w:cs="Arial" w:eastAsia="Arial" w:hAnsi="Arial"/>
          <w:sz w:val="16"/>
          <w:szCs w:val="16"/>
          <w:color w:val="auto"/>
        </w:rPr>
        <w:t>Perquisites do not make up a significant portion of NEO compensation. Our NEOs are generally entitled to participate in the health care coverage, group insurance, and other employee benefits (e.g., 401(k) plan) broadly available to our other employees.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32"/>
          <w:szCs w:val="32"/>
          <w:b w:val="1"/>
          <w:bCs w:val="1"/>
          <w:color w:val="202945"/>
        </w:rPr>
        <w:t>Executive Officer Employment Arrangements</w:t>
      </w:r>
    </w:p>
    <w:p>
      <w:pPr>
        <w:spacing w:after="0" w:line="269" w:lineRule="exact"/>
        <w:rPr>
          <w:sz w:val="20"/>
          <w:szCs w:val="20"/>
          <w:color w:val="auto"/>
        </w:rPr>
      </w:pPr>
    </w:p>
    <w:p>
      <w:pPr>
        <w:ind w:right="100"/>
        <w:spacing w:after="0" w:line="324" w:lineRule="auto"/>
        <w:rPr>
          <w:sz w:val="20"/>
          <w:szCs w:val="20"/>
          <w:color w:val="auto"/>
        </w:rPr>
      </w:pPr>
      <w:r>
        <w:rPr>
          <w:rFonts w:ascii="Arial" w:cs="Arial" w:eastAsia="Arial" w:hAnsi="Arial"/>
          <w:sz w:val="16"/>
          <w:szCs w:val="16"/>
          <w:color w:val="auto"/>
        </w:rPr>
        <w:t>Our NEOs are party to employment arrangements or offer letters with us. Certain of these arrangements provide our NEOs with severance protection in the case of a termination without “cause” or, in certain cases, a resignation for “good reason,” which in certain cases is enhanced if such termination occurs in connection with a “change of control.” The Compensation Committee believes that a market level of severance protection allows our NEOs to focus on performing their day-to-day tasks and enhancing value for our shareholders without fearing a loss of financial security as a result of a termination (or constructive termination). These employment arrangements are described in further detail below; for more information, please also see the “Summary Compensation Table” on page 65 and the discussion of “Potential Payments upon Termination or Change of Control” on page 65.</w:t>
      </w:r>
    </w:p>
    <w:p>
      <w:pPr>
        <w:spacing w:after="0" w:line="245" w:lineRule="exact"/>
        <w:rPr>
          <w:sz w:val="20"/>
          <w:szCs w:val="20"/>
          <w:color w:val="auto"/>
        </w:rPr>
      </w:pPr>
    </w:p>
    <w:p>
      <w:pPr>
        <w:spacing w:after="0"/>
        <w:rPr>
          <w:sz w:val="20"/>
          <w:szCs w:val="20"/>
          <w:color w:val="auto"/>
        </w:rPr>
      </w:pPr>
      <w:r>
        <w:rPr>
          <w:rFonts w:ascii="Arial" w:cs="Arial" w:eastAsia="Arial" w:hAnsi="Arial"/>
          <w:sz w:val="29"/>
          <w:szCs w:val="29"/>
          <w:b w:val="1"/>
          <w:bCs w:val="1"/>
          <w:color w:val="FF7F32"/>
        </w:rPr>
        <w:t>Venkatesan Employment Agreement</w:t>
      </w:r>
    </w:p>
    <w:p>
      <w:pPr>
        <w:spacing w:after="0" w:line="267" w:lineRule="exact"/>
        <w:rPr>
          <w:sz w:val="20"/>
          <w:szCs w:val="20"/>
          <w:color w:val="auto"/>
        </w:rPr>
      </w:pPr>
    </w:p>
    <w:p>
      <w:pPr>
        <w:ind w:right="40"/>
        <w:spacing w:after="0" w:line="326" w:lineRule="auto"/>
        <w:rPr>
          <w:sz w:val="20"/>
          <w:szCs w:val="20"/>
          <w:color w:val="auto"/>
        </w:rPr>
      </w:pPr>
      <w:r>
        <w:rPr>
          <w:rFonts w:ascii="Arial" w:cs="Arial" w:eastAsia="Arial" w:hAnsi="Arial"/>
          <w:sz w:val="16"/>
          <w:szCs w:val="16"/>
          <w:color w:val="auto"/>
        </w:rPr>
        <w:t>Mr. Venkatesan entered into an offer letter with us in connection with this appointment as Chief Executive Officer, amending in part the Original Venkatesan Employment Agreement, to be effective as of September 30, 2022 (the “Promotion Letter” and together with the Original Venkatesan Employment Agreement, the “Venkatesan Employment Agreement”). Pursuant to the Promotion Letter, Mr. Venkatesan’s initial annual base salary was set at $450,000, his annual incentive bonus target is 100% of his base salary, and beginning with the fiscal year ending June 30, 2023, his annual equity grant has a target of 50% of his base salary.</w:t>
      </w:r>
    </w:p>
    <w:p>
      <w:pPr>
        <w:spacing w:after="0" w:line="73" w:lineRule="exact"/>
        <w:rPr>
          <w:sz w:val="20"/>
          <w:szCs w:val="20"/>
          <w:color w:val="auto"/>
        </w:rPr>
      </w:pPr>
    </w:p>
    <w:p>
      <w:pPr>
        <w:jc w:val="both"/>
        <w:spacing w:after="0" w:line="316" w:lineRule="auto"/>
        <w:rPr>
          <w:sz w:val="20"/>
          <w:szCs w:val="20"/>
          <w:color w:val="auto"/>
        </w:rPr>
      </w:pPr>
      <w:r>
        <w:rPr>
          <w:rFonts w:ascii="Arial" w:cs="Arial" w:eastAsia="Arial" w:hAnsi="Arial"/>
          <w:sz w:val="16"/>
          <w:szCs w:val="16"/>
          <w:color w:val="auto"/>
        </w:rPr>
        <w:t>If Mr. Venkatesan is terminated by us without “cause,” or resigns his employment for “good reason,” then, subject to his execution of a release of claims and continued compliance with the covenants in his employment agreement, Mr. Venkatesan is eligible to receive a severance package consisting of 6 months of continued base salary and up to a 6-month COBRA subsidy. However, if such termination occurs within 24 months following a “change of control,” then Mr.</w:t>
      </w:r>
    </w:p>
    <w:p>
      <w:pPr>
        <w:spacing w:after="0" w:line="2" w:lineRule="exact"/>
        <w:rPr>
          <w:sz w:val="20"/>
          <w:szCs w:val="20"/>
          <w:color w:val="auto"/>
        </w:rPr>
      </w:pPr>
    </w:p>
    <w:p>
      <w:pPr>
        <w:ind w:right="20"/>
        <w:spacing w:after="0" w:line="331" w:lineRule="auto"/>
        <w:rPr>
          <w:sz w:val="20"/>
          <w:szCs w:val="20"/>
          <w:color w:val="auto"/>
        </w:rPr>
      </w:pPr>
      <w:r>
        <w:rPr>
          <w:rFonts w:ascii="Arial" w:cs="Arial" w:eastAsia="Arial" w:hAnsi="Arial"/>
          <w:sz w:val="16"/>
          <w:szCs w:val="16"/>
          <w:color w:val="auto"/>
        </w:rPr>
        <w:t>Venkatesan will instead be provided a lump sum payment equal to his base salary plus last annual bonus paid in the fiscal year completed prior to such termination. Under the Venkatesan Employment Agreement, if Mr. Venkatesan becomes entitled to receive payments or benefits that would be subject to the excise tax under Section 4999 of the Internal Revenue Code of 1986, as amended, the payments and benefits would be reduced such that the excise tax does not apply, unless Mr. Venkatesan would be better off on an after-tax basis receiving all of the payments and benefits and paying the applicable excise tax.</w:t>
      </w:r>
    </w:p>
    <w:p>
      <w:pPr>
        <w:spacing w:after="0" w:line="68" w:lineRule="exact"/>
        <w:rPr>
          <w:sz w:val="20"/>
          <w:szCs w:val="20"/>
          <w:color w:val="auto"/>
        </w:rPr>
      </w:pPr>
    </w:p>
    <w:p>
      <w:pPr>
        <w:jc w:val="both"/>
        <w:ind w:right="180"/>
        <w:spacing w:after="0" w:line="336" w:lineRule="auto"/>
        <w:rPr>
          <w:sz w:val="20"/>
          <w:szCs w:val="20"/>
          <w:color w:val="auto"/>
        </w:rPr>
      </w:pPr>
      <w:r>
        <w:rPr>
          <w:rFonts w:ascii="Arial" w:cs="Arial" w:eastAsia="Arial" w:hAnsi="Arial"/>
          <w:sz w:val="16"/>
          <w:szCs w:val="16"/>
          <w:color w:val="auto"/>
        </w:rPr>
        <w:t>The Venkatesan Employment Agreement contains customary restrictive covenants, including perpetual confidentiality, non-disparagement, and intellectual property covenants, as a well as a non-compete, non-solicit of customers and suppliers, and non-solicit of employees (including a no-hire) that each apply during employment and for two years following any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529590</wp:posOffset>
            </wp:positionV>
            <wp:extent cx="925830" cy="26543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92583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auto"/>
        </w:rPr>
        <w:t>58</w:t>
      </w:r>
      <w:r>
        <w:rPr>
          <w:sz w:val="20"/>
          <w:szCs w:val="20"/>
          <w:color w:val="auto"/>
        </w:rPr>
        <w:tab/>
      </w:r>
      <w:r>
        <w:rPr>
          <w:rFonts w:ascii="Arial" w:cs="Arial" w:eastAsia="Arial" w:hAnsi="Arial"/>
          <w:sz w:val="12"/>
          <w:szCs w:val="12"/>
          <w:b w:val="1"/>
          <w:bCs w:val="1"/>
          <w:color w:val="FF7F32"/>
        </w:rPr>
        <w:t xml:space="preserve">2026 </w:t>
      </w:r>
      <w:r>
        <w:rPr>
          <w:rFonts w:ascii="Arial" w:cs="Arial" w:eastAsia="Arial" w:hAnsi="Arial"/>
          <w:sz w:val="12"/>
          <w:szCs w:val="12"/>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7" w:right="359" w:bottom="1440" w:gutter="0" w:footer="0" w:header="0"/>
        </w:sectPr>
      </w:pPr>
    </w:p>
    <w:bookmarkStart w:id="61" w:name="page62"/>
    <w:bookmarkEnd w:id="61"/>
    <w:p>
      <w:pPr>
        <w:spacing w:after="0"/>
        <w:rPr>
          <w:sz w:val="20"/>
          <w:szCs w:val="20"/>
          <w:color w:val="auto"/>
        </w:rPr>
      </w:pPr>
      <w:r>
        <w:rPr>
          <w:rFonts w:ascii="Arial" w:cs="Arial" w:eastAsia="Arial" w:hAnsi="Arial"/>
          <w:sz w:val="13"/>
          <w:szCs w:val="13"/>
          <w:color w:val="202945"/>
        </w:rPr>
        <w:t>Compensation Discussion &amp;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9"/>
          <w:szCs w:val="29"/>
          <w:b w:val="1"/>
          <w:bCs w:val="1"/>
          <w:color w:val="FF7F32"/>
        </w:rPr>
        <w:t>Stewart Offer Letter</w:t>
      </w:r>
    </w:p>
    <w:p>
      <w:pPr>
        <w:spacing w:after="0" w:line="267" w:lineRule="exact"/>
        <w:rPr>
          <w:sz w:val="20"/>
          <w:szCs w:val="20"/>
          <w:color w:val="auto"/>
        </w:rPr>
      </w:pPr>
    </w:p>
    <w:p>
      <w:pPr>
        <w:ind w:right="160"/>
        <w:spacing w:after="0" w:line="330" w:lineRule="auto"/>
        <w:rPr>
          <w:sz w:val="20"/>
          <w:szCs w:val="20"/>
          <w:color w:val="auto"/>
        </w:rPr>
      </w:pPr>
      <w:r>
        <w:rPr>
          <w:rFonts w:ascii="Arial" w:cs="Arial" w:eastAsia="Arial" w:hAnsi="Arial"/>
          <w:sz w:val="16"/>
          <w:szCs w:val="16"/>
          <w:color w:val="auto"/>
        </w:rPr>
        <w:t>Mr. Stewart entered into an offer letter with us in connection with his appointment as our Chief Accounting Officer effective as of September 15, 2020. In connection with his appointment as our Chief Financial Officer, the Company entered into an employment agreement with Mr. Stewart effective February 4, 2022 pursuant to which he will receive an initial annual base salary of $360,000 and be eligible to earn an annual incentive bonus with a target opportunity equal to 50% of his base salary pursuant to the terms of the Company’s annual incentive plan.</w:t>
      </w:r>
    </w:p>
    <w:p>
      <w:pPr>
        <w:spacing w:after="0" w:line="68" w:lineRule="exact"/>
        <w:rPr>
          <w:sz w:val="20"/>
          <w:szCs w:val="20"/>
          <w:color w:val="auto"/>
        </w:rPr>
      </w:pPr>
    </w:p>
    <w:p>
      <w:pPr>
        <w:ind w:right="60"/>
        <w:spacing w:after="0" w:line="326" w:lineRule="auto"/>
        <w:rPr>
          <w:sz w:val="20"/>
          <w:szCs w:val="20"/>
          <w:color w:val="auto"/>
        </w:rPr>
      </w:pPr>
      <w:r>
        <w:rPr>
          <w:rFonts w:ascii="Arial" w:cs="Arial" w:eastAsia="Arial" w:hAnsi="Arial"/>
          <w:sz w:val="16"/>
          <w:szCs w:val="16"/>
          <w:color w:val="auto"/>
        </w:rPr>
        <w:t>If Mr. Stewart is terminated by us without “cause,” or resigns his employment for “good reason,” then, subject to his execution of a release of claims and continued compliance with the covenants in his employment agreement, Mr. Stewart is eligible to receive a severance package consisting of 6 months of continued base salary and up to a 6-month COBRA subsidy. However, if such termination occurs within 24 months following a “change of control,” then Mr. Stewart will instead be provided a lump sum payment equal to his base salary plus last annual bonus paid in the fiscal year completed prior to such termination. Under Mr. Stewart’s employment agreement, if Mr. Stewart becomes entitled to receive payments or benefits that would be subject to the excise tax under Section 4999 of the Internal Revenue Code of 1986, as amended, the payments and benefits would be reduced such that the excise tax does not apply, unless Mr. Stewart would be better off on an after-tax basis receiving all of the payments and benefits and paying the applicable excise tax.</w:t>
      </w:r>
    </w:p>
    <w:p>
      <w:pPr>
        <w:spacing w:after="0" w:line="73" w:lineRule="exact"/>
        <w:rPr>
          <w:sz w:val="20"/>
          <w:szCs w:val="20"/>
          <w:color w:val="auto"/>
        </w:rPr>
      </w:pPr>
    </w:p>
    <w:p>
      <w:pPr>
        <w:ind w:right="220"/>
        <w:spacing w:after="0" w:line="336" w:lineRule="auto"/>
        <w:rPr>
          <w:sz w:val="20"/>
          <w:szCs w:val="20"/>
          <w:color w:val="auto"/>
        </w:rPr>
      </w:pPr>
      <w:r>
        <w:rPr>
          <w:rFonts w:ascii="Arial" w:cs="Arial" w:eastAsia="Arial" w:hAnsi="Arial"/>
          <w:sz w:val="16"/>
          <w:szCs w:val="16"/>
          <w:color w:val="auto"/>
        </w:rPr>
        <w:t>Mr. Stewart’s employment agreement contains customary restrictive covenants, including perpetual confidentiality, non-disparagement, and intellectual property covenants, as a well as a non-compete, non-solicit of customers and suppliers, and non-solicit of employees (including a no-hire) that each apply during employment and for two years following any termination.</w:t>
      </w:r>
    </w:p>
    <w:p>
      <w:pPr>
        <w:spacing w:after="0" w:line="233" w:lineRule="exact"/>
        <w:rPr>
          <w:sz w:val="20"/>
          <w:szCs w:val="20"/>
          <w:color w:val="auto"/>
        </w:rPr>
      </w:pPr>
    </w:p>
    <w:p>
      <w:pPr>
        <w:spacing w:after="0"/>
        <w:rPr>
          <w:sz w:val="20"/>
          <w:szCs w:val="20"/>
          <w:color w:val="auto"/>
        </w:rPr>
      </w:pPr>
      <w:r>
        <w:rPr>
          <w:rFonts w:ascii="Arial" w:cs="Arial" w:eastAsia="Arial" w:hAnsi="Arial"/>
          <w:sz w:val="29"/>
          <w:szCs w:val="29"/>
          <w:b w:val="1"/>
          <w:bCs w:val="1"/>
          <w:color w:val="FF7F32"/>
        </w:rPr>
        <w:t>Dumbrell Offer Letter</w:t>
      </w:r>
    </w:p>
    <w:p>
      <w:pPr>
        <w:spacing w:after="0" w:line="267" w:lineRule="exact"/>
        <w:rPr>
          <w:sz w:val="20"/>
          <w:szCs w:val="20"/>
          <w:color w:val="auto"/>
        </w:rPr>
      </w:pPr>
    </w:p>
    <w:p>
      <w:pPr>
        <w:ind w:right="40"/>
        <w:spacing w:after="0" w:line="336" w:lineRule="auto"/>
        <w:rPr>
          <w:sz w:val="20"/>
          <w:szCs w:val="20"/>
          <w:color w:val="auto"/>
        </w:rPr>
      </w:pPr>
      <w:r>
        <w:rPr>
          <w:rFonts w:ascii="Arial" w:cs="Arial" w:eastAsia="Arial" w:hAnsi="Arial"/>
          <w:sz w:val="16"/>
          <w:szCs w:val="16"/>
          <w:color w:val="auto"/>
        </w:rPr>
        <w:t>Mr. Dumbrell entered into an offer letter with us in connection with his appointment as our Chief Revenue Officer effective as of December 22, 2021 pursuant to which he will receive an initial annual base salary of $360,000 and be eligible to earn an annual incentive bonus with a target opportunity equal to 50% of his base salary pursuant to the terms of the Company’s annual incentive plan.</w:t>
      </w:r>
    </w:p>
    <w:p>
      <w:pPr>
        <w:spacing w:after="0" w:line="64" w:lineRule="exact"/>
        <w:rPr>
          <w:sz w:val="20"/>
          <w:szCs w:val="20"/>
          <w:color w:val="auto"/>
        </w:rPr>
      </w:pPr>
    </w:p>
    <w:p>
      <w:pPr>
        <w:ind w:right="280"/>
        <w:spacing w:after="0" w:line="356" w:lineRule="auto"/>
        <w:rPr>
          <w:sz w:val="20"/>
          <w:szCs w:val="20"/>
          <w:color w:val="auto"/>
        </w:rPr>
      </w:pPr>
      <w:r>
        <w:rPr>
          <w:rFonts w:ascii="Arial" w:cs="Arial" w:eastAsia="Arial" w:hAnsi="Arial"/>
          <w:sz w:val="16"/>
          <w:szCs w:val="16"/>
          <w:color w:val="auto"/>
        </w:rPr>
        <w:t>If Mr. Dumbrell is terminated by us without “cause,” and subject to his execution of a general release of claims and separation agreement, Mr. Dumbrell is eligible to receive a severance package consisting of 6 months of continued base salary.</w:t>
      </w:r>
    </w:p>
    <w:p>
      <w:pPr>
        <w:spacing w:after="0" w:line="48" w:lineRule="exact"/>
        <w:rPr>
          <w:sz w:val="20"/>
          <w:szCs w:val="20"/>
          <w:color w:val="auto"/>
        </w:rPr>
      </w:pPr>
    </w:p>
    <w:p>
      <w:pPr>
        <w:ind w:right="160"/>
        <w:spacing w:after="0" w:line="345" w:lineRule="auto"/>
        <w:rPr>
          <w:sz w:val="20"/>
          <w:szCs w:val="20"/>
          <w:color w:val="auto"/>
        </w:rPr>
      </w:pPr>
      <w:r>
        <w:rPr>
          <w:rFonts w:ascii="Arial" w:cs="Arial" w:eastAsia="Arial" w:hAnsi="Arial"/>
          <w:sz w:val="16"/>
          <w:szCs w:val="16"/>
          <w:color w:val="auto"/>
        </w:rPr>
        <w:t>Mr. Dumbrell’s offer letter contains customary restrictive covenants, including perpetual confidentiality, non-disparagement, and intellectual property covenants, as a well as a non-solicit of customers and suppliers, and non-solicit of employees (including a no-hire) that each apply during employment and during any severance period following any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516890</wp:posOffset>
            </wp:positionV>
            <wp:extent cx="925830" cy="26543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92583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b w:val="1"/>
                <w:bCs w:val="1"/>
                <w:color w:val="FF7F32"/>
              </w:rPr>
              <w:t xml:space="preserve">2026 </w:t>
            </w:r>
            <w:r>
              <w:rPr>
                <w:rFonts w:ascii="Arial" w:cs="Arial" w:eastAsia="Arial" w:hAnsi="Arial"/>
                <w:sz w:val="13"/>
                <w:szCs w:val="13"/>
                <w:color w:val="000000"/>
              </w:rPr>
              <w:t>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auto"/>
              </w:rPr>
              <w:t>59</w:t>
            </w:r>
          </w:p>
        </w:tc>
      </w:tr>
      <w:tr>
        <w:trPr>
          <w:trHeight w:val="433"/>
        </w:trPr>
        <w:tc>
          <w:tcPr>
            <w:tcW w:w="618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62" w:name="page63"/>
    <w:bookmarkEnd w:id="62"/>
    <w:p>
      <w:pPr>
        <w:spacing w:after="0"/>
        <w:rPr>
          <w:sz w:val="20"/>
          <w:szCs w:val="20"/>
          <w:color w:val="auto"/>
        </w:rPr>
      </w:pPr>
      <w:r>
        <w:rPr>
          <w:rFonts w:ascii="Arial" w:cs="Arial" w:eastAsia="Arial" w:hAnsi="Arial"/>
          <w:sz w:val="13"/>
          <w:szCs w:val="13"/>
          <w:color w:val="202945"/>
        </w:rPr>
        <w:t>Compensation Discussion &amp;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9"/>
          <w:szCs w:val="29"/>
          <w:b w:val="1"/>
          <w:bCs w:val="1"/>
          <w:color w:val="FF7F32"/>
        </w:rPr>
        <w:t>Singal Offer Letter</w:t>
      </w:r>
    </w:p>
    <w:p>
      <w:pPr>
        <w:spacing w:after="0" w:line="267" w:lineRule="exact"/>
        <w:rPr>
          <w:sz w:val="20"/>
          <w:szCs w:val="20"/>
          <w:color w:val="auto"/>
        </w:rPr>
      </w:pPr>
    </w:p>
    <w:p>
      <w:pPr>
        <w:jc w:val="both"/>
        <w:ind w:right="40"/>
        <w:spacing w:after="0" w:line="345" w:lineRule="auto"/>
        <w:rPr>
          <w:sz w:val="20"/>
          <w:szCs w:val="20"/>
          <w:color w:val="auto"/>
        </w:rPr>
      </w:pPr>
      <w:r>
        <w:rPr>
          <w:rFonts w:ascii="Arial" w:cs="Arial" w:eastAsia="Arial" w:hAnsi="Arial"/>
          <w:sz w:val="16"/>
          <w:szCs w:val="16"/>
          <w:color w:val="auto"/>
        </w:rPr>
        <w:t>Mr. Singal entered into an offer letter with us in connection with his appointment as our Chief Technology Officer effective as of October 27, 2022 pursuant to which he will receive an initial annual base salary of $350,000 and be eligible to earn an annual incentive bonus with a target opportunity equal to 50% of his base salary pursuant to the terms of the Company’s annual incentive plan, and pro-rated from the effective date through the end of the fiscal year 2023.</w:t>
      </w:r>
    </w:p>
    <w:p>
      <w:pPr>
        <w:spacing w:after="0" w:line="57" w:lineRule="exact"/>
        <w:rPr>
          <w:sz w:val="20"/>
          <w:szCs w:val="20"/>
          <w:color w:val="auto"/>
        </w:rPr>
      </w:pPr>
    </w:p>
    <w:p>
      <w:pPr>
        <w:jc w:val="both"/>
        <w:ind w:right="240"/>
        <w:spacing w:after="0" w:line="336" w:lineRule="auto"/>
        <w:rPr>
          <w:sz w:val="20"/>
          <w:szCs w:val="20"/>
          <w:color w:val="auto"/>
        </w:rPr>
      </w:pPr>
      <w:r>
        <w:rPr>
          <w:rFonts w:ascii="Arial" w:cs="Arial" w:eastAsia="Arial" w:hAnsi="Arial"/>
          <w:sz w:val="16"/>
          <w:szCs w:val="16"/>
          <w:color w:val="auto"/>
        </w:rPr>
        <w:t>Pursuant to the terms of Mr. Singal’s employment agreement, if Mr. Singal was terminated by us without “cause,” and subject to his execution of a general release of claims and separation agreement, Mr. Singal would be eligible to receive a severance package consisting of 6 months of continued base salary over a six month period in accordance with CTLP’s regular employee practices and would be subject to standard and customary payroll deductions.</w:t>
      </w:r>
    </w:p>
    <w:p>
      <w:pPr>
        <w:spacing w:after="0" w:line="64" w:lineRule="exact"/>
        <w:rPr>
          <w:sz w:val="20"/>
          <w:szCs w:val="20"/>
          <w:color w:val="auto"/>
        </w:rPr>
      </w:pPr>
    </w:p>
    <w:p>
      <w:pPr>
        <w:ind w:right="280"/>
        <w:spacing w:after="0" w:line="356" w:lineRule="auto"/>
        <w:rPr>
          <w:sz w:val="20"/>
          <w:szCs w:val="20"/>
          <w:color w:val="auto"/>
        </w:rPr>
      </w:pPr>
      <w:r>
        <w:rPr>
          <w:rFonts w:ascii="Arial" w:cs="Arial" w:eastAsia="Arial" w:hAnsi="Arial"/>
          <w:sz w:val="16"/>
          <w:szCs w:val="16"/>
          <w:color w:val="auto"/>
        </w:rPr>
        <w:t>Mr. Singal resigned from the Company following the end of the Company’s fiscal year, effective as of October 7, 2025. Mr. Singal was ineligible to receive any severance payments in connection with his resignation.</w:t>
      </w:r>
    </w:p>
    <w:p>
      <w:pPr>
        <w:spacing w:after="0" w:line="55" w:lineRule="exact"/>
        <w:rPr>
          <w:sz w:val="20"/>
          <w:szCs w:val="20"/>
          <w:color w:val="auto"/>
        </w:rPr>
      </w:pPr>
    </w:p>
    <w:p>
      <w:pPr>
        <w:spacing w:after="0"/>
        <w:rPr>
          <w:sz w:val="20"/>
          <w:szCs w:val="20"/>
          <w:color w:val="auto"/>
        </w:rPr>
      </w:pPr>
      <w:r>
        <w:rPr>
          <w:rFonts w:ascii="Arial" w:cs="Arial" w:eastAsia="Arial" w:hAnsi="Arial"/>
          <w:sz w:val="29"/>
          <w:szCs w:val="29"/>
          <w:b w:val="1"/>
          <w:bCs w:val="1"/>
          <w:color w:val="FF7F32"/>
        </w:rPr>
        <w:t>Novoseletsky Offer Letter</w:t>
      </w:r>
    </w:p>
    <w:p>
      <w:pPr>
        <w:spacing w:after="0" w:line="200" w:lineRule="exact"/>
        <w:rPr>
          <w:sz w:val="20"/>
          <w:szCs w:val="20"/>
          <w:color w:val="auto"/>
        </w:rPr>
      </w:pPr>
    </w:p>
    <w:p>
      <w:pPr>
        <w:ind w:right="80"/>
        <w:spacing w:after="0" w:line="336" w:lineRule="auto"/>
        <w:rPr>
          <w:sz w:val="20"/>
          <w:szCs w:val="20"/>
          <w:color w:val="auto"/>
        </w:rPr>
      </w:pPr>
      <w:r>
        <w:rPr>
          <w:rFonts w:ascii="Arial" w:cs="Arial" w:eastAsia="Arial" w:hAnsi="Arial"/>
          <w:sz w:val="16"/>
          <w:szCs w:val="16"/>
          <w:color w:val="auto"/>
        </w:rPr>
        <w:t>Ms. Novoseletsky entered into an offer letter with us in connection with her appointment as our Chief Legal and Compliance Officer effective as of January 17, 2023 pursuant to which she will receive an initial annual base salary of $325,000 and be eligible to earn an annual incentive bonus with a target opportunity equal to 50% of her base salary pursuant to the terms of the Company’s annual incentive plan, and pro-rated from the effective date through the end of the fiscal year 2023.</w:t>
      </w:r>
    </w:p>
    <w:p>
      <w:pPr>
        <w:spacing w:after="0" w:line="63" w:lineRule="exact"/>
        <w:rPr>
          <w:sz w:val="20"/>
          <w:szCs w:val="20"/>
          <w:color w:val="auto"/>
        </w:rPr>
      </w:pPr>
    </w:p>
    <w:p>
      <w:pPr>
        <w:ind w:right="80"/>
        <w:spacing w:after="0" w:line="336" w:lineRule="auto"/>
        <w:rPr>
          <w:sz w:val="20"/>
          <w:szCs w:val="20"/>
          <w:color w:val="auto"/>
        </w:rPr>
      </w:pPr>
      <w:r>
        <w:rPr>
          <w:rFonts w:ascii="Arial" w:cs="Arial" w:eastAsia="Arial" w:hAnsi="Arial"/>
          <w:sz w:val="16"/>
          <w:szCs w:val="16"/>
          <w:color w:val="auto"/>
        </w:rPr>
        <w:t>If Ms. Novoseletsky is terminated by us without “cause,” and subject to her execution of a general release of claims and separation agreement, Ms. Novoseletsky is eligible to receive a severance package consisting of 6 months of continued base salary over a six month period in accordance with CTLP’s regular employee practices and would be subject to standard and customary payroll deductions.</w:t>
      </w:r>
    </w:p>
    <w:p>
      <w:pPr>
        <w:spacing w:after="0" w:line="278" w:lineRule="exact"/>
        <w:rPr>
          <w:sz w:val="20"/>
          <w:szCs w:val="20"/>
          <w:color w:val="auto"/>
        </w:rPr>
      </w:pPr>
    </w:p>
    <w:p>
      <w:pPr>
        <w:spacing w:after="0"/>
        <w:rPr>
          <w:sz w:val="20"/>
          <w:szCs w:val="20"/>
          <w:color w:val="auto"/>
        </w:rPr>
      </w:pPr>
      <w:r>
        <w:rPr>
          <w:rFonts w:ascii="Arial" w:cs="Arial" w:eastAsia="Arial" w:hAnsi="Arial"/>
          <w:sz w:val="32"/>
          <w:szCs w:val="32"/>
          <w:b w:val="1"/>
          <w:bCs w:val="1"/>
          <w:color w:val="202945"/>
        </w:rPr>
        <w:t>Compensation Policies and Practices</w:t>
      </w:r>
    </w:p>
    <w:p>
      <w:pPr>
        <w:spacing w:after="0" w:line="357" w:lineRule="exact"/>
        <w:rPr>
          <w:sz w:val="20"/>
          <w:szCs w:val="20"/>
          <w:color w:val="auto"/>
        </w:rPr>
      </w:pPr>
    </w:p>
    <w:p>
      <w:pPr>
        <w:spacing w:after="0"/>
        <w:rPr>
          <w:sz w:val="20"/>
          <w:szCs w:val="20"/>
          <w:color w:val="auto"/>
        </w:rPr>
      </w:pPr>
      <w:r>
        <w:rPr>
          <w:rFonts w:ascii="Arial" w:cs="Arial" w:eastAsia="Arial" w:hAnsi="Arial"/>
          <w:sz w:val="29"/>
          <w:szCs w:val="29"/>
          <w:b w:val="1"/>
          <w:bCs w:val="1"/>
          <w:color w:val="FF7F32"/>
        </w:rPr>
        <w:t>Stock Ownership Guidelines</w:t>
      </w:r>
    </w:p>
    <w:p>
      <w:pPr>
        <w:spacing w:after="0" w:line="267" w:lineRule="exact"/>
        <w:rPr>
          <w:sz w:val="20"/>
          <w:szCs w:val="20"/>
          <w:color w:val="auto"/>
        </w:rPr>
      </w:pPr>
    </w:p>
    <w:p>
      <w:pPr>
        <w:spacing w:after="0" w:line="324" w:lineRule="auto"/>
        <w:rPr>
          <w:sz w:val="20"/>
          <w:szCs w:val="20"/>
          <w:color w:val="auto"/>
        </w:rPr>
      </w:pPr>
      <w:r>
        <w:rPr>
          <w:rFonts w:ascii="Arial" w:cs="Arial" w:eastAsia="Arial" w:hAnsi="Arial"/>
          <w:sz w:val="16"/>
          <w:szCs w:val="16"/>
          <w:color w:val="auto"/>
        </w:rPr>
        <w:t>As described above, the Compensation Committee believes that equity ownership in the Company by our executive officers is essential to increasing shareholder alignment. The Company’s Stock Ownership Guidelines support this belief by providing that the Chief Executive Officer is required to hold Common Stock with a value equal to a multiple of three times his base salary and our Chief Financial Officer and other executive officers are required to hold Common Stock with a value equal to his or her base salary. Each executive officer has five years to satisfy the applicable guideline following his or her appointment as an executive officer. As of the date hereof, each of our NEOs who remain employed with us are in compliance with the policy or are in the grace period for compliance.</w:t>
      </w:r>
    </w:p>
    <w:p>
      <w:pPr>
        <w:spacing w:after="0" w:line="76" w:lineRule="exact"/>
        <w:rPr>
          <w:sz w:val="20"/>
          <w:szCs w:val="20"/>
          <w:color w:val="auto"/>
        </w:rPr>
      </w:pPr>
    </w:p>
    <w:p>
      <w:pPr>
        <w:jc w:val="both"/>
        <w:ind w:right="380"/>
        <w:spacing w:after="0" w:line="345" w:lineRule="auto"/>
        <w:rPr>
          <w:sz w:val="20"/>
          <w:szCs w:val="20"/>
          <w:color w:val="auto"/>
        </w:rPr>
      </w:pPr>
      <w:r>
        <w:rPr>
          <w:rFonts w:ascii="Arial" w:cs="Arial" w:eastAsia="Arial" w:hAnsi="Arial"/>
          <w:sz w:val="16"/>
          <w:szCs w:val="16"/>
          <w:color w:val="auto"/>
        </w:rPr>
        <w:t>For purposes of these guidelines, “shares” include shares owned by the executive officer or by such person’s immediate family members residing in the same household (including shares held in trust for the benefit of the foregoing), and include unvested restricted stock awards (but not unexercised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516890</wp:posOffset>
            </wp:positionV>
            <wp:extent cx="925830" cy="26543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92583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auto"/>
        </w:rPr>
        <w:t>60</w:t>
      </w:r>
      <w:r>
        <w:rPr>
          <w:sz w:val="20"/>
          <w:szCs w:val="20"/>
          <w:color w:val="auto"/>
        </w:rPr>
        <w:tab/>
      </w:r>
      <w:r>
        <w:rPr>
          <w:rFonts w:ascii="Arial" w:cs="Arial" w:eastAsia="Arial" w:hAnsi="Arial"/>
          <w:sz w:val="12"/>
          <w:szCs w:val="12"/>
          <w:b w:val="1"/>
          <w:bCs w:val="1"/>
          <w:color w:val="FF7F32"/>
        </w:rPr>
        <w:t xml:space="preserve">2026 </w:t>
      </w:r>
      <w:r>
        <w:rPr>
          <w:rFonts w:ascii="Arial" w:cs="Arial" w:eastAsia="Arial" w:hAnsi="Arial"/>
          <w:sz w:val="12"/>
          <w:szCs w:val="12"/>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63" w:name="page64"/>
    <w:bookmarkEnd w:id="63"/>
    <w:p>
      <w:pPr>
        <w:spacing w:after="0"/>
        <w:rPr>
          <w:sz w:val="20"/>
          <w:szCs w:val="20"/>
          <w:color w:val="auto"/>
        </w:rPr>
      </w:pPr>
      <w:r>
        <w:rPr>
          <w:rFonts w:ascii="Arial" w:cs="Arial" w:eastAsia="Arial" w:hAnsi="Arial"/>
          <w:sz w:val="13"/>
          <w:szCs w:val="13"/>
          <w:color w:val="202945"/>
        </w:rPr>
        <w:t>Compensation Discussion &amp;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9"/>
          <w:szCs w:val="29"/>
          <w:b w:val="1"/>
          <w:bCs w:val="1"/>
          <w:color w:val="FF7F32"/>
        </w:rPr>
        <w:t>Clawback Policy</w:t>
      </w:r>
    </w:p>
    <w:p>
      <w:pPr>
        <w:spacing w:after="0" w:line="267" w:lineRule="exact"/>
        <w:rPr>
          <w:sz w:val="20"/>
          <w:szCs w:val="20"/>
          <w:color w:val="auto"/>
        </w:rPr>
      </w:pPr>
    </w:p>
    <w:p>
      <w:pPr>
        <w:ind w:right="40"/>
        <w:spacing w:after="0" w:line="326" w:lineRule="auto"/>
        <w:rPr>
          <w:sz w:val="20"/>
          <w:szCs w:val="20"/>
          <w:color w:val="auto"/>
        </w:rPr>
      </w:pPr>
      <w:r>
        <w:rPr>
          <w:rFonts w:ascii="Arial" w:cs="Arial" w:eastAsia="Arial" w:hAnsi="Arial"/>
          <w:sz w:val="16"/>
          <w:szCs w:val="16"/>
          <w:color w:val="auto"/>
        </w:rPr>
        <w:t>In October 2023, our Board adopted a new Clawback Policy that complies with Section 10D of the Exchange Act and the new Nasdaq listing standards. Under the policy, which applies to the Company’s current and former Section 16 officers, the Company must recover erroneously awarded incentive-based compensation on a pre-tax basis, subject to very limited exceptions. Recovery is triggered in the event that the Company is required to prepare an accounting restatement that correct errors that are material to previously issued financial statements, as well as restatements that correct errors that are not material to previously issued financial statements but would result in a material misstatement if (a) the errors were left uncorrected in the current report or (b) the error correction was recognized in the current period. The policy does not provide for enforcement discretion by the Board and requires recovery regardless of whether a covered person engaged in any misconduct or is at fault.</w:t>
      </w:r>
    </w:p>
    <w:p>
      <w:pPr>
        <w:spacing w:after="0" w:line="80" w:lineRule="exact"/>
        <w:rPr>
          <w:sz w:val="20"/>
          <w:szCs w:val="20"/>
          <w:color w:val="auto"/>
        </w:rPr>
      </w:pPr>
    </w:p>
    <w:p>
      <w:pPr>
        <w:spacing w:after="0"/>
        <w:rPr>
          <w:sz w:val="20"/>
          <w:szCs w:val="20"/>
          <w:color w:val="auto"/>
        </w:rPr>
      </w:pPr>
      <w:r>
        <w:rPr>
          <w:rFonts w:ascii="Arial" w:cs="Arial" w:eastAsia="Arial" w:hAnsi="Arial"/>
          <w:sz w:val="29"/>
          <w:szCs w:val="29"/>
          <w:b w:val="1"/>
          <w:bCs w:val="1"/>
          <w:color w:val="FF7F32"/>
        </w:rPr>
        <w:t>Anti-Hedging and Insider Trading Policy</w:t>
      </w:r>
    </w:p>
    <w:p>
      <w:pPr>
        <w:spacing w:after="0" w:line="200" w:lineRule="exact"/>
        <w:rPr>
          <w:sz w:val="20"/>
          <w:szCs w:val="20"/>
          <w:color w:val="auto"/>
        </w:rPr>
      </w:pPr>
    </w:p>
    <w:p>
      <w:pPr>
        <w:ind w:right="100"/>
        <w:spacing w:after="0" w:line="336" w:lineRule="auto"/>
        <w:rPr>
          <w:sz w:val="20"/>
          <w:szCs w:val="20"/>
          <w:color w:val="auto"/>
        </w:rPr>
      </w:pPr>
      <w:r>
        <w:rPr>
          <w:rFonts w:ascii="Arial" w:cs="Arial" w:eastAsia="Arial" w:hAnsi="Arial"/>
          <w:sz w:val="16"/>
          <w:szCs w:val="16"/>
          <w:color w:val="auto"/>
        </w:rPr>
        <w:t>Our Anti-Hedging Policy prohibits our employees, officers, and directors from engaging in any hedging or similar transactions with respect to the Company’s securities, including through the establishment of a short position in the Company’s securities, that are designed to or that may reasonably be expected to have the effect of hedging or offsetting a decrease in the market value of the Company’s securities.</w:t>
      </w:r>
    </w:p>
    <w:p>
      <w:pPr>
        <w:spacing w:after="0" w:line="78" w:lineRule="exact"/>
        <w:rPr>
          <w:sz w:val="20"/>
          <w:szCs w:val="20"/>
          <w:color w:val="auto"/>
        </w:rPr>
      </w:pPr>
    </w:p>
    <w:p>
      <w:pPr>
        <w:spacing w:after="0" w:line="336" w:lineRule="auto"/>
        <w:rPr>
          <w:sz w:val="20"/>
          <w:szCs w:val="20"/>
          <w:color w:val="auto"/>
        </w:rPr>
      </w:pPr>
      <w:r>
        <w:rPr>
          <w:rFonts w:ascii="Arial" w:cs="Arial" w:eastAsia="Arial" w:hAnsi="Arial"/>
          <w:sz w:val="16"/>
          <w:szCs w:val="16"/>
          <w:color w:val="auto"/>
        </w:rPr>
        <w:t>Effective September 2024, we adopted a new Insider Trading policy to adopt industry best practices. Our Insider Trading Policy prohibits employees, officers, and directors who are in possession of material, non-public information about the Company from trading in the Company’s securities, as well as communicating such information to others who might trade on the basis of that information.</w:t>
      </w:r>
    </w:p>
    <w:p>
      <w:pPr>
        <w:spacing w:after="0" w:line="64" w:lineRule="exact"/>
        <w:rPr>
          <w:sz w:val="20"/>
          <w:szCs w:val="20"/>
          <w:color w:val="auto"/>
        </w:rPr>
      </w:pPr>
    </w:p>
    <w:p>
      <w:pPr>
        <w:ind w:right="240"/>
        <w:spacing w:after="0" w:line="356" w:lineRule="auto"/>
        <w:rPr>
          <w:sz w:val="20"/>
          <w:szCs w:val="20"/>
          <w:color w:val="auto"/>
        </w:rPr>
      </w:pPr>
      <w:r>
        <w:rPr>
          <w:rFonts w:ascii="Arial" w:cs="Arial" w:eastAsia="Arial" w:hAnsi="Arial"/>
          <w:sz w:val="16"/>
          <w:szCs w:val="16"/>
          <w:color w:val="auto"/>
        </w:rPr>
        <w:t xml:space="preserve">Our Anti-Heding and Insider Trading policies can both be found in our Corporate Governance documents at </w:t>
      </w:r>
      <w:r>
        <w:rPr>
          <w:rFonts w:ascii="Arial" w:cs="Arial" w:eastAsia="Arial" w:hAnsi="Arial"/>
          <w:sz w:val="16"/>
          <w:szCs w:val="16"/>
          <w:i w:val="1"/>
          <w:iCs w:val="1"/>
          <w:color w:val="auto"/>
        </w:rPr>
        <w:t>https://cantaloupeinc.gcs-web.com/corporate-governance</w:t>
      </w:r>
      <w:r>
        <w:rPr>
          <w:rFonts w:ascii="Arial" w:cs="Arial" w:eastAsia="Arial" w:hAnsi="Arial"/>
          <w:sz w:val="16"/>
          <w:szCs w:val="16"/>
          <w:color w:val="auto"/>
        </w:rPr>
        <w:t>.</w:t>
      </w:r>
    </w:p>
    <w:p>
      <w:pPr>
        <w:spacing w:after="0" w:line="262" w:lineRule="exact"/>
        <w:rPr>
          <w:sz w:val="20"/>
          <w:szCs w:val="20"/>
          <w:color w:val="auto"/>
        </w:rPr>
      </w:pPr>
    </w:p>
    <w:p>
      <w:pPr>
        <w:spacing w:after="0"/>
        <w:rPr>
          <w:sz w:val="20"/>
          <w:szCs w:val="20"/>
          <w:color w:val="auto"/>
        </w:rPr>
      </w:pPr>
      <w:r>
        <w:rPr>
          <w:rFonts w:ascii="Arial" w:cs="Arial" w:eastAsia="Arial" w:hAnsi="Arial"/>
          <w:sz w:val="32"/>
          <w:szCs w:val="32"/>
          <w:b w:val="1"/>
          <w:bCs w:val="1"/>
          <w:color w:val="202945"/>
        </w:rPr>
        <w:t>Compensation Committee Report</w:t>
      </w:r>
    </w:p>
    <w:p>
      <w:pPr>
        <w:spacing w:after="0" w:line="269" w:lineRule="exact"/>
        <w:rPr>
          <w:sz w:val="20"/>
          <w:szCs w:val="20"/>
          <w:color w:val="auto"/>
        </w:rPr>
      </w:pPr>
    </w:p>
    <w:p>
      <w:pPr>
        <w:ind w:right="40"/>
        <w:spacing w:after="0" w:line="336" w:lineRule="auto"/>
        <w:rPr>
          <w:sz w:val="20"/>
          <w:szCs w:val="20"/>
          <w:color w:val="auto"/>
        </w:rPr>
      </w:pPr>
      <w:r>
        <w:rPr>
          <w:rFonts w:ascii="Arial" w:cs="Arial" w:eastAsia="Arial" w:hAnsi="Arial"/>
          <w:sz w:val="16"/>
          <w:szCs w:val="16"/>
          <w:color w:val="auto"/>
        </w:rPr>
        <w:t>The Compensation Committee has reviewed and discussed the Compensation Discussion and Analysis included in this proxy statement with the Company’s management. Based upon such review and the related discussions, the Compensation Committee has recommended to the Board that the Compensation Discussion and Analysis be included in this proxy statement.</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Committee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Michael K. Passilla (Chair)</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Lisa P. Baird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Douglas Bergeron</w:t>
      </w:r>
    </w:p>
    <w:p>
      <w:pPr>
        <w:spacing w:after="0" w:line="181" w:lineRule="exact"/>
        <w:rPr>
          <w:sz w:val="20"/>
          <w:szCs w:val="20"/>
          <w:color w:val="auto"/>
        </w:rPr>
      </w:pPr>
    </w:p>
    <w:p>
      <w:pPr>
        <w:ind w:right="60"/>
        <w:spacing w:after="0" w:line="330" w:lineRule="auto"/>
        <w:rPr>
          <w:sz w:val="20"/>
          <w:szCs w:val="20"/>
          <w:color w:val="auto"/>
        </w:rPr>
      </w:pPr>
      <w:r>
        <w:rPr>
          <w:rFonts w:ascii="Arial" w:cs="Arial" w:eastAsia="Arial" w:hAnsi="Arial"/>
          <w:sz w:val="16"/>
          <w:szCs w:val="16"/>
          <w:color w:val="auto"/>
        </w:rPr>
        <w:t>The foregoing report and other information provided above regarding the Compensation Committee should not be deemed incorporated by reference by any general statement incorporating by reference this proxy statement into any filing under the Securities Act of 1933, as amended (the “Securities Act”) or the Securities Exchange Act of 1934, as amended (the “Exchange Act”), except to the extent that the Company specifically incorporates this information by reference, and shall not otherwise be deemed filed under the Securities Act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146685</wp:posOffset>
            </wp:positionV>
            <wp:extent cx="925830" cy="26606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925830" cy="266065"/>
                    </a:xfrm>
                    <a:prstGeom prst="rect">
                      <a:avLst/>
                    </a:prstGeom>
                    <a:noFill/>
                  </pic:spPr>
                </pic:pic>
              </a:graphicData>
            </a:graphic>
          </wp:anchor>
        </w:drawing>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b w:val="1"/>
                <w:bCs w:val="1"/>
                <w:color w:val="FF7F32"/>
              </w:rPr>
              <w:t xml:space="preserve">2026 </w:t>
            </w:r>
            <w:r>
              <w:rPr>
                <w:rFonts w:ascii="Arial" w:cs="Arial" w:eastAsia="Arial" w:hAnsi="Arial"/>
                <w:sz w:val="13"/>
                <w:szCs w:val="13"/>
                <w:color w:val="000000"/>
              </w:rPr>
              <w:t>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auto"/>
              </w:rPr>
              <w:t>61</w:t>
            </w:r>
          </w:p>
        </w:tc>
      </w:tr>
      <w:tr>
        <w:trPr>
          <w:trHeight w:val="434"/>
        </w:trPr>
        <w:tc>
          <w:tcPr>
            <w:tcW w:w="618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64" w:name="page65"/>
    <w:bookmarkEnd w:id="64"/>
    <w:p>
      <w:pPr>
        <w:ind w:right="540"/>
        <w:spacing w:after="0" w:line="294" w:lineRule="auto"/>
        <w:rPr>
          <w:sz w:val="20"/>
          <w:szCs w:val="20"/>
          <w:color w:val="auto"/>
        </w:rPr>
      </w:pPr>
      <w:r>
        <w:rPr>
          <w:rFonts w:ascii="Arial" w:cs="Arial" w:eastAsia="Arial" w:hAnsi="Arial"/>
          <w:sz w:val="50"/>
          <w:szCs w:val="50"/>
          <w:b w:val="1"/>
          <w:bCs w:val="1"/>
          <w:color w:val="FF7F32"/>
        </w:rPr>
        <w:t>Executive Compensation Tables and Related Disclosures</w:t>
      </w:r>
    </w:p>
    <w:p>
      <w:pPr>
        <w:spacing w:after="0" w:line="1" w:lineRule="exact"/>
        <w:rPr>
          <w:sz w:val="20"/>
          <w:szCs w:val="20"/>
          <w:color w:val="auto"/>
        </w:rPr>
      </w:pPr>
    </w:p>
    <w:p>
      <w:pPr>
        <w:spacing w:after="0"/>
        <w:rPr>
          <w:sz w:val="20"/>
          <w:szCs w:val="20"/>
          <w:color w:val="auto"/>
        </w:rPr>
      </w:pPr>
      <w:r>
        <w:rPr>
          <w:rFonts w:ascii="Arial" w:cs="Arial" w:eastAsia="Arial" w:hAnsi="Arial"/>
          <w:sz w:val="32"/>
          <w:szCs w:val="32"/>
          <w:b w:val="1"/>
          <w:bCs w:val="1"/>
          <w:color w:val="202945"/>
        </w:rPr>
        <w:t>Summary Compensation Table</w:t>
      </w:r>
    </w:p>
    <w:p>
      <w:pPr>
        <w:spacing w:after="0" w:line="200" w:lineRule="exact"/>
        <w:rPr>
          <w:sz w:val="20"/>
          <w:szCs w:val="20"/>
          <w:color w:val="auto"/>
        </w:rPr>
      </w:pPr>
    </w:p>
    <w:p>
      <w:pPr>
        <w:spacing w:after="0" w:line="380" w:lineRule="exact"/>
        <w:rPr>
          <w:sz w:val="20"/>
          <w:szCs w:val="20"/>
          <w:color w:val="auto"/>
        </w:rPr>
      </w:pPr>
    </w:p>
    <w:p>
      <w:pPr>
        <w:ind w:right="40"/>
        <w:spacing w:after="0" w:line="345" w:lineRule="auto"/>
        <w:rPr>
          <w:sz w:val="20"/>
          <w:szCs w:val="20"/>
          <w:color w:val="auto"/>
        </w:rPr>
      </w:pPr>
      <w:r>
        <w:rPr>
          <w:rFonts w:ascii="Arial" w:cs="Arial" w:eastAsia="Arial" w:hAnsi="Arial"/>
          <w:sz w:val="16"/>
          <w:szCs w:val="16"/>
          <w:color w:val="auto"/>
        </w:rPr>
        <w:t>The following table sets forth certain information with respect to compensation paid or accrued by the Company during the fiscal years ended June 30, 2025, 2024, and 2023 to each of our fiscal year NEOs. For further information regarding the Company’s fiscal 2025 compensation program for our NEOs, please refer to the discussion above under “-Elements of Compensation” and “-Executive Employment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27940</wp:posOffset>
            </wp:positionV>
            <wp:extent cx="5734685" cy="37973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5734685" cy="3797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00" w:hanging="192"/>
        <w:spacing w:after="0"/>
        <w:tabs>
          <w:tab w:leader="none" w:pos="200" w:val="left"/>
        </w:tabs>
        <w:numPr>
          <w:ilvl w:val="0"/>
          <w:numId w:val="65"/>
        </w:numPr>
        <w:rPr>
          <w:rFonts w:ascii="Arial" w:cs="Arial" w:eastAsia="Arial" w:hAnsi="Arial"/>
          <w:sz w:val="16"/>
          <w:szCs w:val="16"/>
          <w:color w:val="202945"/>
          <w:vertAlign w:val="superscript"/>
        </w:rPr>
      </w:pPr>
      <w:r>
        <w:rPr>
          <w:rFonts w:ascii="Arial" w:cs="Arial" w:eastAsia="Arial" w:hAnsi="Arial"/>
          <w:sz w:val="13"/>
          <w:szCs w:val="13"/>
          <w:color w:val="202945"/>
        </w:rPr>
        <w:t>In fiscal 2025, this column includes (i) the salary paid to Messrs. Venkatesan, Stewart, Dumbrell, Singal and Ms. Novoseletsky.</w:t>
      </w:r>
    </w:p>
    <w:p>
      <w:pPr>
        <w:spacing w:after="0" w:line="104" w:lineRule="exact"/>
        <w:rPr>
          <w:rFonts w:ascii="Arial" w:cs="Arial" w:eastAsia="Arial" w:hAnsi="Arial"/>
          <w:sz w:val="16"/>
          <w:szCs w:val="16"/>
          <w:color w:val="202945"/>
          <w:vertAlign w:val="superscript"/>
        </w:rPr>
      </w:pPr>
    </w:p>
    <w:p>
      <w:pPr>
        <w:ind w:left="200" w:right="160" w:hanging="192"/>
        <w:spacing w:after="0" w:line="274" w:lineRule="auto"/>
        <w:tabs>
          <w:tab w:leader="none" w:pos="186" w:val="left"/>
        </w:tabs>
        <w:numPr>
          <w:ilvl w:val="0"/>
          <w:numId w:val="65"/>
        </w:numPr>
        <w:rPr>
          <w:rFonts w:ascii="Arial" w:cs="Arial" w:eastAsia="Arial" w:hAnsi="Arial"/>
          <w:sz w:val="16"/>
          <w:szCs w:val="16"/>
          <w:color w:val="202945"/>
          <w:vertAlign w:val="superscript"/>
        </w:rPr>
      </w:pPr>
      <w:r>
        <w:rPr>
          <w:rFonts w:ascii="Arial" w:cs="Arial" w:eastAsia="Arial" w:hAnsi="Arial"/>
          <w:sz w:val="13"/>
          <w:szCs w:val="13"/>
          <w:color w:val="202945"/>
        </w:rPr>
        <w:t>Represents bonus amounts accrued as of the respective fiscal year end and paid subsequent to fiscal year end based on respective employment agreements and achievement of corporate targets set by the Board.</w:t>
      </w:r>
    </w:p>
    <w:p>
      <w:pPr>
        <w:spacing w:after="0" w:line="64" w:lineRule="exact"/>
        <w:rPr>
          <w:rFonts w:ascii="Arial" w:cs="Arial" w:eastAsia="Arial" w:hAnsi="Arial"/>
          <w:sz w:val="16"/>
          <w:szCs w:val="16"/>
          <w:color w:val="202945"/>
          <w:vertAlign w:val="superscript"/>
        </w:rPr>
      </w:pPr>
    </w:p>
    <w:p>
      <w:pPr>
        <w:ind w:left="200" w:right="20" w:hanging="192"/>
        <w:spacing w:after="0" w:line="293" w:lineRule="auto"/>
        <w:tabs>
          <w:tab w:leader="none" w:pos="186" w:val="left"/>
        </w:tabs>
        <w:numPr>
          <w:ilvl w:val="0"/>
          <w:numId w:val="65"/>
        </w:numPr>
        <w:rPr>
          <w:rFonts w:ascii="Arial" w:cs="Arial" w:eastAsia="Arial" w:hAnsi="Arial"/>
          <w:sz w:val="16"/>
          <w:szCs w:val="16"/>
          <w:color w:val="202945"/>
          <w:vertAlign w:val="superscript"/>
        </w:rPr>
      </w:pPr>
      <w:r>
        <w:rPr>
          <w:rFonts w:ascii="Arial" w:cs="Arial" w:eastAsia="Arial" w:hAnsi="Arial"/>
          <w:sz w:val="13"/>
          <w:szCs w:val="13"/>
          <w:color w:val="202945"/>
        </w:rPr>
        <w:t>The grant date fair value of the stock awards shown in this column are computed in accordance with FASB ASC Topic 718. Please see Note 12 (“Stock Based Compensation Plans”) to the Company’s consolidated financial statements for the fiscal year ending June 30, 2025, as filed on Form 10-K with the SEC on September 8, 2025 for further information on how we compute the value of equity awards, and refer to the discussion above under “Elements of Compensation-Equity Awards” for further information on our equity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297180</wp:posOffset>
            </wp:positionV>
            <wp:extent cx="925830" cy="26606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925830"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b w:val="1"/>
                <w:bCs w:val="1"/>
                <w:color w:val="FF7F32"/>
              </w:rPr>
              <w:t xml:space="preserve">2026 </w:t>
            </w:r>
            <w:r>
              <w:rPr>
                <w:rFonts w:ascii="Arial" w:cs="Arial" w:eastAsia="Arial" w:hAnsi="Arial"/>
                <w:sz w:val="13"/>
                <w:szCs w:val="13"/>
                <w:color w:val="000000"/>
              </w:rPr>
              <w:t>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auto"/>
              </w:rPr>
              <w:t>62</w:t>
            </w:r>
          </w:p>
        </w:tc>
      </w:tr>
      <w:tr>
        <w:trPr>
          <w:trHeight w:val="676"/>
        </w:trPr>
        <w:tc>
          <w:tcPr>
            <w:tcW w:w="618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65" w:name="page66"/>
    <w:bookmarkEnd w:id="65"/>
    <w:p>
      <w:pPr>
        <w:spacing w:after="0"/>
        <w:rPr>
          <w:sz w:val="20"/>
          <w:szCs w:val="20"/>
          <w:color w:val="auto"/>
        </w:rPr>
      </w:pPr>
      <w:r>
        <w:rPr>
          <w:rFonts w:ascii="Arial" w:cs="Arial" w:eastAsia="Arial" w:hAnsi="Arial"/>
          <w:sz w:val="13"/>
          <w:szCs w:val="13"/>
          <w:color w:val="auto"/>
        </w:rPr>
        <w:t>Executive Compensation Tables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0" w:right="60" w:hanging="192"/>
        <w:spacing w:after="0" w:line="289" w:lineRule="auto"/>
        <w:tabs>
          <w:tab w:leader="none" w:pos="186" w:val="left"/>
        </w:tabs>
        <w:numPr>
          <w:ilvl w:val="0"/>
          <w:numId w:val="66"/>
        </w:numPr>
        <w:rPr>
          <w:rFonts w:ascii="Arial" w:cs="Arial" w:eastAsia="Arial" w:hAnsi="Arial"/>
          <w:sz w:val="16"/>
          <w:szCs w:val="16"/>
          <w:color w:val="202945"/>
          <w:vertAlign w:val="superscript"/>
        </w:rPr>
      </w:pPr>
      <w:r>
        <w:rPr>
          <w:rFonts w:ascii="Arial" w:cs="Arial" w:eastAsia="Arial" w:hAnsi="Arial"/>
          <w:sz w:val="13"/>
          <w:szCs w:val="13"/>
          <w:color w:val="202945"/>
        </w:rPr>
        <w:t>The grant date fair value of the stock option awards shown in this column are computed using a Black-Scholes model for time vesting awards and Monte Carlo simulation model for performance based awards in accordance with FASB ASC Topic 718. Please see Note 12 (</w:t>
      </w:r>
      <w:r>
        <w:rPr>
          <w:rFonts w:ascii="Arial" w:cs="Arial" w:eastAsia="Arial" w:hAnsi="Arial"/>
          <w:sz w:val="13"/>
          <w:szCs w:val="13"/>
          <w:i w:val="1"/>
          <w:iCs w:val="1"/>
          <w:color w:val="202945"/>
        </w:rPr>
        <w:t>“Stock Based Compensation Plans”</w:t>
      </w:r>
      <w:r>
        <w:rPr>
          <w:rFonts w:ascii="Arial" w:cs="Arial" w:eastAsia="Arial" w:hAnsi="Arial"/>
          <w:sz w:val="13"/>
          <w:szCs w:val="13"/>
          <w:color w:val="202945"/>
        </w:rPr>
        <w:t>) to the Company’s consolidated financial statements for the fiscal year ending June 30, 2025, as filed on Form 10-K with the SEC on September 8, 2025 for further information on how we compute the value of equity awards, and refer to the discussion above under "Elements of Compensation-Equity Awards" for further information on our equity program.</w:t>
      </w:r>
    </w:p>
    <w:p>
      <w:pPr>
        <w:spacing w:after="0" w:line="75" w:lineRule="exact"/>
        <w:rPr>
          <w:rFonts w:ascii="Arial" w:cs="Arial" w:eastAsia="Arial" w:hAnsi="Arial"/>
          <w:sz w:val="16"/>
          <w:szCs w:val="16"/>
          <w:color w:val="202945"/>
          <w:vertAlign w:val="superscript"/>
        </w:rPr>
      </w:pPr>
    </w:p>
    <w:p>
      <w:pPr>
        <w:ind w:left="200" w:right="160" w:hanging="192"/>
        <w:spacing w:after="0" w:line="274" w:lineRule="auto"/>
        <w:tabs>
          <w:tab w:leader="none" w:pos="186" w:val="left"/>
        </w:tabs>
        <w:numPr>
          <w:ilvl w:val="0"/>
          <w:numId w:val="66"/>
        </w:numPr>
        <w:rPr>
          <w:rFonts w:ascii="Arial" w:cs="Arial" w:eastAsia="Arial" w:hAnsi="Arial"/>
          <w:sz w:val="16"/>
          <w:szCs w:val="16"/>
          <w:color w:val="202945"/>
          <w:vertAlign w:val="superscript"/>
        </w:rPr>
      </w:pPr>
      <w:r>
        <w:rPr>
          <w:rFonts w:ascii="Arial" w:cs="Arial" w:eastAsia="Arial" w:hAnsi="Arial"/>
          <w:sz w:val="13"/>
          <w:szCs w:val="13"/>
          <w:color w:val="202945"/>
        </w:rPr>
        <w:t>Represents matching 401(k) plan contributions for each individual during fiscal 2025, as well as transaction bonuses of $200,000 and $100,000 that were paid to Mr. Stewart and Ms. Novoseletsky, respectively, in connection with the Merger Agreement.</w:t>
      </w:r>
    </w:p>
    <w:p>
      <w:pPr>
        <w:spacing w:after="0" w:line="46" w:lineRule="exact"/>
        <w:rPr>
          <w:rFonts w:ascii="Arial" w:cs="Arial" w:eastAsia="Arial" w:hAnsi="Arial"/>
          <w:sz w:val="16"/>
          <w:szCs w:val="16"/>
          <w:color w:val="202945"/>
          <w:vertAlign w:val="superscript"/>
        </w:rPr>
      </w:pPr>
    </w:p>
    <w:p>
      <w:pPr>
        <w:ind w:left="180" w:hanging="172"/>
        <w:spacing w:after="0"/>
        <w:tabs>
          <w:tab w:leader="none" w:pos="180" w:val="left"/>
        </w:tabs>
        <w:numPr>
          <w:ilvl w:val="0"/>
          <w:numId w:val="66"/>
        </w:numPr>
        <w:rPr>
          <w:rFonts w:ascii="Arial" w:cs="Arial" w:eastAsia="Arial" w:hAnsi="Arial"/>
          <w:sz w:val="16"/>
          <w:szCs w:val="16"/>
          <w:color w:val="202945"/>
          <w:vertAlign w:val="superscript"/>
        </w:rPr>
      </w:pPr>
      <w:r>
        <w:rPr>
          <w:rFonts w:ascii="Arial" w:cs="Arial" w:eastAsia="Arial" w:hAnsi="Arial"/>
          <w:sz w:val="13"/>
          <w:szCs w:val="13"/>
          <w:color w:val="202945"/>
        </w:rPr>
        <w:t>Mr. Dumbrell commenced employment as our Chief Revenue Officer in January 2022.</w:t>
      </w:r>
    </w:p>
    <w:p>
      <w:pPr>
        <w:spacing w:after="0" w:line="86" w:lineRule="exact"/>
        <w:rPr>
          <w:rFonts w:ascii="Arial" w:cs="Arial" w:eastAsia="Arial" w:hAnsi="Arial"/>
          <w:sz w:val="16"/>
          <w:szCs w:val="16"/>
          <w:color w:val="202945"/>
          <w:vertAlign w:val="superscript"/>
        </w:rPr>
      </w:pPr>
    </w:p>
    <w:p>
      <w:pPr>
        <w:ind w:left="200" w:hanging="192"/>
        <w:spacing w:after="0"/>
        <w:tabs>
          <w:tab w:leader="none" w:pos="200" w:val="left"/>
        </w:tabs>
        <w:numPr>
          <w:ilvl w:val="0"/>
          <w:numId w:val="66"/>
        </w:numPr>
        <w:rPr>
          <w:rFonts w:ascii="Arial" w:cs="Arial" w:eastAsia="Arial" w:hAnsi="Arial"/>
          <w:sz w:val="16"/>
          <w:szCs w:val="16"/>
          <w:color w:val="202945"/>
          <w:vertAlign w:val="superscript"/>
        </w:rPr>
      </w:pPr>
      <w:r>
        <w:rPr>
          <w:rFonts w:ascii="Arial" w:cs="Arial" w:eastAsia="Arial" w:hAnsi="Arial"/>
          <w:sz w:val="13"/>
          <w:szCs w:val="13"/>
          <w:color w:val="202945"/>
        </w:rPr>
        <w:t>Mr. Singal resigned from the Company following the Company's fiscal year end, effective as of October 7, 2025.</w:t>
      </w:r>
    </w:p>
    <w:p>
      <w:pPr>
        <w:spacing w:after="0" w:line="72" w:lineRule="exact"/>
        <w:rPr>
          <w:rFonts w:ascii="Arial" w:cs="Arial" w:eastAsia="Arial" w:hAnsi="Arial"/>
          <w:sz w:val="16"/>
          <w:szCs w:val="16"/>
          <w:color w:val="202945"/>
          <w:vertAlign w:val="superscript"/>
        </w:rPr>
      </w:pPr>
    </w:p>
    <w:p>
      <w:pPr>
        <w:ind w:left="180" w:hanging="172"/>
        <w:spacing w:after="0"/>
        <w:tabs>
          <w:tab w:leader="none" w:pos="180" w:val="left"/>
        </w:tabs>
        <w:numPr>
          <w:ilvl w:val="0"/>
          <w:numId w:val="66"/>
        </w:numPr>
        <w:rPr>
          <w:rFonts w:ascii="Arial" w:cs="Arial" w:eastAsia="Arial" w:hAnsi="Arial"/>
          <w:sz w:val="16"/>
          <w:szCs w:val="16"/>
          <w:color w:val="auto"/>
          <w:vertAlign w:val="superscript"/>
        </w:rPr>
      </w:pPr>
      <w:r>
        <w:rPr>
          <w:rFonts w:ascii="Arial" w:cs="Arial" w:eastAsia="Arial" w:hAnsi="Arial"/>
          <w:sz w:val="13"/>
          <w:szCs w:val="13"/>
          <w:color w:val="202945"/>
        </w:rPr>
        <w:t>Ms. Novoseletsky commenced employment as our Chief Legal and Compliance Office and General Counsel in January 2023.</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32"/>
          <w:szCs w:val="32"/>
          <w:b w:val="1"/>
          <w:bCs w:val="1"/>
          <w:color w:val="202945"/>
        </w:rPr>
        <w:t>Grants of Plan-Based Awards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the amounts of awards granted to our NEOs during the fiscal year ended June 30, 2025:</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40" w:type="dxa"/>
            <w:vAlign w:val="bottom"/>
          </w:tcPr>
          <w:p>
            <w:pPr>
              <w:jc w:val="right"/>
              <w:ind w:right="97"/>
              <w:spacing w:after="0"/>
              <w:rPr>
                <w:sz w:val="20"/>
                <w:szCs w:val="20"/>
                <w:color w:val="auto"/>
              </w:rPr>
            </w:pPr>
            <w:r>
              <w:rPr>
                <w:rFonts w:ascii="Arial" w:cs="Arial" w:eastAsia="Arial" w:hAnsi="Arial"/>
                <w:sz w:val="13"/>
                <w:szCs w:val="13"/>
                <w:b w:val="1"/>
                <w:bCs w:val="1"/>
                <w:color w:val="404040"/>
              </w:rPr>
              <w:t>All Other</w:t>
            </w:r>
          </w:p>
        </w:tc>
        <w:tc>
          <w:tcPr>
            <w:tcW w:w="960" w:type="dxa"/>
            <w:vAlign w:val="bottom"/>
          </w:tcPr>
          <w:p>
            <w:pPr>
              <w:jc w:val="right"/>
              <w:ind w:right="77"/>
              <w:spacing w:after="0"/>
              <w:rPr>
                <w:sz w:val="20"/>
                <w:szCs w:val="20"/>
                <w:color w:val="auto"/>
              </w:rPr>
            </w:pPr>
            <w:r>
              <w:rPr>
                <w:rFonts w:ascii="Arial" w:cs="Arial" w:eastAsia="Arial" w:hAnsi="Arial"/>
                <w:sz w:val="13"/>
                <w:szCs w:val="13"/>
                <w:b w:val="1"/>
                <w:bCs w:val="1"/>
                <w:color w:val="404040"/>
              </w:rPr>
              <w:t>All Other</w:t>
            </w: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60" w:type="dxa"/>
            <w:vAlign w:val="bottom"/>
            <w:gridSpan w:val="4"/>
            <w:vMerge w:val="restart"/>
          </w:tcPr>
          <w:p>
            <w:pPr>
              <w:jc w:val="center"/>
              <w:ind w:right="120"/>
              <w:spacing w:after="0"/>
              <w:rPr>
                <w:sz w:val="20"/>
                <w:szCs w:val="20"/>
                <w:color w:val="auto"/>
              </w:rPr>
            </w:pPr>
            <w:r>
              <w:rPr>
                <w:rFonts w:ascii="Arial" w:cs="Arial" w:eastAsia="Arial" w:hAnsi="Arial"/>
                <w:sz w:val="13"/>
                <w:szCs w:val="13"/>
                <w:b w:val="1"/>
                <w:bCs w:val="1"/>
                <w:color w:val="404040"/>
                <w:w w:val="96"/>
              </w:rPr>
              <w:t>Estimated Future Payouts</w:t>
            </w:r>
          </w:p>
        </w:tc>
        <w:tc>
          <w:tcPr>
            <w:tcW w:w="248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404040"/>
                <w:w w:val="97"/>
              </w:rPr>
              <w:t>Estimated Future Payouts</w:t>
            </w:r>
          </w:p>
        </w:tc>
        <w:tc>
          <w:tcPr>
            <w:tcW w:w="1240" w:type="dxa"/>
            <w:vAlign w:val="bottom"/>
          </w:tcPr>
          <w:p>
            <w:pPr>
              <w:jc w:val="right"/>
              <w:ind w:right="97"/>
              <w:spacing w:after="0"/>
              <w:rPr>
                <w:sz w:val="20"/>
                <w:szCs w:val="20"/>
                <w:color w:val="auto"/>
              </w:rPr>
            </w:pPr>
            <w:r>
              <w:rPr>
                <w:rFonts w:ascii="Arial" w:cs="Arial" w:eastAsia="Arial" w:hAnsi="Arial"/>
                <w:sz w:val="13"/>
                <w:szCs w:val="13"/>
                <w:b w:val="1"/>
                <w:bCs w:val="1"/>
                <w:color w:val="404040"/>
              </w:rPr>
              <w:t>Stock</w:t>
            </w:r>
          </w:p>
        </w:tc>
        <w:tc>
          <w:tcPr>
            <w:tcW w:w="960" w:type="dxa"/>
            <w:vAlign w:val="bottom"/>
          </w:tcPr>
          <w:p>
            <w:pPr>
              <w:jc w:val="center"/>
              <w:ind w:left="217"/>
              <w:spacing w:after="0"/>
              <w:rPr>
                <w:sz w:val="20"/>
                <w:szCs w:val="20"/>
                <w:color w:val="auto"/>
              </w:rPr>
            </w:pPr>
            <w:r>
              <w:rPr>
                <w:rFonts w:ascii="Arial" w:cs="Arial" w:eastAsia="Arial" w:hAnsi="Arial"/>
                <w:sz w:val="13"/>
                <w:szCs w:val="13"/>
                <w:b w:val="1"/>
                <w:bCs w:val="1"/>
                <w:color w:val="404040"/>
                <w:w w:val="95"/>
              </w:rPr>
              <w:t>Option</w:t>
            </w:r>
          </w:p>
        </w:tc>
        <w:tc>
          <w:tcPr>
            <w:tcW w:w="8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404040"/>
              </w:rPr>
              <w:t>Grant</w:t>
            </w:r>
          </w:p>
        </w:tc>
        <w:tc>
          <w:tcPr>
            <w:tcW w:w="0" w:type="dxa"/>
            <w:vAlign w:val="bottom"/>
          </w:tcPr>
          <w:p>
            <w:pPr>
              <w:spacing w:after="0"/>
              <w:rPr>
                <w:sz w:val="1"/>
                <w:szCs w:val="1"/>
                <w:color w:val="auto"/>
              </w:rPr>
            </w:pPr>
          </w:p>
        </w:tc>
      </w:tr>
      <w:tr>
        <w:trPr>
          <w:trHeight w:val="54"/>
        </w:trPr>
        <w:tc>
          <w:tcPr>
            <w:tcW w:w="1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660" w:type="dxa"/>
            <w:vAlign w:val="bottom"/>
            <w:gridSpan w:val="4"/>
            <w:vMerge w:val="continue"/>
          </w:tcPr>
          <w:p>
            <w:pPr>
              <w:spacing w:after="0"/>
              <w:rPr>
                <w:sz w:val="4"/>
                <w:szCs w:val="4"/>
                <w:color w:val="auto"/>
              </w:rPr>
            </w:pPr>
          </w:p>
        </w:tc>
        <w:tc>
          <w:tcPr>
            <w:tcW w:w="2480" w:type="dxa"/>
            <w:vAlign w:val="bottom"/>
            <w:gridSpan w:val="3"/>
            <w:vMerge w:val="continue"/>
          </w:tcPr>
          <w:p>
            <w:pPr>
              <w:spacing w:after="0"/>
              <w:rPr>
                <w:sz w:val="4"/>
                <w:szCs w:val="4"/>
                <w:color w:val="auto"/>
              </w:rPr>
            </w:pPr>
          </w:p>
        </w:tc>
        <w:tc>
          <w:tcPr>
            <w:tcW w:w="124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404040"/>
              </w:rPr>
              <w:t>Awards:</w:t>
            </w:r>
          </w:p>
        </w:tc>
        <w:tc>
          <w:tcPr>
            <w:tcW w:w="96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404040"/>
              </w:rPr>
              <w:t>Awards:</w:t>
            </w:r>
          </w:p>
        </w:tc>
        <w:tc>
          <w:tcPr>
            <w:tcW w:w="84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404040"/>
              </w:rPr>
              <w:t>Exercise</w:t>
            </w:r>
          </w:p>
        </w:tc>
        <w:tc>
          <w:tcPr>
            <w:tcW w:w="780" w:type="dxa"/>
            <w:vAlign w:val="bottom"/>
            <w:vMerge w:val="restart"/>
          </w:tcPr>
          <w:p>
            <w:pPr>
              <w:jc w:val="right"/>
              <w:spacing w:after="0"/>
              <w:rPr>
                <w:sz w:val="20"/>
                <w:szCs w:val="20"/>
                <w:color w:val="auto"/>
              </w:rPr>
            </w:pPr>
            <w:r>
              <w:rPr>
                <w:rFonts w:ascii="Arial" w:cs="Arial" w:eastAsia="Arial" w:hAnsi="Arial"/>
                <w:sz w:val="13"/>
                <w:szCs w:val="13"/>
                <w:b w:val="1"/>
                <w:bCs w:val="1"/>
                <w:color w:val="404040"/>
              </w:rPr>
              <w:t>Date Fair</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80" w:type="dxa"/>
            <w:vAlign w:val="bottom"/>
            <w:gridSpan w:val="2"/>
            <w:vMerge w:val="restart"/>
          </w:tcPr>
          <w:p>
            <w:pPr>
              <w:jc w:val="center"/>
              <w:ind w:left="597"/>
              <w:spacing w:after="0"/>
              <w:rPr>
                <w:sz w:val="20"/>
                <w:szCs w:val="20"/>
                <w:color w:val="auto"/>
              </w:rPr>
            </w:pPr>
            <w:r>
              <w:rPr>
                <w:rFonts w:ascii="Arial" w:cs="Arial" w:eastAsia="Arial" w:hAnsi="Arial"/>
                <w:sz w:val="13"/>
                <w:szCs w:val="13"/>
                <w:b w:val="1"/>
                <w:bCs w:val="1"/>
                <w:color w:val="404040"/>
                <w:w w:val="95"/>
              </w:rPr>
              <w:t>Under Non-Equity</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60" w:type="dxa"/>
            <w:vAlign w:val="bottom"/>
            <w:gridSpan w:val="2"/>
            <w:vMerge w:val="restart"/>
          </w:tcPr>
          <w:p>
            <w:pPr>
              <w:jc w:val="center"/>
              <w:ind w:left="677"/>
              <w:spacing w:after="0"/>
              <w:rPr>
                <w:sz w:val="20"/>
                <w:szCs w:val="20"/>
                <w:color w:val="auto"/>
              </w:rPr>
            </w:pPr>
            <w:r>
              <w:rPr>
                <w:rFonts w:ascii="Arial" w:cs="Arial" w:eastAsia="Arial" w:hAnsi="Arial"/>
                <w:sz w:val="13"/>
                <w:szCs w:val="13"/>
                <w:b w:val="1"/>
                <w:bCs w:val="1"/>
                <w:color w:val="404040"/>
                <w:w w:val="96"/>
              </w:rPr>
              <w:t>Under Equity</w:t>
            </w:r>
          </w:p>
        </w:tc>
        <w:tc>
          <w:tcPr>
            <w:tcW w:w="7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88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60" w:type="dxa"/>
            <w:vAlign w:val="bottom"/>
            <w:gridSpan w:val="2"/>
            <w:vMerge w:val="continue"/>
          </w:tcPr>
          <w:p>
            <w:pPr>
              <w:spacing w:after="0"/>
              <w:rPr>
                <w:sz w:val="4"/>
                <w:szCs w:val="4"/>
                <w:color w:val="auto"/>
              </w:rPr>
            </w:pPr>
          </w:p>
        </w:tc>
        <w:tc>
          <w:tcPr>
            <w:tcW w:w="720" w:type="dxa"/>
            <w:vAlign w:val="bottom"/>
          </w:tcPr>
          <w:p>
            <w:pPr>
              <w:spacing w:after="0"/>
              <w:rPr>
                <w:sz w:val="4"/>
                <w:szCs w:val="4"/>
                <w:color w:val="auto"/>
              </w:rPr>
            </w:pPr>
          </w:p>
        </w:tc>
        <w:tc>
          <w:tcPr>
            <w:tcW w:w="124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404040"/>
              </w:rPr>
              <w:t>Number of</w:t>
            </w:r>
          </w:p>
        </w:tc>
        <w:tc>
          <w:tcPr>
            <w:tcW w:w="96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404040"/>
              </w:rPr>
              <w:t>Number of</w:t>
            </w:r>
          </w:p>
        </w:tc>
        <w:tc>
          <w:tcPr>
            <w:tcW w:w="84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404040"/>
              </w:rPr>
              <w:t>or Base</w:t>
            </w:r>
          </w:p>
        </w:tc>
        <w:tc>
          <w:tcPr>
            <w:tcW w:w="780" w:type="dxa"/>
            <w:vAlign w:val="bottom"/>
            <w:vMerge w:val="restart"/>
          </w:tcPr>
          <w:p>
            <w:pPr>
              <w:jc w:val="right"/>
              <w:spacing w:after="0"/>
              <w:rPr>
                <w:sz w:val="20"/>
                <w:szCs w:val="20"/>
                <w:color w:val="auto"/>
              </w:rPr>
            </w:pPr>
            <w:r>
              <w:rPr>
                <w:rFonts w:ascii="Arial" w:cs="Arial" w:eastAsia="Arial" w:hAnsi="Arial"/>
                <w:sz w:val="13"/>
                <w:szCs w:val="13"/>
                <w:b w:val="1"/>
                <w:bCs w:val="1"/>
                <w:color w:val="404040"/>
              </w:rPr>
              <w:t>Value of</w:t>
            </w:r>
          </w:p>
        </w:tc>
        <w:tc>
          <w:tcPr>
            <w:tcW w:w="0" w:type="dxa"/>
            <w:vAlign w:val="bottom"/>
          </w:tcPr>
          <w:p>
            <w:pPr>
              <w:spacing w:after="0"/>
              <w:rPr>
                <w:sz w:val="1"/>
                <w:szCs w:val="1"/>
                <w:color w:val="auto"/>
              </w:rPr>
            </w:pPr>
          </w:p>
        </w:tc>
      </w:tr>
      <w:tr>
        <w:trPr>
          <w:trHeight w:val="122"/>
        </w:trPr>
        <w:tc>
          <w:tcPr>
            <w:tcW w:w="11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660" w:type="dxa"/>
            <w:vAlign w:val="bottom"/>
            <w:gridSpan w:val="4"/>
            <w:vMerge w:val="restart"/>
          </w:tcPr>
          <w:p>
            <w:pPr>
              <w:jc w:val="center"/>
              <w:ind w:right="120"/>
              <w:spacing w:after="0"/>
              <w:rPr>
                <w:sz w:val="20"/>
                <w:szCs w:val="20"/>
                <w:color w:val="auto"/>
              </w:rPr>
            </w:pPr>
            <w:r>
              <w:rPr>
                <w:rFonts w:ascii="Arial" w:cs="Arial" w:eastAsia="Arial" w:hAnsi="Arial"/>
                <w:sz w:val="13"/>
                <w:szCs w:val="13"/>
                <w:b w:val="1"/>
                <w:bCs w:val="1"/>
                <w:color w:val="404040"/>
                <w:w w:val="97"/>
              </w:rPr>
              <w:t>Incentive Plan Awards</w:t>
            </w:r>
          </w:p>
        </w:tc>
        <w:tc>
          <w:tcPr>
            <w:tcW w:w="248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404040"/>
                <w:w w:val="97"/>
              </w:rPr>
              <w:t>Incentive Plan Awards</w:t>
            </w:r>
          </w:p>
        </w:tc>
        <w:tc>
          <w:tcPr>
            <w:tcW w:w="12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660" w:type="dxa"/>
            <w:vAlign w:val="bottom"/>
            <w:gridSpan w:val="4"/>
            <w:vMerge w:val="continue"/>
          </w:tcPr>
          <w:p>
            <w:pPr>
              <w:spacing w:after="0"/>
              <w:rPr>
                <w:sz w:val="4"/>
                <w:szCs w:val="4"/>
                <w:color w:val="auto"/>
              </w:rPr>
            </w:pPr>
          </w:p>
        </w:tc>
        <w:tc>
          <w:tcPr>
            <w:tcW w:w="2480" w:type="dxa"/>
            <w:vAlign w:val="bottom"/>
            <w:gridSpan w:val="3"/>
            <w:vMerge w:val="continue"/>
          </w:tcPr>
          <w:p>
            <w:pPr>
              <w:spacing w:after="0"/>
              <w:rPr>
                <w:sz w:val="4"/>
                <w:szCs w:val="4"/>
                <w:color w:val="auto"/>
              </w:rPr>
            </w:pPr>
          </w:p>
        </w:tc>
        <w:tc>
          <w:tcPr>
            <w:tcW w:w="124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404040"/>
              </w:rPr>
              <w:t>Shares</w:t>
            </w:r>
          </w:p>
        </w:tc>
        <w:tc>
          <w:tcPr>
            <w:tcW w:w="96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404040"/>
              </w:rPr>
              <w:t>Securities</w:t>
            </w:r>
          </w:p>
        </w:tc>
        <w:tc>
          <w:tcPr>
            <w:tcW w:w="84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404040"/>
              </w:rPr>
              <w:t>Price of</w:t>
            </w:r>
          </w:p>
        </w:tc>
        <w:tc>
          <w:tcPr>
            <w:tcW w:w="780" w:type="dxa"/>
            <w:vAlign w:val="bottom"/>
            <w:vMerge w:val="restart"/>
          </w:tcPr>
          <w:p>
            <w:pPr>
              <w:jc w:val="right"/>
              <w:spacing w:after="0"/>
              <w:rPr>
                <w:sz w:val="20"/>
                <w:szCs w:val="20"/>
                <w:color w:val="auto"/>
              </w:rPr>
            </w:pPr>
            <w:r>
              <w:rPr>
                <w:rFonts w:ascii="Arial" w:cs="Arial" w:eastAsia="Arial" w:hAnsi="Arial"/>
                <w:sz w:val="13"/>
                <w:szCs w:val="13"/>
                <w:b w:val="1"/>
                <w:bCs w:val="1"/>
                <w:color w:val="404040"/>
              </w:rPr>
              <w:t>Stock and</w:t>
            </w:r>
          </w:p>
        </w:tc>
        <w:tc>
          <w:tcPr>
            <w:tcW w:w="0" w:type="dxa"/>
            <w:vAlign w:val="bottom"/>
          </w:tcPr>
          <w:p>
            <w:pPr>
              <w:spacing w:after="0"/>
              <w:rPr>
                <w:sz w:val="1"/>
                <w:szCs w:val="1"/>
                <w:color w:val="auto"/>
              </w:rPr>
            </w:pPr>
          </w:p>
        </w:tc>
      </w:tr>
      <w:tr>
        <w:trPr>
          <w:trHeight w:val="48"/>
        </w:trPr>
        <w:tc>
          <w:tcPr>
            <w:tcW w:w="1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980" w:type="dxa"/>
            <w:vAlign w:val="bottom"/>
            <w:tcBorders>
              <w:bottom w:val="single" w:sz="8" w:color="FF7F32"/>
            </w:tcBorders>
          </w:tcPr>
          <w:p>
            <w:pPr>
              <w:spacing w:after="0"/>
              <w:rPr>
                <w:sz w:val="4"/>
                <w:szCs w:val="4"/>
                <w:color w:val="auto"/>
              </w:rPr>
            </w:pPr>
          </w:p>
        </w:tc>
        <w:tc>
          <w:tcPr>
            <w:tcW w:w="900" w:type="dxa"/>
            <w:vAlign w:val="bottom"/>
            <w:tcBorders>
              <w:bottom w:val="single" w:sz="8" w:color="FF7F32"/>
            </w:tcBorders>
          </w:tcPr>
          <w:p>
            <w:pPr>
              <w:spacing w:after="0"/>
              <w:rPr>
                <w:sz w:val="4"/>
                <w:szCs w:val="4"/>
                <w:color w:val="auto"/>
              </w:rPr>
            </w:pPr>
          </w:p>
        </w:tc>
        <w:tc>
          <w:tcPr>
            <w:tcW w:w="660" w:type="dxa"/>
            <w:vAlign w:val="bottom"/>
            <w:tcBorders>
              <w:bottom w:val="single" w:sz="8" w:color="FF7F32"/>
            </w:tcBorders>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Borders>
              <w:bottom w:val="single" w:sz="8" w:color="FF7F32"/>
            </w:tcBorders>
          </w:tcPr>
          <w:p>
            <w:pPr>
              <w:spacing w:after="0"/>
              <w:rPr>
                <w:sz w:val="4"/>
                <w:szCs w:val="4"/>
                <w:color w:val="auto"/>
              </w:rPr>
            </w:pPr>
          </w:p>
        </w:tc>
        <w:tc>
          <w:tcPr>
            <w:tcW w:w="760" w:type="dxa"/>
            <w:vAlign w:val="bottom"/>
            <w:tcBorders>
              <w:bottom w:val="single" w:sz="8" w:color="FF7F32"/>
            </w:tcBorders>
          </w:tcPr>
          <w:p>
            <w:pPr>
              <w:spacing w:after="0"/>
              <w:rPr>
                <w:sz w:val="4"/>
                <w:szCs w:val="4"/>
                <w:color w:val="auto"/>
              </w:rPr>
            </w:pPr>
          </w:p>
        </w:tc>
        <w:tc>
          <w:tcPr>
            <w:tcW w:w="720" w:type="dxa"/>
            <w:vAlign w:val="bottom"/>
            <w:tcBorders>
              <w:bottom w:val="single" w:sz="8" w:color="FF7F32"/>
            </w:tcBorders>
          </w:tcPr>
          <w:p>
            <w:pPr>
              <w:spacing w:after="0"/>
              <w:rPr>
                <w:sz w:val="4"/>
                <w:szCs w:val="4"/>
                <w:color w:val="auto"/>
              </w:rPr>
            </w:pPr>
          </w:p>
        </w:tc>
        <w:tc>
          <w:tcPr>
            <w:tcW w:w="124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3"/>
        </w:trPr>
        <w:tc>
          <w:tcPr>
            <w:tcW w:w="1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40" w:type="dxa"/>
            <w:vAlign w:val="bottom"/>
          </w:tcPr>
          <w:p>
            <w:pPr>
              <w:jc w:val="right"/>
              <w:ind w:right="97"/>
              <w:spacing w:after="0"/>
              <w:rPr>
                <w:sz w:val="20"/>
                <w:szCs w:val="20"/>
                <w:color w:val="auto"/>
              </w:rPr>
            </w:pPr>
            <w:r>
              <w:rPr>
                <w:rFonts w:ascii="Arial" w:cs="Arial" w:eastAsia="Arial" w:hAnsi="Arial"/>
                <w:sz w:val="13"/>
                <w:szCs w:val="13"/>
                <w:b w:val="1"/>
                <w:bCs w:val="1"/>
                <w:color w:val="404040"/>
              </w:rPr>
              <w:t>of Stock</w:t>
            </w:r>
          </w:p>
        </w:tc>
        <w:tc>
          <w:tcPr>
            <w:tcW w:w="960" w:type="dxa"/>
            <w:vAlign w:val="bottom"/>
          </w:tcPr>
          <w:p>
            <w:pPr>
              <w:jc w:val="right"/>
              <w:ind w:right="77"/>
              <w:spacing w:after="0"/>
              <w:rPr>
                <w:sz w:val="20"/>
                <w:szCs w:val="20"/>
                <w:color w:val="auto"/>
              </w:rPr>
            </w:pPr>
            <w:r>
              <w:rPr>
                <w:rFonts w:ascii="Arial" w:cs="Arial" w:eastAsia="Arial" w:hAnsi="Arial"/>
                <w:sz w:val="13"/>
                <w:szCs w:val="13"/>
                <w:b w:val="1"/>
                <w:bCs w:val="1"/>
                <w:color w:val="404040"/>
              </w:rPr>
              <w:t>Underlying</w:t>
            </w:r>
          </w:p>
        </w:tc>
        <w:tc>
          <w:tcPr>
            <w:tcW w:w="840" w:type="dxa"/>
            <w:vAlign w:val="bottom"/>
          </w:tcPr>
          <w:p>
            <w:pPr>
              <w:jc w:val="right"/>
              <w:ind w:right="97"/>
              <w:spacing w:after="0"/>
              <w:rPr>
                <w:sz w:val="20"/>
                <w:szCs w:val="20"/>
                <w:color w:val="auto"/>
              </w:rPr>
            </w:pPr>
            <w:r>
              <w:rPr>
                <w:rFonts w:ascii="Arial" w:cs="Arial" w:eastAsia="Arial" w:hAnsi="Arial"/>
                <w:sz w:val="13"/>
                <w:szCs w:val="13"/>
                <w:b w:val="1"/>
                <w:bCs w:val="1"/>
                <w:color w:val="404040"/>
              </w:rPr>
              <w:t>Option</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404040"/>
              </w:rPr>
              <w:t>Option</w:t>
            </w: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1120" w:type="dxa"/>
            <w:vAlign w:val="bottom"/>
          </w:tcPr>
          <w:p>
            <w:pPr>
              <w:ind w:left="20"/>
              <w:spacing w:after="0"/>
              <w:rPr>
                <w:sz w:val="20"/>
                <w:szCs w:val="20"/>
                <w:color w:val="auto"/>
              </w:rPr>
            </w:pPr>
            <w:r>
              <w:rPr>
                <w:rFonts w:ascii="Arial" w:cs="Arial" w:eastAsia="Arial" w:hAnsi="Arial"/>
                <w:sz w:val="13"/>
                <w:szCs w:val="13"/>
                <w:b w:val="1"/>
                <w:bCs w:val="1"/>
                <w:color w:val="404040"/>
              </w:rPr>
              <w:t>Grant</w:t>
            </w:r>
          </w:p>
        </w:tc>
        <w:tc>
          <w:tcPr>
            <w:tcW w:w="980" w:type="dxa"/>
            <w:vAlign w:val="bottom"/>
          </w:tcPr>
          <w:p>
            <w:pPr>
              <w:jc w:val="right"/>
              <w:ind w:right="37"/>
              <w:spacing w:after="0"/>
              <w:rPr>
                <w:sz w:val="20"/>
                <w:szCs w:val="20"/>
                <w:color w:val="auto"/>
              </w:rPr>
            </w:pPr>
            <w:r>
              <w:rPr>
                <w:rFonts w:ascii="Arial" w:cs="Arial" w:eastAsia="Arial" w:hAnsi="Arial"/>
                <w:sz w:val="13"/>
                <w:szCs w:val="13"/>
                <w:b w:val="1"/>
                <w:bCs w:val="1"/>
                <w:color w:val="404040"/>
              </w:rPr>
              <w:t>Threshold</w:t>
            </w:r>
          </w:p>
        </w:tc>
        <w:tc>
          <w:tcPr>
            <w:tcW w:w="900" w:type="dxa"/>
            <w:vAlign w:val="bottom"/>
          </w:tcPr>
          <w:p>
            <w:pPr>
              <w:jc w:val="right"/>
              <w:ind w:right="157"/>
              <w:spacing w:after="0"/>
              <w:rPr>
                <w:sz w:val="20"/>
                <w:szCs w:val="20"/>
                <w:color w:val="auto"/>
              </w:rPr>
            </w:pPr>
            <w:r>
              <w:rPr>
                <w:rFonts w:ascii="Arial" w:cs="Arial" w:eastAsia="Arial" w:hAnsi="Arial"/>
                <w:sz w:val="13"/>
                <w:szCs w:val="13"/>
                <w:b w:val="1"/>
                <w:bCs w:val="1"/>
                <w:color w:val="404040"/>
              </w:rPr>
              <w:t>Target</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404040"/>
              </w:rPr>
              <w:t>Maximum</w:t>
            </w:r>
          </w:p>
        </w:tc>
        <w:tc>
          <w:tcPr>
            <w:tcW w:w="1000" w:type="dxa"/>
            <w:vAlign w:val="bottom"/>
          </w:tcPr>
          <w:p>
            <w:pPr>
              <w:jc w:val="right"/>
              <w:ind w:right="37"/>
              <w:spacing w:after="0"/>
              <w:rPr>
                <w:sz w:val="20"/>
                <w:szCs w:val="20"/>
                <w:color w:val="auto"/>
              </w:rPr>
            </w:pPr>
            <w:r>
              <w:rPr>
                <w:rFonts w:ascii="Arial" w:cs="Arial" w:eastAsia="Arial" w:hAnsi="Arial"/>
                <w:sz w:val="13"/>
                <w:szCs w:val="13"/>
                <w:b w:val="1"/>
                <w:bCs w:val="1"/>
                <w:color w:val="404040"/>
              </w:rPr>
              <w:t>Threshold</w:t>
            </w:r>
          </w:p>
        </w:tc>
        <w:tc>
          <w:tcPr>
            <w:tcW w:w="760" w:type="dxa"/>
            <w:vAlign w:val="bottom"/>
          </w:tcPr>
          <w:p>
            <w:pPr>
              <w:jc w:val="right"/>
              <w:ind w:right="77"/>
              <w:spacing w:after="0"/>
              <w:rPr>
                <w:sz w:val="20"/>
                <w:szCs w:val="20"/>
                <w:color w:val="auto"/>
              </w:rPr>
            </w:pPr>
            <w:r>
              <w:rPr>
                <w:rFonts w:ascii="Arial" w:cs="Arial" w:eastAsia="Arial" w:hAnsi="Arial"/>
                <w:sz w:val="13"/>
                <w:szCs w:val="13"/>
                <w:b w:val="1"/>
                <w:bCs w:val="1"/>
                <w:color w:val="404040"/>
              </w:rPr>
              <w:t>Target</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404040"/>
              </w:rPr>
              <w:t>Maximum</w:t>
            </w:r>
          </w:p>
        </w:tc>
        <w:tc>
          <w:tcPr>
            <w:tcW w:w="1240" w:type="dxa"/>
            <w:vAlign w:val="bottom"/>
          </w:tcPr>
          <w:p>
            <w:pPr>
              <w:jc w:val="right"/>
              <w:ind w:right="97"/>
              <w:spacing w:after="0"/>
              <w:rPr>
                <w:sz w:val="20"/>
                <w:szCs w:val="20"/>
                <w:color w:val="auto"/>
              </w:rPr>
            </w:pPr>
            <w:r>
              <w:rPr>
                <w:rFonts w:ascii="Arial" w:cs="Arial" w:eastAsia="Arial" w:hAnsi="Arial"/>
                <w:sz w:val="13"/>
                <w:szCs w:val="13"/>
                <w:b w:val="1"/>
                <w:bCs w:val="1"/>
                <w:color w:val="404040"/>
              </w:rPr>
              <w:t>or Units</w:t>
            </w:r>
          </w:p>
        </w:tc>
        <w:tc>
          <w:tcPr>
            <w:tcW w:w="960" w:type="dxa"/>
            <w:vAlign w:val="bottom"/>
          </w:tcPr>
          <w:p>
            <w:pPr>
              <w:jc w:val="right"/>
              <w:ind w:right="77"/>
              <w:spacing w:after="0"/>
              <w:rPr>
                <w:sz w:val="20"/>
                <w:szCs w:val="20"/>
                <w:color w:val="auto"/>
              </w:rPr>
            </w:pPr>
            <w:r>
              <w:rPr>
                <w:rFonts w:ascii="Arial" w:cs="Arial" w:eastAsia="Arial" w:hAnsi="Arial"/>
                <w:sz w:val="13"/>
                <w:szCs w:val="13"/>
                <w:b w:val="1"/>
                <w:bCs w:val="1"/>
                <w:color w:val="404040"/>
              </w:rPr>
              <w:t>Options</w:t>
            </w:r>
          </w:p>
        </w:tc>
        <w:tc>
          <w:tcPr>
            <w:tcW w:w="840" w:type="dxa"/>
            <w:vAlign w:val="bottom"/>
          </w:tcPr>
          <w:p>
            <w:pPr>
              <w:jc w:val="right"/>
              <w:ind w:right="97"/>
              <w:spacing w:after="0"/>
              <w:rPr>
                <w:sz w:val="20"/>
                <w:szCs w:val="20"/>
                <w:color w:val="auto"/>
              </w:rPr>
            </w:pPr>
            <w:r>
              <w:rPr>
                <w:rFonts w:ascii="Arial" w:cs="Arial" w:eastAsia="Arial" w:hAnsi="Arial"/>
                <w:sz w:val="13"/>
                <w:szCs w:val="13"/>
                <w:b w:val="1"/>
                <w:bCs w:val="1"/>
                <w:color w:val="404040"/>
              </w:rPr>
              <w:t>Awards</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404040"/>
              </w:rPr>
              <w:t>Awards</w:t>
            </w:r>
          </w:p>
        </w:tc>
        <w:tc>
          <w:tcPr>
            <w:tcW w:w="0" w:type="dxa"/>
            <w:vAlign w:val="bottom"/>
          </w:tcPr>
          <w:p>
            <w:pPr>
              <w:spacing w:after="0"/>
              <w:rPr>
                <w:sz w:val="1"/>
                <w:szCs w:val="1"/>
                <w:color w:val="auto"/>
              </w:rPr>
            </w:pPr>
          </w:p>
        </w:tc>
      </w:tr>
      <w:tr>
        <w:trPr>
          <w:trHeight w:val="185"/>
        </w:trPr>
        <w:tc>
          <w:tcPr>
            <w:tcW w:w="1160" w:type="dxa"/>
            <w:vAlign w:val="bottom"/>
          </w:tcPr>
          <w:p>
            <w:pPr>
              <w:ind w:left="20"/>
              <w:spacing w:after="0"/>
              <w:rPr>
                <w:sz w:val="20"/>
                <w:szCs w:val="20"/>
                <w:color w:val="auto"/>
              </w:rPr>
            </w:pPr>
            <w:r>
              <w:rPr>
                <w:rFonts w:ascii="Arial" w:cs="Arial" w:eastAsia="Arial" w:hAnsi="Arial"/>
                <w:sz w:val="13"/>
                <w:szCs w:val="13"/>
                <w:b w:val="1"/>
                <w:bCs w:val="1"/>
                <w:color w:val="404040"/>
              </w:rPr>
              <w:t>Name</w:t>
            </w:r>
          </w:p>
        </w:tc>
        <w:tc>
          <w:tcPr>
            <w:tcW w:w="1120" w:type="dxa"/>
            <w:vAlign w:val="bottom"/>
          </w:tcPr>
          <w:p>
            <w:pPr>
              <w:ind w:left="20"/>
              <w:spacing w:after="0"/>
              <w:rPr>
                <w:sz w:val="20"/>
                <w:szCs w:val="20"/>
                <w:color w:val="auto"/>
              </w:rPr>
            </w:pPr>
            <w:r>
              <w:rPr>
                <w:rFonts w:ascii="Arial" w:cs="Arial" w:eastAsia="Arial" w:hAnsi="Arial"/>
                <w:sz w:val="13"/>
                <w:szCs w:val="13"/>
                <w:b w:val="1"/>
                <w:bCs w:val="1"/>
                <w:color w:val="404040"/>
              </w:rPr>
              <w:t>Date</w:t>
            </w:r>
          </w:p>
        </w:tc>
        <w:tc>
          <w:tcPr>
            <w:tcW w:w="980" w:type="dxa"/>
            <w:vAlign w:val="bottom"/>
          </w:tcPr>
          <w:p>
            <w:pPr>
              <w:jc w:val="right"/>
              <w:ind w:right="37"/>
              <w:spacing w:after="0"/>
              <w:rPr>
                <w:sz w:val="20"/>
                <w:szCs w:val="20"/>
                <w:color w:val="auto"/>
              </w:rPr>
            </w:pPr>
            <w:r>
              <w:rPr>
                <w:rFonts w:ascii="Arial" w:cs="Arial" w:eastAsia="Arial" w:hAnsi="Arial"/>
                <w:sz w:val="13"/>
                <w:szCs w:val="13"/>
                <w:b w:val="1"/>
                <w:bCs w:val="1"/>
                <w:color w:val="404040"/>
              </w:rPr>
              <w:t>($)</w:t>
            </w:r>
          </w:p>
        </w:tc>
        <w:tc>
          <w:tcPr>
            <w:tcW w:w="900" w:type="dxa"/>
            <w:vAlign w:val="bottom"/>
          </w:tcPr>
          <w:p>
            <w:pPr>
              <w:jc w:val="right"/>
              <w:ind w:right="157"/>
              <w:spacing w:after="0"/>
              <w:rPr>
                <w:sz w:val="20"/>
                <w:szCs w:val="20"/>
                <w:color w:val="auto"/>
              </w:rPr>
            </w:pPr>
            <w:r>
              <w:rPr>
                <w:rFonts w:ascii="Arial" w:cs="Arial" w:eastAsia="Arial" w:hAnsi="Arial"/>
                <w:sz w:val="13"/>
                <w:szCs w:val="13"/>
                <w:b w:val="1"/>
                <w:bCs w:val="1"/>
                <w:color w:val="404040"/>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404040"/>
              </w:rPr>
              <w:t>($)</w:t>
            </w:r>
          </w:p>
        </w:tc>
        <w:tc>
          <w:tcPr>
            <w:tcW w:w="120" w:type="dxa"/>
            <w:vAlign w:val="bottom"/>
          </w:tcPr>
          <w:p>
            <w:pPr>
              <w:spacing w:after="0"/>
              <w:rPr>
                <w:sz w:val="16"/>
                <w:szCs w:val="16"/>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b w:val="1"/>
                <w:bCs w:val="1"/>
                <w:color w:val="404040"/>
              </w:rPr>
              <w:t>(#)</w:t>
            </w:r>
          </w:p>
        </w:tc>
        <w:tc>
          <w:tcPr>
            <w:tcW w:w="760" w:type="dxa"/>
            <w:vAlign w:val="bottom"/>
          </w:tcPr>
          <w:p>
            <w:pPr>
              <w:jc w:val="right"/>
              <w:ind w:right="77"/>
              <w:spacing w:after="0"/>
              <w:rPr>
                <w:sz w:val="20"/>
                <w:szCs w:val="20"/>
                <w:color w:val="auto"/>
              </w:rPr>
            </w:pPr>
            <w:r>
              <w:rPr>
                <w:rFonts w:ascii="Arial" w:cs="Arial" w:eastAsia="Arial" w:hAnsi="Arial"/>
                <w:sz w:val="13"/>
                <w:szCs w:val="13"/>
                <w:b w:val="1"/>
                <w:bCs w:val="1"/>
                <w:color w:val="404040"/>
              </w:rPr>
              <w:t>(#)</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404040"/>
              </w:rPr>
              <w:t>(#)</w:t>
            </w:r>
          </w:p>
        </w:tc>
        <w:tc>
          <w:tcPr>
            <w:tcW w:w="1240" w:type="dxa"/>
            <w:vAlign w:val="bottom"/>
          </w:tcPr>
          <w:p>
            <w:pPr>
              <w:jc w:val="right"/>
              <w:ind w:right="97"/>
              <w:spacing w:after="0"/>
              <w:rPr>
                <w:sz w:val="20"/>
                <w:szCs w:val="20"/>
                <w:color w:val="auto"/>
              </w:rPr>
            </w:pPr>
            <w:r>
              <w:rPr>
                <w:rFonts w:ascii="Arial" w:cs="Arial" w:eastAsia="Arial" w:hAnsi="Arial"/>
                <w:sz w:val="13"/>
                <w:szCs w:val="13"/>
                <w:b w:val="1"/>
                <w:bCs w:val="1"/>
                <w:color w:val="404040"/>
              </w:rPr>
              <w:t>(#)</w:t>
            </w:r>
          </w:p>
        </w:tc>
        <w:tc>
          <w:tcPr>
            <w:tcW w:w="960" w:type="dxa"/>
            <w:vAlign w:val="bottom"/>
          </w:tcPr>
          <w:p>
            <w:pPr>
              <w:jc w:val="right"/>
              <w:ind w:right="77"/>
              <w:spacing w:after="0"/>
              <w:rPr>
                <w:sz w:val="20"/>
                <w:szCs w:val="20"/>
                <w:color w:val="auto"/>
              </w:rPr>
            </w:pPr>
            <w:r>
              <w:rPr>
                <w:rFonts w:ascii="Arial" w:cs="Arial" w:eastAsia="Arial" w:hAnsi="Arial"/>
                <w:sz w:val="13"/>
                <w:szCs w:val="13"/>
                <w:b w:val="1"/>
                <w:bCs w:val="1"/>
                <w:color w:val="404040"/>
              </w:rPr>
              <w:t>(#)</w:t>
            </w:r>
          </w:p>
        </w:tc>
        <w:tc>
          <w:tcPr>
            <w:tcW w:w="840" w:type="dxa"/>
            <w:vAlign w:val="bottom"/>
          </w:tcPr>
          <w:p>
            <w:pPr>
              <w:ind w:left="400"/>
              <w:spacing w:after="0"/>
              <w:rPr>
                <w:sz w:val="20"/>
                <w:szCs w:val="20"/>
                <w:color w:val="auto"/>
              </w:rPr>
            </w:pPr>
            <w:r>
              <w:rPr>
                <w:rFonts w:ascii="Arial" w:cs="Arial" w:eastAsia="Arial" w:hAnsi="Arial"/>
                <w:sz w:val="13"/>
                <w:szCs w:val="13"/>
                <w:b w:val="1"/>
                <w:bCs w:val="1"/>
                <w:color w:val="404040"/>
              </w:rPr>
              <w:t>$/Sh</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404040"/>
              </w:rPr>
              <w:t>($)</w:t>
            </w:r>
          </w:p>
        </w:tc>
        <w:tc>
          <w:tcPr>
            <w:tcW w:w="0" w:type="dxa"/>
            <w:vAlign w:val="bottom"/>
          </w:tcPr>
          <w:p>
            <w:pPr>
              <w:spacing w:after="0"/>
              <w:rPr>
                <w:sz w:val="1"/>
                <w:szCs w:val="1"/>
                <w:color w:val="auto"/>
              </w:rPr>
            </w:pPr>
          </w:p>
        </w:tc>
      </w:tr>
      <w:tr>
        <w:trPr>
          <w:trHeight w:val="35"/>
        </w:trPr>
        <w:tc>
          <w:tcPr>
            <w:tcW w:w="1160" w:type="dxa"/>
            <w:vAlign w:val="bottom"/>
            <w:tcBorders>
              <w:bottom w:val="single" w:sz="8" w:color="D9D9D9"/>
            </w:tcBorders>
          </w:tcPr>
          <w:p>
            <w:pPr>
              <w:spacing w:after="0"/>
              <w:rPr>
                <w:sz w:val="3"/>
                <w:szCs w:val="3"/>
                <w:color w:val="auto"/>
              </w:rPr>
            </w:pPr>
          </w:p>
        </w:tc>
        <w:tc>
          <w:tcPr>
            <w:tcW w:w="1120" w:type="dxa"/>
            <w:vAlign w:val="bottom"/>
            <w:tcBorders>
              <w:bottom w:val="single" w:sz="8" w:color="D9D9D9"/>
            </w:tcBorders>
          </w:tcPr>
          <w:p>
            <w:pPr>
              <w:spacing w:after="0"/>
              <w:rPr>
                <w:sz w:val="3"/>
                <w:szCs w:val="3"/>
                <w:color w:val="auto"/>
              </w:rPr>
            </w:pPr>
          </w:p>
        </w:tc>
        <w:tc>
          <w:tcPr>
            <w:tcW w:w="980" w:type="dxa"/>
            <w:vAlign w:val="bottom"/>
            <w:tcBorders>
              <w:bottom w:val="single" w:sz="8" w:color="D9D9D9"/>
            </w:tcBorders>
          </w:tcPr>
          <w:p>
            <w:pPr>
              <w:spacing w:after="0"/>
              <w:rPr>
                <w:sz w:val="3"/>
                <w:szCs w:val="3"/>
                <w:color w:val="auto"/>
              </w:rPr>
            </w:pPr>
          </w:p>
        </w:tc>
        <w:tc>
          <w:tcPr>
            <w:tcW w:w="900" w:type="dxa"/>
            <w:vAlign w:val="bottom"/>
            <w:tcBorders>
              <w:bottom w:val="single" w:sz="8" w:color="D9D9D9"/>
            </w:tcBorders>
          </w:tcPr>
          <w:p>
            <w:pPr>
              <w:spacing w:after="0"/>
              <w:rPr>
                <w:sz w:val="3"/>
                <w:szCs w:val="3"/>
                <w:color w:val="auto"/>
              </w:rPr>
            </w:pPr>
          </w:p>
        </w:tc>
        <w:tc>
          <w:tcPr>
            <w:tcW w:w="660" w:type="dxa"/>
            <w:vAlign w:val="bottom"/>
            <w:tcBorders>
              <w:bottom w:val="single" w:sz="8" w:color="D9D9D9"/>
            </w:tcBorders>
          </w:tcPr>
          <w:p>
            <w:pPr>
              <w:spacing w:after="0"/>
              <w:rPr>
                <w:sz w:val="3"/>
                <w:szCs w:val="3"/>
                <w:color w:val="auto"/>
              </w:rPr>
            </w:pPr>
          </w:p>
        </w:tc>
        <w:tc>
          <w:tcPr>
            <w:tcW w:w="120" w:type="dxa"/>
            <w:vAlign w:val="bottom"/>
            <w:tcBorders>
              <w:bottom w:val="single" w:sz="8" w:color="D9D9D9"/>
            </w:tcBorders>
          </w:tcPr>
          <w:p>
            <w:pPr>
              <w:spacing w:after="0"/>
              <w:rPr>
                <w:sz w:val="3"/>
                <w:szCs w:val="3"/>
                <w:color w:val="auto"/>
              </w:rPr>
            </w:pPr>
          </w:p>
        </w:tc>
        <w:tc>
          <w:tcPr>
            <w:tcW w:w="1000" w:type="dxa"/>
            <w:vAlign w:val="bottom"/>
            <w:tcBorders>
              <w:bottom w:val="single" w:sz="8" w:color="D9D9D9"/>
            </w:tcBorders>
          </w:tcPr>
          <w:p>
            <w:pPr>
              <w:spacing w:after="0"/>
              <w:rPr>
                <w:sz w:val="3"/>
                <w:szCs w:val="3"/>
                <w:color w:val="auto"/>
              </w:rPr>
            </w:pPr>
          </w:p>
        </w:tc>
        <w:tc>
          <w:tcPr>
            <w:tcW w:w="760" w:type="dxa"/>
            <w:vAlign w:val="bottom"/>
            <w:tcBorders>
              <w:bottom w:val="single" w:sz="8" w:color="D9D9D9"/>
            </w:tcBorders>
          </w:tcPr>
          <w:p>
            <w:pPr>
              <w:spacing w:after="0"/>
              <w:rPr>
                <w:sz w:val="3"/>
                <w:szCs w:val="3"/>
                <w:color w:val="auto"/>
              </w:rPr>
            </w:pPr>
          </w:p>
        </w:tc>
        <w:tc>
          <w:tcPr>
            <w:tcW w:w="720" w:type="dxa"/>
            <w:vAlign w:val="bottom"/>
            <w:tcBorders>
              <w:bottom w:val="single" w:sz="8" w:color="D9D9D9"/>
            </w:tcBorders>
          </w:tcPr>
          <w:p>
            <w:pPr>
              <w:spacing w:after="0"/>
              <w:rPr>
                <w:sz w:val="3"/>
                <w:szCs w:val="3"/>
                <w:color w:val="auto"/>
              </w:rPr>
            </w:pPr>
          </w:p>
        </w:tc>
        <w:tc>
          <w:tcPr>
            <w:tcW w:w="1240" w:type="dxa"/>
            <w:vAlign w:val="bottom"/>
            <w:tcBorders>
              <w:bottom w:val="single" w:sz="8" w:color="D9D9D9"/>
            </w:tcBorders>
          </w:tcPr>
          <w:p>
            <w:pPr>
              <w:spacing w:after="0"/>
              <w:rPr>
                <w:sz w:val="3"/>
                <w:szCs w:val="3"/>
                <w:color w:val="auto"/>
              </w:rPr>
            </w:pPr>
          </w:p>
        </w:tc>
        <w:tc>
          <w:tcPr>
            <w:tcW w:w="960" w:type="dxa"/>
            <w:vAlign w:val="bottom"/>
            <w:tcBorders>
              <w:bottom w:val="single" w:sz="8" w:color="D9D9D9"/>
            </w:tcBorders>
          </w:tcPr>
          <w:p>
            <w:pPr>
              <w:spacing w:after="0"/>
              <w:rPr>
                <w:sz w:val="3"/>
                <w:szCs w:val="3"/>
                <w:color w:val="auto"/>
              </w:rPr>
            </w:pPr>
          </w:p>
        </w:tc>
        <w:tc>
          <w:tcPr>
            <w:tcW w:w="840" w:type="dxa"/>
            <w:vAlign w:val="bottom"/>
            <w:tcBorders>
              <w:bottom w:val="single" w:sz="8" w:color="D9D9D9"/>
            </w:tcBorders>
          </w:tcPr>
          <w:p>
            <w:pPr>
              <w:spacing w:after="0"/>
              <w:rPr>
                <w:sz w:val="3"/>
                <w:szCs w:val="3"/>
                <w:color w:val="auto"/>
              </w:rPr>
            </w:pPr>
          </w:p>
        </w:tc>
        <w:tc>
          <w:tcPr>
            <w:tcW w:w="780" w:type="dxa"/>
            <w:vAlign w:val="bottom"/>
            <w:tcBorders>
              <w:bottom w:val="single" w:sz="8" w:color="D9D9D9"/>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1160" w:type="dxa"/>
            <w:vAlign w:val="bottom"/>
          </w:tcPr>
          <w:p>
            <w:pPr>
              <w:ind w:left="20"/>
              <w:spacing w:after="0"/>
              <w:rPr>
                <w:sz w:val="20"/>
                <w:szCs w:val="20"/>
                <w:color w:val="auto"/>
              </w:rPr>
            </w:pPr>
            <w:r>
              <w:rPr>
                <w:rFonts w:ascii="Arial" w:cs="Arial" w:eastAsia="Arial" w:hAnsi="Arial"/>
                <w:sz w:val="13"/>
                <w:szCs w:val="13"/>
                <w:b w:val="1"/>
                <w:bCs w:val="1"/>
                <w:color w:val="FF7F32"/>
              </w:rPr>
              <w:t>Ravi Venkatesan</w:t>
            </w:r>
          </w:p>
        </w:tc>
        <w:tc>
          <w:tcPr>
            <w:tcW w:w="1120" w:type="dxa"/>
            <w:vAlign w:val="bottom"/>
          </w:tcPr>
          <w:p>
            <w:pPr>
              <w:ind w:left="20"/>
              <w:spacing w:after="0"/>
              <w:rPr>
                <w:sz w:val="20"/>
                <w:szCs w:val="20"/>
                <w:color w:val="auto"/>
              </w:rPr>
            </w:pPr>
            <w:r>
              <w:rPr>
                <w:rFonts w:ascii="Arial" w:cs="Arial" w:eastAsia="Arial" w:hAnsi="Arial"/>
                <w:sz w:val="13"/>
                <w:szCs w:val="13"/>
                <w:color w:val="auto"/>
              </w:rPr>
              <w:t>2025 Annual</w:t>
            </w:r>
          </w:p>
        </w:tc>
        <w:tc>
          <w:tcPr>
            <w:tcW w:w="980" w:type="dxa"/>
            <w:vAlign w:val="bottom"/>
          </w:tcPr>
          <w:p>
            <w:pPr>
              <w:jc w:val="right"/>
              <w:ind w:right="177"/>
              <w:spacing w:after="0"/>
              <w:rPr>
                <w:sz w:val="20"/>
                <w:szCs w:val="20"/>
                <w:color w:val="auto"/>
              </w:rPr>
            </w:pPr>
            <w:r>
              <w:rPr>
                <w:rFonts w:ascii="Arial" w:cs="Arial" w:eastAsia="Arial" w:hAnsi="Arial"/>
                <w:sz w:val="13"/>
                <w:szCs w:val="13"/>
                <w:color w:val="auto"/>
              </w:rPr>
              <w:t>315,000</w:t>
            </w:r>
          </w:p>
        </w:tc>
        <w:tc>
          <w:tcPr>
            <w:tcW w:w="900" w:type="dxa"/>
            <w:vAlign w:val="bottom"/>
          </w:tcPr>
          <w:p>
            <w:pPr>
              <w:jc w:val="right"/>
              <w:ind w:right="297"/>
              <w:spacing w:after="0"/>
              <w:rPr>
                <w:sz w:val="20"/>
                <w:szCs w:val="20"/>
                <w:color w:val="auto"/>
              </w:rPr>
            </w:pPr>
            <w:r>
              <w:rPr>
                <w:rFonts w:ascii="Arial" w:cs="Arial" w:eastAsia="Arial" w:hAnsi="Arial"/>
                <w:sz w:val="13"/>
                <w:szCs w:val="13"/>
                <w:color w:val="auto"/>
              </w:rPr>
              <w:t>450,000</w:t>
            </w:r>
          </w:p>
        </w:tc>
        <w:tc>
          <w:tcPr>
            <w:tcW w:w="660" w:type="dxa"/>
            <w:vAlign w:val="bottom"/>
          </w:tcPr>
          <w:p>
            <w:pPr>
              <w:jc w:val="right"/>
              <w:ind w:right="97"/>
              <w:spacing w:after="0"/>
              <w:rPr>
                <w:sz w:val="20"/>
                <w:szCs w:val="20"/>
                <w:color w:val="auto"/>
              </w:rPr>
            </w:pPr>
            <w:r>
              <w:rPr>
                <w:rFonts w:ascii="Arial" w:cs="Arial" w:eastAsia="Arial" w:hAnsi="Arial"/>
                <w:sz w:val="13"/>
                <w:szCs w:val="13"/>
                <w:color w:val="auto"/>
              </w:rPr>
              <w:t>585,000</w:t>
            </w:r>
          </w:p>
        </w:tc>
        <w:tc>
          <w:tcPr>
            <w:tcW w:w="120" w:type="dxa"/>
            <w:vAlign w:val="bottom"/>
          </w:tcPr>
          <w:p>
            <w:pPr>
              <w:spacing w:after="0"/>
              <w:rPr>
                <w:sz w:val="19"/>
                <w:szCs w:val="19"/>
                <w:color w:val="auto"/>
              </w:rPr>
            </w:pPr>
          </w:p>
        </w:tc>
        <w:tc>
          <w:tcPr>
            <w:tcW w:w="1000" w:type="dxa"/>
            <w:vAlign w:val="bottom"/>
          </w:tcPr>
          <w:p>
            <w:pPr>
              <w:ind w:left="62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720" w:type="dxa"/>
            <w:vAlign w:val="bottom"/>
          </w:tcPr>
          <w:p>
            <w:pPr>
              <w:ind w:left="440"/>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960" w:type="dxa"/>
            <w:vAlign w:val="bottom"/>
          </w:tcPr>
          <w:p>
            <w:pPr>
              <w:jc w:val="center"/>
              <w:ind w:left="217"/>
              <w:spacing w:after="0"/>
              <w:rPr>
                <w:sz w:val="20"/>
                <w:szCs w:val="20"/>
                <w:color w:val="auto"/>
              </w:rPr>
            </w:pPr>
            <w:r>
              <w:rPr>
                <w:rFonts w:ascii="Arial" w:cs="Arial" w:eastAsia="Arial" w:hAnsi="Arial"/>
                <w:sz w:val="13"/>
                <w:szCs w:val="13"/>
                <w:color w:val="auto"/>
                <w:w w:val="91"/>
              </w:rPr>
              <w:t>—</w:t>
            </w:r>
          </w:p>
        </w:tc>
        <w:tc>
          <w:tcPr>
            <w:tcW w:w="840" w:type="dxa"/>
            <w:vAlign w:val="bottom"/>
          </w:tcPr>
          <w:p>
            <w:pPr>
              <w:ind w:left="40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Bonus</w:t>
            </w: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160" w:type="dxa"/>
            <w:vAlign w:val="bottom"/>
          </w:tcPr>
          <w:p>
            <w:pPr>
              <w:spacing w:after="0"/>
              <w:rPr>
                <w:sz w:val="3"/>
                <w:szCs w:val="3"/>
                <w:color w:val="auto"/>
              </w:rPr>
            </w:pPr>
          </w:p>
        </w:tc>
        <w:tc>
          <w:tcPr>
            <w:tcW w:w="1120" w:type="dxa"/>
            <w:vAlign w:val="bottom"/>
            <w:tcBorders>
              <w:bottom w:val="single" w:sz="8" w:color="D9D9D9"/>
            </w:tcBorders>
          </w:tcPr>
          <w:p>
            <w:pPr>
              <w:spacing w:after="0"/>
              <w:rPr>
                <w:sz w:val="3"/>
                <w:szCs w:val="3"/>
                <w:color w:val="auto"/>
              </w:rPr>
            </w:pPr>
          </w:p>
        </w:tc>
        <w:tc>
          <w:tcPr>
            <w:tcW w:w="980" w:type="dxa"/>
            <w:vAlign w:val="bottom"/>
            <w:tcBorders>
              <w:bottom w:val="single" w:sz="8" w:color="D9D9D9"/>
            </w:tcBorders>
          </w:tcPr>
          <w:p>
            <w:pPr>
              <w:spacing w:after="0"/>
              <w:rPr>
                <w:sz w:val="3"/>
                <w:szCs w:val="3"/>
                <w:color w:val="auto"/>
              </w:rPr>
            </w:pPr>
          </w:p>
        </w:tc>
        <w:tc>
          <w:tcPr>
            <w:tcW w:w="900" w:type="dxa"/>
            <w:vAlign w:val="bottom"/>
            <w:tcBorders>
              <w:bottom w:val="single" w:sz="8" w:color="D9D9D9"/>
            </w:tcBorders>
          </w:tcPr>
          <w:p>
            <w:pPr>
              <w:spacing w:after="0"/>
              <w:rPr>
                <w:sz w:val="3"/>
                <w:szCs w:val="3"/>
                <w:color w:val="auto"/>
              </w:rPr>
            </w:pPr>
          </w:p>
        </w:tc>
        <w:tc>
          <w:tcPr>
            <w:tcW w:w="660" w:type="dxa"/>
            <w:vAlign w:val="bottom"/>
            <w:tcBorders>
              <w:bottom w:val="single" w:sz="8" w:color="D9D9D9"/>
            </w:tcBorders>
          </w:tcPr>
          <w:p>
            <w:pPr>
              <w:spacing w:after="0"/>
              <w:rPr>
                <w:sz w:val="3"/>
                <w:szCs w:val="3"/>
                <w:color w:val="auto"/>
              </w:rPr>
            </w:pPr>
          </w:p>
        </w:tc>
        <w:tc>
          <w:tcPr>
            <w:tcW w:w="120" w:type="dxa"/>
            <w:vAlign w:val="bottom"/>
            <w:tcBorders>
              <w:bottom w:val="single" w:sz="8" w:color="D9D9D9"/>
            </w:tcBorders>
          </w:tcPr>
          <w:p>
            <w:pPr>
              <w:spacing w:after="0"/>
              <w:rPr>
                <w:sz w:val="3"/>
                <w:szCs w:val="3"/>
                <w:color w:val="auto"/>
              </w:rPr>
            </w:pPr>
          </w:p>
        </w:tc>
        <w:tc>
          <w:tcPr>
            <w:tcW w:w="1000" w:type="dxa"/>
            <w:vAlign w:val="bottom"/>
            <w:tcBorders>
              <w:bottom w:val="single" w:sz="8" w:color="D9D9D9"/>
            </w:tcBorders>
          </w:tcPr>
          <w:p>
            <w:pPr>
              <w:spacing w:after="0"/>
              <w:rPr>
                <w:sz w:val="3"/>
                <w:szCs w:val="3"/>
                <w:color w:val="auto"/>
              </w:rPr>
            </w:pPr>
          </w:p>
        </w:tc>
        <w:tc>
          <w:tcPr>
            <w:tcW w:w="760" w:type="dxa"/>
            <w:vAlign w:val="bottom"/>
            <w:tcBorders>
              <w:bottom w:val="single" w:sz="8" w:color="D9D9D9"/>
            </w:tcBorders>
          </w:tcPr>
          <w:p>
            <w:pPr>
              <w:spacing w:after="0"/>
              <w:rPr>
                <w:sz w:val="3"/>
                <w:szCs w:val="3"/>
                <w:color w:val="auto"/>
              </w:rPr>
            </w:pPr>
          </w:p>
        </w:tc>
        <w:tc>
          <w:tcPr>
            <w:tcW w:w="720" w:type="dxa"/>
            <w:vAlign w:val="bottom"/>
            <w:tcBorders>
              <w:bottom w:val="single" w:sz="8" w:color="D9D9D9"/>
            </w:tcBorders>
          </w:tcPr>
          <w:p>
            <w:pPr>
              <w:spacing w:after="0"/>
              <w:rPr>
                <w:sz w:val="3"/>
                <w:szCs w:val="3"/>
                <w:color w:val="auto"/>
              </w:rPr>
            </w:pPr>
          </w:p>
        </w:tc>
        <w:tc>
          <w:tcPr>
            <w:tcW w:w="1240" w:type="dxa"/>
            <w:vAlign w:val="bottom"/>
            <w:tcBorders>
              <w:bottom w:val="single" w:sz="8" w:color="D9D9D9"/>
            </w:tcBorders>
          </w:tcPr>
          <w:p>
            <w:pPr>
              <w:spacing w:after="0"/>
              <w:rPr>
                <w:sz w:val="3"/>
                <w:szCs w:val="3"/>
                <w:color w:val="auto"/>
              </w:rPr>
            </w:pPr>
          </w:p>
        </w:tc>
        <w:tc>
          <w:tcPr>
            <w:tcW w:w="960" w:type="dxa"/>
            <w:vAlign w:val="bottom"/>
            <w:tcBorders>
              <w:bottom w:val="single" w:sz="8" w:color="D9D9D9"/>
            </w:tcBorders>
          </w:tcPr>
          <w:p>
            <w:pPr>
              <w:spacing w:after="0"/>
              <w:rPr>
                <w:sz w:val="3"/>
                <w:szCs w:val="3"/>
                <w:color w:val="auto"/>
              </w:rPr>
            </w:pPr>
          </w:p>
        </w:tc>
        <w:tc>
          <w:tcPr>
            <w:tcW w:w="840" w:type="dxa"/>
            <w:vAlign w:val="bottom"/>
            <w:tcBorders>
              <w:bottom w:val="single" w:sz="8" w:color="D9D9D9"/>
            </w:tcBorders>
          </w:tcPr>
          <w:p>
            <w:pPr>
              <w:spacing w:after="0"/>
              <w:rPr>
                <w:sz w:val="3"/>
                <w:szCs w:val="3"/>
                <w:color w:val="auto"/>
              </w:rPr>
            </w:pPr>
          </w:p>
        </w:tc>
        <w:tc>
          <w:tcPr>
            <w:tcW w:w="780" w:type="dxa"/>
            <w:vAlign w:val="bottom"/>
            <w:tcBorders>
              <w:bottom w:val="single" w:sz="8" w:color="D9D9D9"/>
            </w:tcBorders>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1160" w:type="dxa"/>
            <w:vAlign w:val="bottom"/>
            <w:tcBorders>
              <w:bottom w:val="single" w:sz="8" w:color="D9D9D9"/>
            </w:tcBorders>
          </w:tcPr>
          <w:p>
            <w:pPr>
              <w:spacing w:after="0"/>
              <w:rPr>
                <w:sz w:val="24"/>
                <w:szCs w:val="24"/>
                <w:color w:val="auto"/>
              </w:rPr>
            </w:pPr>
          </w:p>
        </w:tc>
        <w:tc>
          <w:tcPr>
            <w:tcW w:w="1120" w:type="dxa"/>
            <w:vAlign w:val="bottom"/>
            <w:tcBorders>
              <w:bottom w:val="single" w:sz="8" w:color="D9D9D9"/>
            </w:tcBorders>
          </w:tcPr>
          <w:p>
            <w:pPr>
              <w:ind w:left="20"/>
              <w:spacing w:after="0"/>
              <w:rPr>
                <w:sz w:val="20"/>
                <w:szCs w:val="20"/>
                <w:color w:val="auto"/>
              </w:rPr>
            </w:pPr>
            <w:r>
              <w:rPr>
                <w:rFonts w:ascii="Arial" w:cs="Arial" w:eastAsia="Arial" w:hAnsi="Arial"/>
                <w:sz w:val="13"/>
                <w:szCs w:val="13"/>
                <w:color w:val="auto"/>
              </w:rPr>
              <w:t>9/20/2024</w:t>
            </w:r>
            <w:r>
              <w:rPr>
                <w:rFonts w:ascii="Arial" w:cs="Arial" w:eastAsia="Arial" w:hAnsi="Arial"/>
                <w:sz w:val="18"/>
                <w:szCs w:val="18"/>
                <w:color w:val="auto"/>
                <w:vertAlign w:val="superscript"/>
              </w:rPr>
              <w:t>(1)</w:t>
            </w:r>
          </w:p>
        </w:tc>
        <w:tc>
          <w:tcPr>
            <w:tcW w:w="980" w:type="dxa"/>
            <w:vAlign w:val="bottom"/>
            <w:tcBorders>
              <w:bottom w:val="single" w:sz="8" w:color="D9D9D9"/>
            </w:tcBorders>
          </w:tcPr>
          <w:p>
            <w:pPr>
              <w:jc w:val="right"/>
              <w:ind w:right="177"/>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D9D9D9"/>
            </w:tcBorders>
          </w:tcPr>
          <w:p>
            <w:pPr>
              <w:jc w:val="right"/>
              <w:ind w:right="29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D9D9D9"/>
            </w:tcBorders>
            <w:gridSpan w:val="2"/>
          </w:tcPr>
          <w:p>
            <w:pPr>
              <w:jc w:val="right"/>
              <w:ind w:right="28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D9D9D9"/>
            </w:tcBorders>
          </w:tcPr>
          <w:p>
            <w:pPr>
              <w:ind w:left="62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D9D9D9"/>
            </w:tcBorders>
          </w:tcPr>
          <w:p>
            <w:pPr>
              <w:jc w:val="right"/>
              <w:ind w:right="217"/>
              <w:spacing w:after="0"/>
              <w:rPr>
                <w:sz w:val="20"/>
                <w:szCs w:val="20"/>
                <w:color w:val="auto"/>
              </w:rPr>
            </w:pPr>
            <w:r>
              <w:rPr>
                <w:rFonts w:ascii="Arial" w:cs="Arial" w:eastAsia="Arial" w:hAnsi="Arial"/>
                <w:sz w:val="13"/>
                <w:szCs w:val="13"/>
                <w:color w:val="auto"/>
              </w:rPr>
              <w:t>26,745</w:t>
            </w:r>
          </w:p>
        </w:tc>
        <w:tc>
          <w:tcPr>
            <w:tcW w:w="720" w:type="dxa"/>
            <w:vAlign w:val="bottom"/>
            <w:tcBorders>
              <w:bottom w:val="single" w:sz="8" w:color="D9D9D9"/>
            </w:tcBorders>
          </w:tcPr>
          <w:p>
            <w:pPr>
              <w:ind w:left="440"/>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D9D9D9"/>
            </w:tcBorders>
          </w:tcPr>
          <w:p>
            <w:pPr>
              <w:jc w:val="right"/>
              <w:ind w:right="97"/>
              <w:spacing w:after="0"/>
              <w:rPr>
                <w:sz w:val="20"/>
                <w:szCs w:val="20"/>
                <w:color w:val="auto"/>
              </w:rPr>
            </w:pPr>
            <w:r>
              <w:rPr>
                <w:rFonts w:ascii="Arial" w:cs="Arial" w:eastAsia="Arial" w:hAnsi="Arial"/>
                <w:sz w:val="13"/>
                <w:szCs w:val="13"/>
                <w:color w:val="auto"/>
              </w:rPr>
              <w:t>26,745</w:t>
            </w:r>
          </w:p>
        </w:tc>
        <w:tc>
          <w:tcPr>
            <w:tcW w:w="960" w:type="dxa"/>
            <w:vAlign w:val="bottom"/>
            <w:tcBorders>
              <w:bottom w:val="single" w:sz="8" w:color="D9D9D9"/>
            </w:tcBorders>
          </w:tcPr>
          <w:p>
            <w:pPr>
              <w:jc w:val="center"/>
              <w:ind w:left="217"/>
              <w:spacing w:after="0"/>
              <w:rPr>
                <w:sz w:val="20"/>
                <w:szCs w:val="20"/>
                <w:color w:val="auto"/>
              </w:rPr>
            </w:pPr>
            <w:r>
              <w:rPr>
                <w:rFonts w:ascii="Arial" w:cs="Arial" w:eastAsia="Arial" w:hAnsi="Arial"/>
                <w:sz w:val="13"/>
                <w:szCs w:val="13"/>
                <w:color w:val="auto"/>
                <w:w w:val="91"/>
              </w:rPr>
              <w:t>—</w:t>
            </w:r>
          </w:p>
        </w:tc>
        <w:tc>
          <w:tcPr>
            <w:tcW w:w="840" w:type="dxa"/>
            <w:vAlign w:val="bottom"/>
            <w:tcBorders>
              <w:bottom w:val="single" w:sz="8" w:color="D9D9D9"/>
            </w:tcBorders>
          </w:tcPr>
          <w:p>
            <w:pPr>
              <w:ind w:left="40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D9D9D9"/>
            </w:tcBorders>
          </w:tcPr>
          <w:p>
            <w:pPr>
              <w:jc w:val="right"/>
              <w:ind w:right="97"/>
              <w:spacing w:after="0"/>
              <w:rPr>
                <w:sz w:val="20"/>
                <w:szCs w:val="20"/>
                <w:color w:val="auto"/>
              </w:rPr>
            </w:pPr>
            <w:r>
              <w:rPr>
                <w:rFonts w:ascii="Arial" w:cs="Arial" w:eastAsia="Arial" w:hAnsi="Arial"/>
                <w:sz w:val="13"/>
                <w:szCs w:val="13"/>
                <w:color w:val="auto"/>
              </w:rPr>
              <w:t>172,238</w:t>
            </w:r>
          </w:p>
        </w:tc>
        <w:tc>
          <w:tcPr>
            <w:tcW w:w="0" w:type="dxa"/>
            <w:vAlign w:val="bottom"/>
          </w:tcPr>
          <w:p>
            <w:pPr>
              <w:spacing w:after="0"/>
              <w:rPr>
                <w:sz w:val="1"/>
                <w:szCs w:val="1"/>
                <w:color w:val="auto"/>
              </w:rPr>
            </w:pPr>
          </w:p>
        </w:tc>
      </w:tr>
      <w:tr>
        <w:trPr>
          <w:trHeight w:val="228"/>
        </w:trPr>
        <w:tc>
          <w:tcPr>
            <w:tcW w:w="1160" w:type="dxa"/>
            <w:vAlign w:val="bottom"/>
          </w:tcPr>
          <w:p>
            <w:pPr>
              <w:ind w:left="20"/>
              <w:spacing w:after="0"/>
              <w:rPr>
                <w:sz w:val="20"/>
                <w:szCs w:val="20"/>
                <w:color w:val="auto"/>
              </w:rPr>
            </w:pPr>
            <w:r>
              <w:rPr>
                <w:rFonts w:ascii="Arial" w:cs="Arial" w:eastAsia="Arial" w:hAnsi="Arial"/>
                <w:sz w:val="13"/>
                <w:szCs w:val="13"/>
                <w:b w:val="1"/>
                <w:bCs w:val="1"/>
                <w:color w:val="FF7F32"/>
              </w:rPr>
              <w:t>Scott Stewart</w:t>
            </w:r>
          </w:p>
        </w:tc>
        <w:tc>
          <w:tcPr>
            <w:tcW w:w="1120" w:type="dxa"/>
            <w:vAlign w:val="bottom"/>
          </w:tcPr>
          <w:p>
            <w:pPr>
              <w:ind w:left="20"/>
              <w:spacing w:after="0"/>
              <w:rPr>
                <w:sz w:val="20"/>
                <w:szCs w:val="20"/>
                <w:color w:val="auto"/>
              </w:rPr>
            </w:pPr>
            <w:r>
              <w:rPr>
                <w:rFonts w:ascii="Arial" w:cs="Arial" w:eastAsia="Arial" w:hAnsi="Arial"/>
                <w:sz w:val="13"/>
                <w:szCs w:val="13"/>
                <w:color w:val="auto"/>
              </w:rPr>
              <w:t>2025 Annual</w:t>
            </w:r>
          </w:p>
        </w:tc>
        <w:tc>
          <w:tcPr>
            <w:tcW w:w="980" w:type="dxa"/>
            <w:vAlign w:val="bottom"/>
          </w:tcPr>
          <w:p>
            <w:pPr>
              <w:jc w:val="right"/>
              <w:ind w:right="177"/>
              <w:spacing w:after="0"/>
              <w:rPr>
                <w:sz w:val="20"/>
                <w:szCs w:val="20"/>
                <w:color w:val="auto"/>
              </w:rPr>
            </w:pPr>
            <w:r>
              <w:rPr>
                <w:rFonts w:ascii="Arial" w:cs="Arial" w:eastAsia="Arial" w:hAnsi="Arial"/>
                <w:sz w:val="13"/>
                <w:szCs w:val="13"/>
                <w:color w:val="auto"/>
              </w:rPr>
              <w:t>145,600</w:t>
            </w:r>
          </w:p>
        </w:tc>
        <w:tc>
          <w:tcPr>
            <w:tcW w:w="900" w:type="dxa"/>
            <w:vAlign w:val="bottom"/>
          </w:tcPr>
          <w:p>
            <w:pPr>
              <w:jc w:val="right"/>
              <w:ind w:right="297"/>
              <w:spacing w:after="0"/>
              <w:rPr>
                <w:sz w:val="20"/>
                <w:szCs w:val="20"/>
                <w:color w:val="auto"/>
              </w:rPr>
            </w:pPr>
            <w:r>
              <w:rPr>
                <w:rFonts w:ascii="Arial" w:cs="Arial" w:eastAsia="Arial" w:hAnsi="Arial"/>
                <w:sz w:val="13"/>
                <w:szCs w:val="13"/>
                <w:color w:val="auto"/>
              </w:rPr>
              <w:t>208,000</w:t>
            </w:r>
          </w:p>
        </w:tc>
        <w:tc>
          <w:tcPr>
            <w:tcW w:w="660" w:type="dxa"/>
            <w:vAlign w:val="bottom"/>
          </w:tcPr>
          <w:p>
            <w:pPr>
              <w:jc w:val="right"/>
              <w:ind w:right="97"/>
              <w:spacing w:after="0"/>
              <w:rPr>
                <w:sz w:val="20"/>
                <w:szCs w:val="20"/>
                <w:color w:val="auto"/>
              </w:rPr>
            </w:pPr>
            <w:r>
              <w:rPr>
                <w:rFonts w:ascii="Arial" w:cs="Arial" w:eastAsia="Arial" w:hAnsi="Arial"/>
                <w:sz w:val="13"/>
                <w:szCs w:val="13"/>
                <w:color w:val="auto"/>
              </w:rPr>
              <w:t>270,400</w:t>
            </w:r>
          </w:p>
        </w:tc>
        <w:tc>
          <w:tcPr>
            <w:tcW w:w="120" w:type="dxa"/>
            <w:vAlign w:val="bottom"/>
          </w:tcPr>
          <w:p>
            <w:pPr>
              <w:spacing w:after="0"/>
              <w:rPr>
                <w:sz w:val="19"/>
                <w:szCs w:val="19"/>
                <w:color w:val="auto"/>
              </w:rPr>
            </w:pPr>
          </w:p>
        </w:tc>
        <w:tc>
          <w:tcPr>
            <w:tcW w:w="1000" w:type="dxa"/>
            <w:vAlign w:val="bottom"/>
          </w:tcPr>
          <w:p>
            <w:pPr>
              <w:ind w:left="62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720" w:type="dxa"/>
            <w:vAlign w:val="bottom"/>
          </w:tcPr>
          <w:p>
            <w:pPr>
              <w:ind w:left="440"/>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960" w:type="dxa"/>
            <w:vAlign w:val="bottom"/>
          </w:tcPr>
          <w:p>
            <w:pPr>
              <w:jc w:val="center"/>
              <w:ind w:left="217"/>
              <w:spacing w:after="0"/>
              <w:rPr>
                <w:sz w:val="20"/>
                <w:szCs w:val="20"/>
                <w:color w:val="auto"/>
              </w:rPr>
            </w:pPr>
            <w:r>
              <w:rPr>
                <w:rFonts w:ascii="Arial" w:cs="Arial" w:eastAsia="Arial" w:hAnsi="Arial"/>
                <w:sz w:val="13"/>
                <w:szCs w:val="13"/>
                <w:color w:val="auto"/>
                <w:w w:val="91"/>
              </w:rPr>
              <w:t>—</w:t>
            </w:r>
          </w:p>
        </w:tc>
        <w:tc>
          <w:tcPr>
            <w:tcW w:w="840" w:type="dxa"/>
            <w:vAlign w:val="bottom"/>
          </w:tcPr>
          <w:p>
            <w:pPr>
              <w:ind w:left="40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1160" w:type="dxa"/>
            <w:vAlign w:val="bottom"/>
          </w:tcPr>
          <w:p>
            <w:pPr>
              <w:spacing w:after="0"/>
              <w:rPr>
                <w:sz w:val="14"/>
                <w:szCs w:val="1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Bonus</w:t>
            </w: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160" w:type="dxa"/>
            <w:vAlign w:val="bottom"/>
          </w:tcPr>
          <w:p>
            <w:pPr>
              <w:spacing w:after="0"/>
              <w:rPr>
                <w:sz w:val="3"/>
                <w:szCs w:val="3"/>
                <w:color w:val="auto"/>
              </w:rPr>
            </w:pPr>
          </w:p>
        </w:tc>
        <w:tc>
          <w:tcPr>
            <w:tcW w:w="1120" w:type="dxa"/>
            <w:vAlign w:val="bottom"/>
            <w:tcBorders>
              <w:bottom w:val="single" w:sz="8" w:color="D9D9D9"/>
            </w:tcBorders>
          </w:tcPr>
          <w:p>
            <w:pPr>
              <w:spacing w:after="0"/>
              <w:rPr>
                <w:sz w:val="3"/>
                <w:szCs w:val="3"/>
                <w:color w:val="auto"/>
              </w:rPr>
            </w:pPr>
          </w:p>
        </w:tc>
        <w:tc>
          <w:tcPr>
            <w:tcW w:w="980" w:type="dxa"/>
            <w:vAlign w:val="bottom"/>
            <w:tcBorders>
              <w:bottom w:val="single" w:sz="8" w:color="D9D9D9"/>
            </w:tcBorders>
          </w:tcPr>
          <w:p>
            <w:pPr>
              <w:spacing w:after="0"/>
              <w:rPr>
                <w:sz w:val="3"/>
                <w:szCs w:val="3"/>
                <w:color w:val="auto"/>
              </w:rPr>
            </w:pPr>
          </w:p>
        </w:tc>
        <w:tc>
          <w:tcPr>
            <w:tcW w:w="900" w:type="dxa"/>
            <w:vAlign w:val="bottom"/>
            <w:tcBorders>
              <w:bottom w:val="single" w:sz="8" w:color="D9D9D9"/>
            </w:tcBorders>
          </w:tcPr>
          <w:p>
            <w:pPr>
              <w:spacing w:after="0"/>
              <w:rPr>
                <w:sz w:val="3"/>
                <w:szCs w:val="3"/>
                <w:color w:val="auto"/>
              </w:rPr>
            </w:pPr>
          </w:p>
        </w:tc>
        <w:tc>
          <w:tcPr>
            <w:tcW w:w="660" w:type="dxa"/>
            <w:vAlign w:val="bottom"/>
            <w:tcBorders>
              <w:bottom w:val="single" w:sz="8" w:color="D9D9D9"/>
            </w:tcBorders>
          </w:tcPr>
          <w:p>
            <w:pPr>
              <w:spacing w:after="0"/>
              <w:rPr>
                <w:sz w:val="3"/>
                <w:szCs w:val="3"/>
                <w:color w:val="auto"/>
              </w:rPr>
            </w:pPr>
          </w:p>
        </w:tc>
        <w:tc>
          <w:tcPr>
            <w:tcW w:w="120" w:type="dxa"/>
            <w:vAlign w:val="bottom"/>
            <w:tcBorders>
              <w:bottom w:val="single" w:sz="8" w:color="D9D9D9"/>
            </w:tcBorders>
          </w:tcPr>
          <w:p>
            <w:pPr>
              <w:spacing w:after="0"/>
              <w:rPr>
                <w:sz w:val="3"/>
                <w:szCs w:val="3"/>
                <w:color w:val="auto"/>
              </w:rPr>
            </w:pPr>
          </w:p>
        </w:tc>
        <w:tc>
          <w:tcPr>
            <w:tcW w:w="1000" w:type="dxa"/>
            <w:vAlign w:val="bottom"/>
            <w:tcBorders>
              <w:bottom w:val="single" w:sz="8" w:color="D9D9D9"/>
            </w:tcBorders>
          </w:tcPr>
          <w:p>
            <w:pPr>
              <w:spacing w:after="0"/>
              <w:rPr>
                <w:sz w:val="3"/>
                <w:szCs w:val="3"/>
                <w:color w:val="auto"/>
              </w:rPr>
            </w:pPr>
          </w:p>
        </w:tc>
        <w:tc>
          <w:tcPr>
            <w:tcW w:w="760" w:type="dxa"/>
            <w:vAlign w:val="bottom"/>
            <w:tcBorders>
              <w:bottom w:val="single" w:sz="8" w:color="D9D9D9"/>
            </w:tcBorders>
          </w:tcPr>
          <w:p>
            <w:pPr>
              <w:spacing w:after="0"/>
              <w:rPr>
                <w:sz w:val="3"/>
                <w:szCs w:val="3"/>
                <w:color w:val="auto"/>
              </w:rPr>
            </w:pPr>
          </w:p>
        </w:tc>
        <w:tc>
          <w:tcPr>
            <w:tcW w:w="720" w:type="dxa"/>
            <w:vAlign w:val="bottom"/>
            <w:tcBorders>
              <w:bottom w:val="single" w:sz="8" w:color="D9D9D9"/>
            </w:tcBorders>
          </w:tcPr>
          <w:p>
            <w:pPr>
              <w:spacing w:after="0"/>
              <w:rPr>
                <w:sz w:val="3"/>
                <w:szCs w:val="3"/>
                <w:color w:val="auto"/>
              </w:rPr>
            </w:pPr>
          </w:p>
        </w:tc>
        <w:tc>
          <w:tcPr>
            <w:tcW w:w="1240" w:type="dxa"/>
            <w:vAlign w:val="bottom"/>
            <w:tcBorders>
              <w:bottom w:val="single" w:sz="8" w:color="D9D9D9"/>
            </w:tcBorders>
          </w:tcPr>
          <w:p>
            <w:pPr>
              <w:spacing w:after="0"/>
              <w:rPr>
                <w:sz w:val="3"/>
                <w:szCs w:val="3"/>
                <w:color w:val="auto"/>
              </w:rPr>
            </w:pPr>
          </w:p>
        </w:tc>
        <w:tc>
          <w:tcPr>
            <w:tcW w:w="960" w:type="dxa"/>
            <w:vAlign w:val="bottom"/>
            <w:tcBorders>
              <w:bottom w:val="single" w:sz="8" w:color="D9D9D9"/>
            </w:tcBorders>
          </w:tcPr>
          <w:p>
            <w:pPr>
              <w:spacing w:after="0"/>
              <w:rPr>
                <w:sz w:val="3"/>
                <w:szCs w:val="3"/>
                <w:color w:val="auto"/>
              </w:rPr>
            </w:pPr>
          </w:p>
        </w:tc>
        <w:tc>
          <w:tcPr>
            <w:tcW w:w="840" w:type="dxa"/>
            <w:vAlign w:val="bottom"/>
            <w:tcBorders>
              <w:bottom w:val="single" w:sz="8" w:color="D9D9D9"/>
            </w:tcBorders>
          </w:tcPr>
          <w:p>
            <w:pPr>
              <w:spacing w:after="0"/>
              <w:rPr>
                <w:sz w:val="3"/>
                <w:szCs w:val="3"/>
                <w:color w:val="auto"/>
              </w:rPr>
            </w:pPr>
          </w:p>
        </w:tc>
        <w:tc>
          <w:tcPr>
            <w:tcW w:w="780" w:type="dxa"/>
            <w:vAlign w:val="bottom"/>
            <w:tcBorders>
              <w:bottom w:val="single" w:sz="8" w:color="D9D9D9"/>
            </w:tcBorders>
          </w:tcPr>
          <w:p>
            <w:pPr>
              <w:spacing w:after="0"/>
              <w:rPr>
                <w:sz w:val="3"/>
                <w:szCs w:val="3"/>
                <w:color w:val="auto"/>
              </w:rPr>
            </w:pPr>
          </w:p>
        </w:tc>
        <w:tc>
          <w:tcPr>
            <w:tcW w:w="0" w:type="dxa"/>
            <w:vAlign w:val="bottom"/>
          </w:tcPr>
          <w:p>
            <w:pPr>
              <w:spacing w:after="0"/>
              <w:rPr>
                <w:sz w:val="1"/>
                <w:szCs w:val="1"/>
                <w:color w:val="auto"/>
              </w:rPr>
            </w:pPr>
          </w:p>
        </w:tc>
      </w:tr>
      <w:tr>
        <w:trPr>
          <w:trHeight w:val="286"/>
        </w:trPr>
        <w:tc>
          <w:tcPr>
            <w:tcW w:w="116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9/20/2024</w:t>
            </w:r>
            <w:r>
              <w:rPr>
                <w:rFonts w:ascii="Arial" w:cs="Arial" w:eastAsia="Arial" w:hAnsi="Arial"/>
                <w:sz w:val="18"/>
                <w:szCs w:val="18"/>
                <w:color w:val="auto"/>
                <w:vertAlign w:val="superscript"/>
              </w:rPr>
              <w:t>(1)</w:t>
            </w:r>
          </w:p>
        </w:tc>
        <w:tc>
          <w:tcPr>
            <w:tcW w:w="98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0" w:type="dxa"/>
            <w:vAlign w:val="bottom"/>
          </w:tcPr>
          <w:p>
            <w:pPr>
              <w:ind w:left="62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217"/>
              <w:spacing w:after="0"/>
              <w:rPr>
                <w:sz w:val="20"/>
                <w:szCs w:val="20"/>
                <w:color w:val="auto"/>
              </w:rPr>
            </w:pPr>
            <w:r>
              <w:rPr>
                <w:rFonts w:ascii="Arial" w:cs="Arial" w:eastAsia="Arial" w:hAnsi="Arial"/>
                <w:sz w:val="13"/>
                <w:szCs w:val="13"/>
                <w:color w:val="auto"/>
              </w:rPr>
              <w:t>14,264</w:t>
            </w:r>
          </w:p>
        </w:tc>
        <w:tc>
          <w:tcPr>
            <w:tcW w:w="720" w:type="dxa"/>
            <w:vAlign w:val="bottom"/>
          </w:tcPr>
          <w:p>
            <w:pPr>
              <w:ind w:left="440"/>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237"/>
              <w:spacing w:after="0"/>
              <w:rPr>
                <w:sz w:val="20"/>
                <w:szCs w:val="20"/>
                <w:color w:val="auto"/>
              </w:rPr>
            </w:pPr>
            <w:r>
              <w:rPr>
                <w:rFonts w:ascii="Arial" w:cs="Arial" w:eastAsia="Arial" w:hAnsi="Arial"/>
                <w:sz w:val="13"/>
                <w:szCs w:val="13"/>
                <w:color w:val="auto"/>
              </w:rPr>
              <w:t>14,264</w:t>
            </w:r>
          </w:p>
        </w:tc>
        <w:tc>
          <w:tcPr>
            <w:tcW w:w="960" w:type="dxa"/>
            <w:vAlign w:val="bottom"/>
          </w:tcPr>
          <w:p>
            <w:pPr>
              <w:jc w:val="center"/>
              <w:ind w:left="217"/>
              <w:spacing w:after="0"/>
              <w:rPr>
                <w:sz w:val="20"/>
                <w:szCs w:val="20"/>
                <w:color w:val="auto"/>
              </w:rPr>
            </w:pPr>
            <w:r>
              <w:rPr>
                <w:rFonts w:ascii="Arial" w:cs="Arial" w:eastAsia="Arial" w:hAnsi="Arial"/>
                <w:sz w:val="13"/>
                <w:szCs w:val="13"/>
                <w:color w:val="auto"/>
                <w:w w:val="91"/>
              </w:rPr>
              <w:t>—</w:t>
            </w:r>
          </w:p>
        </w:tc>
        <w:tc>
          <w:tcPr>
            <w:tcW w:w="840" w:type="dxa"/>
            <w:vAlign w:val="bottom"/>
          </w:tcPr>
          <w:p>
            <w:pPr>
              <w:ind w:left="40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97"/>
              <w:spacing w:after="0"/>
              <w:rPr>
                <w:sz w:val="20"/>
                <w:szCs w:val="20"/>
                <w:color w:val="auto"/>
              </w:rPr>
            </w:pPr>
            <w:r>
              <w:rPr>
                <w:rFonts w:ascii="Arial" w:cs="Arial" w:eastAsia="Arial" w:hAnsi="Arial"/>
                <w:sz w:val="13"/>
                <w:szCs w:val="13"/>
                <w:color w:val="auto"/>
              </w:rPr>
              <w:t>91,860</w:t>
            </w:r>
          </w:p>
        </w:tc>
        <w:tc>
          <w:tcPr>
            <w:tcW w:w="0" w:type="dxa"/>
            <w:vAlign w:val="bottom"/>
          </w:tcPr>
          <w:p>
            <w:pPr>
              <w:spacing w:after="0"/>
              <w:rPr>
                <w:sz w:val="1"/>
                <w:szCs w:val="1"/>
                <w:color w:val="auto"/>
              </w:rPr>
            </w:pPr>
          </w:p>
        </w:tc>
      </w:tr>
      <w:tr>
        <w:trPr>
          <w:trHeight w:val="213"/>
        </w:trPr>
        <w:tc>
          <w:tcPr>
            <w:tcW w:w="1160" w:type="dxa"/>
            <w:vAlign w:val="bottom"/>
          </w:tcPr>
          <w:p>
            <w:pPr>
              <w:ind w:left="20"/>
              <w:spacing w:after="0"/>
              <w:rPr>
                <w:sz w:val="20"/>
                <w:szCs w:val="20"/>
                <w:color w:val="auto"/>
              </w:rPr>
            </w:pPr>
            <w:r>
              <w:rPr>
                <w:rFonts w:ascii="Arial" w:cs="Arial" w:eastAsia="Arial" w:hAnsi="Arial"/>
                <w:sz w:val="13"/>
                <w:szCs w:val="13"/>
                <w:b w:val="1"/>
                <w:bCs w:val="1"/>
                <w:color w:val="FF7F32"/>
              </w:rPr>
              <w:t>Jeffrey Dumbrell</w:t>
            </w:r>
          </w:p>
        </w:tc>
        <w:tc>
          <w:tcPr>
            <w:tcW w:w="1120" w:type="dxa"/>
            <w:vAlign w:val="bottom"/>
          </w:tcPr>
          <w:p>
            <w:pPr>
              <w:ind w:left="20"/>
              <w:spacing w:after="0"/>
              <w:rPr>
                <w:sz w:val="20"/>
                <w:szCs w:val="20"/>
                <w:color w:val="auto"/>
              </w:rPr>
            </w:pPr>
            <w:r>
              <w:rPr>
                <w:rFonts w:ascii="Arial" w:cs="Arial" w:eastAsia="Arial" w:hAnsi="Arial"/>
                <w:sz w:val="13"/>
                <w:szCs w:val="13"/>
                <w:color w:val="auto"/>
              </w:rPr>
              <w:t>2025 Annual</w:t>
            </w:r>
          </w:p>
        </w:tc>
        <w:tc>
          <w:tcPr>
            <w:tcW w:w="980" w:type="dxa"/>
            <w:vAlign w:val="bottom"/>
          </w:tcPr>
          <w:p>
            <w:pPr>
              <w:jc w:val="right"/>
              <w:ind w:right="177"/>
              <w:spacing w:after="0"/>
              <w:rPr>
                <w:sz w:val="20"/>
                <w:szCs w:val="20"/>
                <w:color w:val="auto"/>
              </w:rPr>
            </w:pPr>
            <w:r>
              <w:rPr>
                <w:rFonts w:ascii="Arial" w:cs="Arial" w:eastAsia="Arial" w:hAnsi="Arial"/>
                <w:sz w:val="13"/>
                <w:szCs w:val="13"/>
                <w:color w:val="auto"/>
              </w:rPr>
              <w:t>145,600</w:t>
            </w:r>
          </w:p>
        </w:tc>
        <w:tc>
          <w:tcPr>
            <w:tcW w:w="900" w:type="dxa"/>
            <w:vAlign w:val="bottom"/>
          </w:tcPr>
          <w:p>
            <w:pPr>
              <w:jc w:val="right"/>
              <w:ind w:right="297"/>
              <w:spacing w:after="0"/>
              <w:rPr>
                <w:sz w:val="20"/>
                <w:szCs w:val="20"/>
                <w:color w:val="auto"/>
              </w:rPr>
            </w:pPr>
            <w:r>
              <w:rPr>
                <w:rFonts w:ascii="Arial" w:cs="Arial" w:eastAsia="Arial" w:hAnsi="Arial"/>
                <w:sz w:val="13"/>
                <w:szCs w:val="13"/>
                <w:color w:val="auto"/>
              </w:rPr>
              <w:t>208,000</w:t>
            </w:r>
          </w:p>
        </w:tc>
        <w:tc>
          <w:tcPr>
            <w:tcW w:w="660" w:type="dxa"/>
            <w:vAlign w:val="bottom"/>
          </w:tcPr>
          <w:p>
            <w:pPr>
              <w:jc w:val="right"/>
              <w:ind w:right="97"/>
              <w:spacing w:after="0"/>
              <w:rPr>
                <w:sz w:val="20"/>
                <w:szCs w:val="20"/>
                <w:color w:val="auto"/>
              </w:rPr>
            </w:pPr>
            <w:r>
              <w:rPr>
                <w:rFonts w:ascii="Arial" w:cs="Arial" w:eastAsia="Arial" w:hAnsi="Arial"/>
                <w:sz w:val="13"/>
                <w:szCs w:val="13"/>
                <w:color w:val="auto"/>
              </w:rPr>
              <w:t>270,400</w:t>
            </w:r>
          </w:p>
        </w:tc>
        <w:tc>
          <w:tcPr>
            <w:tcW w:w="120" w:type="dxa"/>
            <w:vAlign w:val="bottom"/>
          </w:tcPr>
          <w:p>
            <w:pPr>
              <w:spacing w:after="0"/>
              <w:rPr>
                <w:sz w:val="18"/>
                <w:szCs w:val="18"/>
                <w:color w:val="auto"/>
              </w:rPr>
            </w:pPr>
          </w:p>
        </w:tc>
        <w:tc>
          <w:tcPr>
            <w:tcW w:w="1000" w:type="dxa"/>
            <w:vAlign w:val="bottom"/>
          </w:tcPr>
          <w:p>
            <w:pPr>
              <w:ind w:left="62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720" w:type="dxa"/>
            <w:vAlign w:val="bottom"/>
          </w:tcPr>
          <w:p>
            <w:pPr>
              <w:ind w:left="440"/>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960" w:type="dxa"/>
            <w:vAlign w:val="bottom"/>
          </w:tcPr>
          <w:p>
            <w:pPr>
              <w:jc w:val="center"/>
              <w:ind w:left="217"/>
              <w:spacing w:after="0"/>
              <w:rPr>
                <w:sz w:val="20"/>
                <w:szCs w:val="20"/>
                <w:color w:val="auto"/>
              </w:rPr>
            </w:pPr>
            <w:r>
              <w:rPr>
                <w:rFonts w:ascii="Arial" w:cs="Arial" w:eastAsia="Arial" w:hAnsi="Arial"/>
                <w:sz w:val="13"/>
                <w:szCs w:val="13"/>
                <w:color w:val="auto"/>
                <w:w w:val="91"/>
              </w:rPr>
              <w:t>—</w:t>
            </w:r>
          </w:p>
        </w:tc>
        <w:tc>
          <w:tcPr>
            <w:tcW w:w="840" w:type="dxa"/>
            <w:vAlign w:val="bottom"/>
          </w:tcPr>
          <w:p>
            <w:pPr>
              <w:ind w:left="40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1160" w:type="dxa"/>
            <w:vAlign w:val="bottom"/>
          </w:tcPr>
          <w:p>
            <w:pPr>
              <w:spacing w:after="0"/>
              <w:rPr>
                <w:sz w:val="14"/>
                <w:szCs w:val="1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Bonus</w:t>
            </w: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160" w:type="dxa"/>
            <w:vAlign w:val="bottom"/>
          </w:tcPr>
          <w:p>
            <w:pPr>
              <w:spacing w:after="0"/>
              <w:rPr>
                <w:sz w:val="4"/>
                <w:szCs w:val="4"/>
                <w:color w:val="auto"/>
              </w:rPr>
            </w:pPr>
          </w:p>
        </w:tc>
        <w:tc>
          <w:tcPr>
            <w:tcW w:w="1120" w:type="dxa"/>
            <w:vAlign w:val="bottom"/>
            <w:tcBorders>
              <w:bottom w:val="single" w:sz="8" w:color="D9D9D9"/>
            </w:tcBorders>
          </w:tcPr>
          <w:p>
            <w:pPr>
              <w:spacing w:after="0"/>
              <w:rPr>
                <w:sz w:val="4"/>
                <w:szCs w:val="4"/>
                <w:color w:val="auto"/>
              </w:rPr>
            </w:pPr>
          </w:p>
        </w:tc>
        <w:tc>
          <w:tcPr>
            <w:tcW w:w="980" w:type="dxa"/>
            <w:vAlign w:val="bottom"/>
            <w:tcBorders>
              <w:bottom w:val="single" w:sz="8" w:color="D9D9D9"/>
            </w:tcBorders>
          </w:tcPr>
          <w:p>
            <w:pPr>
              <w:spacing w:after="0"/>
              <w:rPr>
                <w:sz w:val="4"/>
                <w:szCs w:val="4"/>
                <w:color w:val="auto"/>
              </w:rPr>
            </w:pPr>
          </w:p>
        </w:tc>
        <w:tc>
          <w:tcPr>
            <w:tcW w:w="900" w:type="dxa"/>
            <w:vAlign w:val="bottom"/>
            <w:tcBorders>
              <w:bottom w:val="single" w:sz="8" w:color="D9D9D9"/>
            </w:tcBorders>
          </w:tcPr>
          <w:p>
            <w:pPr>
              <w:spacing w:after="0"/>
              <w:rPr>
                <w:sz w:val="4"/>
                <w:szCs w:val="4"/>
                <w:color w:val="auto"/>
              </w:rPr>
            </w:pPr>
          </w:p>
        </w:tc>
        <w:tc>
          <w:tcPr>
            <w:tcW w:w="660" w:type="dxa"/>
            <w:vAlign w:val="bottom"/>
            <w:tcBorders>
              <w:bottom w:val="single" w:sz="8" w:color="D9D9D9"/>
            </w:tcBorders>
          </w:tcPr>
          <w:p>
            <w:pPr>
              <w:spacing w:after="0"/>
              <w:rPr>
                <w:sz w:val="4"/>
                <w:szCs w:val="4"/>
                <w:color w:val="auto"/>
              </w:rPr>
            </w:pPr>
          </w:p>
        </w:tc>
        <w:tc>
          <w:tcPr>
            <w:tcW w:w="120" w:type="dxa"/>
            <w:vAlign w:val="bottom"/>
            <w:tcBorders>
              <w:bottom w:val="single" w:sz="8" w:color="D9D9D9"/>
            </w:tcBorders>
          </w:tcPr>
          <w:p>
            <w:pPr>
              <w:spacing w:after="0"/>
              <w:rPr>
                <w:sz w:val="4"/>
                <w:szCs w:val="4"/>
                <w:color w:val="auto"/>
              </w:rPr>
            </w:pPr>
          </w:p>
        </w:tc>
        <w:tc>
          <w:tcPr>
            <w:tcW w:w="1000" w:type="dxa"/>
            <w:vAlign w:val="bottom"/>
            <w:tcBorders>
              <w:bottom w:val="single" w:sz="8" w:color="D9D9D9"/>
            </w:tcBorders>
          </w:tcPr>
          <w:p>
            <w:pPr>
              <w:spacing w:after="0"/>
              <w:rPr>
                <w:sz w:val="4"/>
                <w:szCs w:val="4"/>
                <w:color w:val="auto"/>
              </w:rPr>
            </w:pPr>
          </w:p>
        </w:tc>
        <w:tc>
          <w:tcPr>
            <w:tcW w:w="760" w:type="dxa"/>
            <w:vAlign w:val="bottom"/>
            <w:tcBorders>
              <w:bottom w:val="single" w:sz="8" w:color="D9D9D9"/>
            </w:tcBorders>
          </w:tcPr>
          <w:p>
            <w:pPr>
              <w:spacing w:after="0"/>
              <w:rPr>
                <w:sz w:val="4"/>
                <w:szCs w:val="4"/>
                <w:color w:val="auto"/>
              </w:rPr>
            </w:pPr>
          </w:p>
        </w:tc>
        <w:tc>
          <w:tcPr>
            <w:tcW w:w="720" w:type="dxa"/>
            <w:vAlign w:val="bottom"/>
            <w:tcBorders>
              <w:bottom w:val="single" w:sz="8" w:color="D9D9D9"/>
            </w:tcBorders>
          </w:tcPr>
          <w:p>
            <w:pPr>
              <w:spacing w:after="0"/>
              <w:rPr>
                <w:sz w:val="4"/>
                <w:szCs w:val="4"/>
                <w:color w:val="auto"/>
              </w:rPr>
            </w:pPr>
          </w:p>
        </w:tc>
        <w:tc>
          <w:tcPr>
            <w:tcW w:w="1240" w:type="dxa"/>
            <w:vAlign w:val="bottom"/>
            <w:tcBorders>
              <w:bottom w:val="single" w:sz="8" w:color="D9D9D9"/>
            </w:tcBorders>
          </w:tcPr>
          <w:p>
            <w:pPr>
              <w:spacing w:after="0"/>
              <w:rPr>
                <w:sz w:val="4"/>
                <w:szCs w:val="4"/>
                <w:color w:val="auto"/>
              </w:rPr>
            </w:pPr>
          </w:p>
        </w:tc>
        <w:tc>
          <w:tcPr>
            <w:tcW w:w="960" w:type="dxa"/>
            <w:vAlign w:val="bottom"/>
            <w:tcBorders>
              <w:bottom w:val="single" w:sz="8" w:color="D9D9D9"/>
            </w:tcBorders>
          </w:tcPr>
          <w:p>
            <w:pPr>
              <w:spacing w:after="0"/>
              <w:rPr>
                <w:sz w:val="4"/>
                <w:szCs w:val="4"/>
                <w:color w:val="auto"/>
              </w:rPr>
            </w:pPr>
          </w:p>
        </w:tc>
        <w:tc>
          <w:tcPr>
            <w:tcW w:w="840" w:type="dxa"/>
            <w:vAlign w:val="bottom"/>
            <w:tcBorders>
              <w:bottom w:val="single" w:sz="8" w:color="D9D9D9"/>
            </w:tcBorders>
          </w:tcPr>
          <w:p>
            <w:pPr>
              <w:spacing w:after="0"/>
              <w:rPr>
                <w:sz w:val="4"/>
                <w:szCs w:val="4"/>
                <w:color w:val="auto"/>
              </w:rPr>
            </w:pPr>
          </w:p>
        </w:tc>
        <w:tc>
          <w:tcPr>
            <w:tcW w:w="780" w:type="dxa"/>
            <w:vAlign w:val="bottom"/>
            <w:tcBorders>
              <w:bottom w:val="single" w:sz="8" w:color="D9D9D9"/>
            </w:tcBorders>
          </w:tcPr>
          <w:p>
            <w:pPr>
              <w:spacing w:after="0"/>
              <w:rPr>
                <w:sz w:val="4"/>
                <w:szCs w:val="4"/>
                <w:color w:val="auto"/>
              </w:rPr>
            </w:pPr>
          </w:p>
        </w:tc>
        <w:tc>
          <w:tcPr>
            <w:tcW w:w="0" w:type="dxa"/>
            <w:vAlign w:val="bottom"/>
          </w:tcPr>
          <w:p>
            <w:pPr>
              <w:spacing w:after="0"/>
              <w:rPr>
                <w:sz w:val="1"/>
                <w:szCs w:val="1"/>
                <w:color w:val="auto"/>
              </w:rPr>
            </w:pPr>
          </w:p>
        </w:tc>
      </w:tr>
      <w:tr>
        <w:trPr>
          <w:trHeight w:val="299"/>
        </w:trPr>
        <w:tc>
          <w:tcPr>
            <w:tcW w:w="116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9/20/2025</w:t>
            </w:r>
            <w:r>
              <w:rPr>
                <w:rFonts w:ascii="Arial" w:cs="Arial" w:eastAsia="Arial" w:hAnsi="Arial"/>
                <w:sz w:val="18"/>
                <w:szCs w:val="18"/>
                <w:color w:val="auto"/>
                <w:vertAlign w:val="superscript"/>
              </w:rPr>
              <w:t>(1)</w:t>
            </w:r>
          </w:p>
        </w:tc>
        <w:tc>
          <w:tcPr>
            <w:tcW w:w="98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0" w:type="dxa"/>
            <w:vAlign w:val="bottom"/>
          </w:tcPr>
          <w:p>
            <w:pPr>
              <w:ind w:left="62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217"/>
              <w:spacing w:after="0"/>
              <w:rPr>
                <w:sz w:val="20"/>
                <w:szCs w:val="20"/>
                <w:color w:val="auto"/>
              </w:rPr>
            </w:pPr>
            <w:r>
              <w:rPr>
                <w:rFonts w:ascii="Arial" w:cs="Arial" w:eastAsia="Arial" w:hAnsi="Arial"/>
                <w:sz w:val="13"/>
                <w:szCs w:val="13"/>
                <w:color w:val="auto"/>
              </w:rPr>
              <w:t>14,264</w:t>
            </w:r>
          </w:p>
        </w:tc>
        <w:tc>
          <w:tcPr>
            <w:tcW w:w="720" w:type="dxa"/>
            <w:vAlign w:val="bottom"/>
          </w:tcPr>
          <w:p>
            <w:pPr>
              <w:ind w:left="440"/>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237"/>
              <w:spacing w:after="0"/>
              <w:rPr>
                <w:sz w:val="20"/>
                <w:szCs w:val="20"/>
                <w:color w:val="auto"/>
              </w:rPr>
            </w:pPr>
            <w:r>
              <w:rPr>
                <w:rFonts w:ascii="Arial" w:cs="Arial" w:eastAsia="Arial" w:hAnsi="Arial"/>
                <w:sz w:val="13"/>
                <w:szCs w:val="13"/>
                <w:color w:val="auto"/>
              </w:rPr>
              <w:t>14,264</w:t>
            </w:r>
          </w:p>
        </w:tc>
        <w:tc>
          <w:tcPr>
            <w:tcW w:w="960" w:type="dxa"/>
            <w:vAlign w:val="bottom"/>
          </w:tcPr>
          <w:p>
            <w:pPr>
              <w:jc w:val="center"/>
              <w:ind w:left="217"/>
              <w:spacing w:after="0"/>
              <w:rPr>
                <w:sz w:val="20"/>
                <w:szCs w:val="20"/>
                <w:color w:val="auto"/>
              </w:rPr>
            </w:pPr>
            <w:r>
              <w:rPr>
                <w:rFonts w:ascii="Arial" w:cs="Arial" w:eastAsia="Arial" w:hAnsi="Arial"/>
                <w:sz w:val="13"/>
                <w:szCs w:val="13"/>
                <w:color w:val="auto"/>
                <w:w w:val="91"/>
              </w:rPr>
              <w:t>—</w:t>
            </w:r>
          </w:p>
        </w:tc>
        <w:tc>
          <w:tcPr>
            <w:tcW w:w="840" w:type="dxa"/>
            <w:vAlign w:val="bottom"/>
          </w:tcPr>
          <w:p>
            <w:pPr>
              <w:ind w:left="40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97"/>
              <w:spacing w:after="0"/>
              <w:rPr>
                <w:sz w:val="20"/>
                <w:szCs w:val="20"/>
                <w:color w:val="auto"/>
              </w:rPr>
            </w:pPr>
            <w:r>
              <w:rPr>
                <w:rFonts w:ascii="Arial" w:cs="Arial" w:eastAsia="Arial" w:hAnsi="Arial"/>
                <w:sz w:val="13"/>
                <w:szCs w:val="13"/>
                <w:color w:val="auto"/>
              </w:rPr>
              <w:t>91,860</w:t>
            </w:r>
          </w:p>
        </w:tc>
        <w:tc>
          <w:tcPr>
            <w:tcW w:w="0" w:type="dxa"/>
            <w:vAlign w:val="bottom"/>
          </w:tcPr>
          <w:p>
            <w:pPr>
              <w:spacing w:after="0"/>
              <w:rPr>
                <w:sz w:val="1"/>
                <w:szCs w:val="1"/>
                <w:color w:val="auto"/>
              </w:rPr>
            </w:pPr>
          </w:p>
        </w:tc>
      </w:tr>
      <w:tr>
        <w:trPr>
          <w:trHeight w:val="226"/>
        </w:trPr>
        <w:tc>
          <w:tcPr>
            <w:tcW w:w="1160" w:type="dxa"/>
            <w:vAlign w:val="bottom"/>
          </w:tcPr>
          <w:p>
            <w:pPr>
              <w:ind w:left="20"/>
              <w:spacing w:after="0"/>
              <w:rPr>
                <w:sz w:val="20"/>
                <w:szCs w:val="20"/>
                <w:color w:val="auto"/>
              </w:rPr>
            </w:pPr>
            <w:r>
              <w:rPr>
                <w:rFonts w:ascii="Arial" w:cs="Arial" w:eastAsia="Arial" w:hAnsi="Arial"/>
                <w:sz w:val="13"/>
                <w:szCs w:val="13"/>
                <w:b w:val="1"/>
                <w:bCs w:val="1"/>
                <w:color w:val="FF7F32"/>
              </w:rPr>
              <w:t>Gaurav Singal</w:t>
            </w:r>
          </w:p>
        </w:tc>
        <w:tc>
          <w:tcPr>
            <w:tcW w:w="1120" w:type="dxa"/>
            <w:vAlign w:val="bottom"/>
          </w:tcPr>
          <w:p>
            <w:pPr>
              <w:ind w:left="20"/>
              <w:spacing w:after="0"/>
              <w:rPr>
                <w:sz w:val="20"/>
                <w:szCs w:val="20"/>
                <w:color w:val="auto"/>
              </w:rPr>
            </w:pPr>
            <w:r>
              <w:rPr>
                <w:rFonts w:ascii="Arial" w:cs="Arial" w:eastAsia="Arial" w:hAnsi="Arial"/>
                <w:sz w:val="13"/>
                <w:szCs w:val="13"/>
                <w:color w:val="auto"/>
              </w:rPr>
              <w:t>2024 Annual</w:t>
            </w:r>
          </w:p>
        </w:tc>
        <w:tc>
          <w:tcPr>
            <w:tcW w:w="980" w:type="dxa"/>
            <w:vAlign w:val="bottom"/>
          </w:tcPr>
          <w:p>
            <w:pPr>
              <w:jc w:val="right"/>
              <w:ind w:right="177"/>
              <w:spacing w:after="0"/>
              <w:rPr>
                <w:sz w:val="20"/>
                <w:szCs w:val="20"/>
                <w:color w:val="auto"/>
              </w:rPr>
            </w:pPr>
            <w:r>
              <w:rPr>
                <w:rFonts w:ascii="Arial" w:cs="Arial" w:eastAsia="Arial" w:hAnsi="Arial"/>
                <w:sz w:val="13"/>
                <w:szCs w:val="13"/>
                <w:color w:val="auto"/>
              </w:rPr>
              <w:t>130,951</w:t>
            </w:r>
          </w:p>
        </w:tc>
        <w:tc>
          <w:tcPr>
            <w:tcW w:w="900" w:type="dxa"/>
            <w:vAlign w:val="bottom"/>
          </w:tcPr>
          <w:p>
            <w:pPr>
              <w:jc w:val="right"/>
              <w:ind w:right="297"/>
              <w:spacing w:after="0"/>
              <w:rPr>
                <w:sz w:val="20"/>
                <w:szCs w:val="20"/>
                <w:color w:val="auto"/>
              </w:rPr>
            </w:pPr>
            <w:r>
              <w:rPr>
                <w:rFonts w:ascii="Arial" w:cs="Arial" w:eastAsia="Arial" w:hAnsi="Arial"/>
                <w:sz w:val="13"/>
                <w:szCs w:val="13"/>
                <w:color w:val="auto"/>
              </w:rPr>
              <w:t>186,559</w:t>
            </w:r>
          </w:p>
        </w:tc>
        <w:tc>
          <w:tcPr>
            <w:tcW w:w="660" w:type="dxa"/>
            <w:vAlign w:val="bottom"/>
          </w:tcPr>
          <w:p>
            <w:pPr>
              <w:jc w:val="right"/>
              <w:ind w:right="97"/>
              <w:spacing w:after="0"/>
              <w:rPr>
                <w:sz w:val="20"/>
                <w:szCs w:val="20"/>
                <w:color w:val="auto"/>
              </w:rPr>
            </w:pPr>
            <w:r>
              <w:rPr>
                <w:rFonts w:ascii="Arial" w:cs="Arial" w:eastAsia="Arial" w:hAnsi="Arial"/>
                <w:sz w:val="13"/>
                <w:szCs w:val="13"/>
                <w:color w:val="auto"/>
              </w:rPr>
              <w:t>270,400</w:t>
            </w:r>
          </w:p>
        </w:tc>
        <w:tc>
          <w:tcPr>
            <w:tcW w:w="120" w:type="dxa"/>
            <w:vAlign w:val="bottom"/>
          </w:tcPr>
          <w:p>
            <w:pPr>
              <w:spacing w:after="0"/>
              <w:rPr>
                <w:sz w:val="19"/>
                <w:szCs w:val="19"/>
                <w:color w:val="auto"/>
              </w:rPr>
            </w:pPr>
          </w:p>
        </w:tc>
        <w:tc>
          <w:tcPr>
            <w:tcW w:w="1000" w:type="dxa"/>
            <w:vAlign w:val="bottom"/>
          </w:tcPr>
          <w:p>
            <w:pPr>
              <w:ind w:left="62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720" w:type="dxa"/>
            <w:vAlign w:val="bottom"/>
          </w:tcPr>
          <w:p>
            <w:pPr>
              <w:ind w:left="440"/>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960" w:type="dxa"/>
            <w:vAlign w:val="bottom"/>
          </w:tcPr>
          <w:p>
            <w:pPr>
              <w:jc w:val="center"/>
              <w:ind w:left="217"/>
              <w:spacing w:after="0"/>
              <w:rPr>
                <w:sz w:val="20"/>
                <w:szCs w:val="20"/>
                <w:color w:val="auto"/>
              </w:rPr>
            </w:pPr>
            <w:r>
              <w:rPr>
                <w:rFonts w:ascii="Arial" w:cs="Arial" w:eastAsia="Arial" w:hAnsi="Arial"/>
                <w:sz w:val="13"/>
                <w:szCs w:val="13"/>
                <w:color w:val="auto"/>
                <w:w w:val="91"/>
              </w:rPr>
              <w:t>—</w:t>
            </w:r>
          </w:p>
        </w:tc>
        <w:tc>
          <w:tcPr>
            <w:tcW w:w="840" w:type="dxa"/>
            <w:vAlign w:val="bottom"/>
          </w:tcPr>
          <w:p>
            <w:pPr>
              <w:ind w:left="40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1160" w:type="dxa"/>
            <w:vAlign w:val="bottom"/>
          </w:tcPr>
          <w:p>
            <w:pPr>
              <w:spacing w:after="0"/>
              <w:rPr>
                <w:sz w:val="14"/>
                <w:szCs w:val="1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Bonus</w:t>
            </w: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1160" w:type="dxa"/>
            <w:vAlign w:val="bottom"/>
          </w:tcPr>
          <w:p>
            <w:pPr>
              <w:spacing w:after="0"/>
              <w:rPr>
                <w:sz w:val="4"/>
                <w:szCs w:val="4"/>
                <w:color w:val="auto"/>
              </w:rPr>
            </w:pPr>
          </w:p>
        </w:tc>
        <w:tc>
          <w:tcPr>
            <w:tcW w:w="1120" w:type="dxa"/>
            <w:vAlign w:val="bottom"/>
            <w:tcBorders>
              <w:bottom w:val="single" w:sz="8" w:color="D9D9D9"/>
            </w:tcBorders>
          </w:tcPr>
          <w:p>
            <w:pPr>
              <w:spacing w:after="0"/>
              <w:rPr>
                <w:sz w:val="4"/>
                <w:szCs w:val="4"/>
                <w:color w:val="auto"/>
              </w:rPr>
            </w:pPr>
          </w:p>
        </w:tc>
        <w:tc>
          <w:tcPr>
            <w:tcW w:w="980" w:type="dxa"/>
            <w:vAlign w:val="bottom"/>
            <w:tcBorders>
              <w:bottom w:val="single" w:sz="8" w:color="D9D9D9"/>
            </w:tcBorders>
          </w:tcPr>
          <w:p>
            <w:pPr>
              <w:spacing w:after="0"/>
              <w:rPr>
                <w:sz w:val="4"/>
                <w:szCs w:val="4"/>
                <w:color w:val="auto"/>
              </w:rPr>
            </w:pPr>
          </w:p>
        </w:tc>
        <w:tc>
          <w:tcPr>
            <w:tcW w:w="900" w:type="dxa"/>
            <w:vAlign w:val="bottom"/>
            <w:tcBorders>
              <w:bottom w:val="single" w:sz="8" w:color="D9D9D9"/>
            </w:tcBorders>
          </w:tcPr>
          <w:p>
            <w:pPr>
              <w:spacing w:after="0"/>
              <w:rPr>
                <w:sz w:val="4"/>
                <w:szCs w:val="4"/>
                <w:color w:val="auto"/>
              </w:rPr>
            </w:pPr>
          </w:p>
        </w:tc>
        <w:tc>
          <w:tcPr>
            <w:tcW w:w="660" w:type="dxa"/>
            <w:vAlign w:val="bottom"/>
            <w:tcBorders>
              <w:bottom w:val="single" w:sz="8" w:color="D9D9D9"/>
            </w:tcBorders>
          </w:tcPr>
          <w:p>
            <w:pPr>
              <w:spacing w:after="0"/>
              <w:rPr>
                <w:sz w:val="4"/>
                <w:szCs w:val="4"/>
                <w:color w:val="auto"/>
              </w:rPr>
            </w:pPr>
          </w:p>
        </w:tc>
        <w:tc>
          <w:tcPr>
            <w:tcW w:w="120" w:type="dxa"/>
            <w:vAlign w:val="bottom"/>
            <w:tcBorders>
              <w:bottom w:val="single" w:sz="8" w:color="D9D9D9"/>
            </w:tcBorders>
          </w:tcPr>
          <w:p>
            <w:pPr>
              <w:spacing w:after="0"/>
              <w:rPr>
                <w:sz w:val="4"/>
                <w:szCs w:val="4"/>
                <w:color w:val="auto"/>
              </w:rPr>
            </w:pPr>
          </w:p>
        </w:tc>
        <w:tc>
          <w:tcPr>
            <w:tcW w:w="1000" w:type="dxa"/>
            <w:vAlign w:val="bottom"/>
            <w:tcBorders>
              <w:bottom w:val="single" w:sz="8" w:color="D9D9D9"/>
            </w:tcBorders>
          </w:tcPr>
          <w:p>
            <w:pPr>
              <w:spacing w:after="0"/>
              <w:rPr>
                <w:sz w:val="4"/>
                <w:szCs w:val="4"/>
                <w:color w:val="auto"/>
              </w:rPr>
            </w:pPr>
          </w:p>
        </w:tc>
        <w:tc>
          <w:tcPr>
            <w:tcW w:w="760" w:type="dxa"/>
            <w:vAlign w:val="bottom"/>
            <w:tcBorders>
              <w:bottom w:val="single" w:sz="8" w:color="D9D9D9"/>
            </w:tcBorders>
          </w:tcPr>
          <w:p>
            <w:pPr>
              <w:spacing w:after="0"/>
              <w:rPr>
                <w:sz w:val="4"/>
                <w:szCs w:val="4"/>
                <w:color w:val="auto"/>
              </w:rPr>
            </w:pPr>
          </w:p>
        </w:tc>
        <w:tc>
          <w:tcPr>
            <w:tcW w:w="720" w:type="dxa"/>
            <w:vAlign w:val="bottom"/>
            <w:tcBorders>
              <w:bottom w:val="single" w:sz="8" w:color="D9D9D9"/>
            </w:tcBorders>
          </w:tcPr>
          <w:p>
            <w:pPr>
              <w:spacing w:after="0"/>
              <w:rPr>
                <w:sz w:val="4"/>
                <w:szCs w:val="4"/>
                <w:color w:val="auto"/>
              </w:rPr>
            </w:pPr>
          </w:p>
        </w:tc>
        <w:tc>
          <w:tcPr>
            <w:tcW w:w="1240" w:type="dxa"/>
            <w:vAlign w:val="bottom"/>
            <w:tcBorders>
              <w:bottom w:val="single" w:sz="8" w:color="D9D9D9"/>
            </w:tcBorders>
          </w:tcPr>
          <w:p>
            <w:pPr>
              <w:spacing w:after="0"/>
              <w:rPr>
                <w:sz w:val="4"/>
                <w:szCs w:val="4"/>
                <w:color w:val="auto"/>
              </w:rPr>
            </w:pPr>
          </w:p>
        </w:tc>
        <w:tc>
          <w:tcPr>
            <w:tcW w:w="960" w:type="dxa"/>
            <w:vAlign w:val="bottom"/>
            <w:tcBorders>
              <w:bottom w:val="single" w:sz="8" w:color="D9D9D9"/>
            </w:tcBorders>
          </w:tcPr>
          <w:p>
            <w:pPr>
              <w:spacing w:after="0"/>
              <w:rPr>
                <w:sz w:val="4"/>
                <w:szCs w:val="4"/>
                <w:color w:val="auto"/>
              </w:rPr>
            </w:pPr>
          </w:p>
        </w:tc>
        <w:tc>
          <w:tcPr>
            <w:tcW w:w="840" w:type="dxa"/>
            <w:vAlign w:val="bottom"/>
            <w:tcBorders>
              <w:bottom w:val="single" w:sz="8" w:color="D9D9D9"/>
            </w:tcBorders>
          </w:tcPr>
          <w:p>
            <w:pPr>
              <w:spacing w:after="0"/>
              <w:rPr>
                <w:sz w:val="4"/>
                <w:szCs w:val="4"/>
                <w:color w:val="auto"/>
              </w:rPr>
            </w:pPr>
          </w:p>
        </w:tc>
        <w:tc>
          <w:tcPr>
            <w:tcW w:w="780" w:type="dxa"/>
            <w:vAlign w:val="bottom"/>
            <w:tcBorders>
              <w:bottom w:val="single" w:sz="8" w:color="D9D9D9"/>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1160" w:type="dxa"/>
            <w:vAlign w:val="bottom"/>
            <w:tcBorders>
              <w:bottom w:val="single" w:sz="8" w:color="D9D9D9"/>
            </w:tcBorders>
          </w:tcPr>
          <w:p>
            <w:pPr>
              <w:spacing w:after="0"/>
              <w:rPr>
                <w:sz w:val="24"/>
                <w:szCs w:val="24"/>
                <w:color w:val="auto"/>
              </w:rPr>
            </w:pPr>
          </w:p>
        </w:tc>
        <w:tc>
          <w:tcPr>
            <w:tcW w:w="1120" w:type="dxa"/>
            <w:vAlign w:val="bottom"/>
            <w:tcBorders>
              <w:bottom w:val="single" w:sz="8" w:color="D9D9D9"/>
            </w:tcBorders>
          </w:tcPr>
          <w:p>
            <w:pPr>
              <w:ind w:left="20"/>
              <w:spacing w:after="0"/>
              <w:rPr>
                <w:sz w:val="20"/>
                <w:szCs w:val="20"/>
                <w:color w:val="auto"/>
              </w:rPr>
            </w:pPr>
            <w:r>
              <w:rPr>
                <w:rFonts w:ascii="Arial" w:cs="Arial" w:eastAsia="Arial" w:hAnsi="Arial"/>
                <w:sz w:val="13"/>
                <w:szCs w:val="13"/>
                <w:color w:val="auto"/>
              </w:rPr>
              <w:t>9/20/2025</w:t>
            </w:r>
            <w:r>
              <w:rPr>
                <w:rFonts w:ascii="Arial" w:cs="Arial" w:eastAsia="Arial" w:hAnsi="Arial"/>
                <w:sz w:val="18"/>
                <w:szCs w:val="18"/>
                <w:color w:val="auto"/>
                <w:vertAlign w:val="superscript"/>
              </w:rPr>
              <w:t>(1)</w:t>
            </w:r>
          </w:p>
        </w:tc>
        <w:tc>
          <w:tcPr>
            <w:tcW w:w="980" w:type="dxa"/>
            <w:vAlign w:val="bottom"/>
            <w:tcBorders>
              <w:bottom w:val="single" w:sz="8" w:color="D9D9D9"/>
            </w:tcBorders>
          </w:tcPr>
          <w:p>
            <w:pPr>
              <w:jc w:val="right"/>
              <w:ind w:right="177"/>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D9D9D9"/>
            </w:tcBorders>
          </w:tcPr>
          <w:p>
            <w:pPr>
              <w:jc w:val="right"/>
              <w:ind w:right="29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D9D9D9"/>
            </w:tcBorders>
            <w:gridSpan w:val="2"/>
          </w:tcPr>
          <w:p>
            <w:pPr>
              <w:jc w:val="right"/>
              <w:ind w:right="28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D9D9D9"/>
            </w:tcBorders>
          </w:tcPr>
          <w:p>
            <w:pPr>
              <w:ind w:left="62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D9D9D9"/>
            </w:tcBorders>
          </w:tcPr>
          <w:p>
            <w:pPr>
              <w:jc w:val="right"/>
              <w:ind w:right="217"/>
              <w:spacing w:after="0"/>
              <w:rPr>
                <w:sz w:val="20"/>
                <w:szCs w:val="20"/>
                <w:color w:val="auto"/>
              </w:rPr>
            </w:pPr>
            <w:r>
              <w:rPr>
                <w:rFonts w:ascii="Arial" w:cs="Arial" w:eastAsia="Arial" w:hAnsi="Arial"/>
                <w:sz w:val="13"/>
                <w:szCs w:val="13"/>
                <w:color w:val="auto"/>
              </w:rPr>
              <w:t>12,918</w:t>
            </w:r>
          </w:p>
        </w:tc>
        <w:tc>
          <w:tcPr>
            <w:tcW w:w="720" w:type="dxa"/>
            <w:vAlign w:val="bottom"/>
            <w:tcBorders>
              <w:bottom w:val="single" w:sz="8" w:color="D9D9D9"/>
            </w:tcBorders>
          </w:tcPr>
          <w:p>
            <w:pPr>
              <w:ind w:left="440"/>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D9D9D9"/>
            </w:tcBorders>
          </w:tcPr>
          <w:p>
            <w:pPr>
              <w:jc w:val="right"/>
              <w:ind w:right="237"/>
              <w:spacing w:after="0"/>
              <w:rPr>
                <w:sz w:val="20"/>
                <w:szCs w:val="20"/>
                <w:color w:val="auto"/>
              </w:rPr>
            </w:pPr>
            <w:r>
              <w:rPr>
                <w:rFonts w:ascii="Arial" w:cs="Arial" w:eastAsia="Arial" w:hAnsi="Arial"/>
                <w:sz w:val="13"/>
                <w:szCs w:val="13"/>
                <w:color w:val="auto"/>
              </w:rPr>
              <w:t>12,918</w:t>
            </w:r>
          </w:p>
        </w:tc>
        <w:tc>
          <w:tcPr>
            <w:tcW w:w="960" w:type="dxa"/>
            <w:vAlign w:val="bottom"/>
            <w:tcBorders>
              <w:bottom w:val="single" w:sz="8" w:color="D9D9D9"/>
            </w:tcBorders>
          </w:tcPr>
          <w:p>
            <w:pPr>
              <w:jc w:val="center"/>
              <w:ind w:left="217"/>
              <w:spacing w:after="0"/>
              <w:rPr>
                <w:sz w:val="20"/>
                <w:szCs w:val="20"/>
                <w:color w:val="auto"/>
              </w:rPr>
            </w:pPr>
            <w:r>
              <w:rPr>
                <w:rFonts w:ascii="Arial" w:cs="Arial" w:eastAsia="Arial" w:hAnsi="Arial"/>
                <w:sz w:val="13"/>
                <w:szCs w:val="13"/>
                <w:color w:val="auto"/>
                <w:w w:val="91"/>
              </w:rPr>
              <w:t>—</w:t>
            </w:r>
          </w:p>
        </w:tc>
        <w:tc>
          <w:tcPr>
            <w:tcW w:w="840" w:type="dxa"/>
            <w:vAlign w:val="bottom"/>
            <w:tcBorders>
              <w:bottom w:val="single" w:sz="8" w:color="D9D9D9"/>
            </w:tcBorders>
          </w:tcPr>
          <w:p>
            <w:pPr>
              <w:ind w:left="40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D9D9D9"/>
            </w:tcBorders>
          </w:tcPr>
          <w:p>
            <w:pPr>
              <w:jc w:val="right"/>
              <w:ind w:right="97"/>
              <w:spacing w:after="0"/>
              <w:rPr>
                <w:sz w:val="20"/>
                <w:szCs w:val="20"/>
                <w:color w:val="auto"/>
              </w:rPr>
            </w:pPr>
            <w:r>
              <w:rPr>
                <w:rFonts w:ascii="Arial" w:cs="Arial" w:eastAsia="Arial" w:hAnsi="Arial"/>
                <w:sz w:val="13"/>
                <w:szCs w:val="13"/>
                <w:color w:val="auto"/>
              </w:rPr>
              <w:t>82,192</w:t>
            </w:r>
          </w:p>
        </w:tc>
        <w:tc>
          <w:tcPr>
            <w:tcW w:w="0" w:type="dxa"/>
            <w:vAlign w:val="bottom"/>
          </w:tcPr>
          <w:p>
            <w:pPr>
              <w:spacing w:after="0"/>
              <w:rPr>
                <w:sz w:val="1"/>
                <w:szCs w:val="1"/>
                <w:color w:val="auto"/>
              </w:rPr>
            </w:pPr>
          </w:p>
        </w:tc>
      </w:tr>
      <w:tr>
        <w:trPr>
          <w:trHeight w:val="228"/>
        </w:trPr>
        <w:tc>
          <w:tcPr>
            <w:tcW w:w="1160" w:type="dxa"/>
            <w:vAlign w:val="bottom"/>
          </w:tcPr>
          <w:p>
            <w:pPr>
              <w:ind w:left="20"/>
              <w:spacing w:after="0"/>
              <w:rPr>
                <w:sz w:val="20"/>
                <w:szCs w:val="20"/>
                <w:color w:val="auto"/>
              </w:rPr>
            </w:pPr>
            <w:r>
              <w:rPr>
                <w:rFonts w:ascii="Arial" w:cs="Arial" w:eastAsia="Arial" w:hAnsi="Arial"/>
                <w:sz w:val="13"/>
                <w:szCs w:val="13"/>
                <w:b w:val="1"/>
                <w:bCs w:val="1"/>
                <w:color w:val="FF7F32"/>
              </w:rPr>
              <w:t>Anna</w:t>
            </w:r>
          </w:p>
        </w:tc>
        <w:tc>
          <w:tcPr>
            <w:tcW w:w="1120" w:type="dxa"/>
            <w:vAlign w:val="bottom"/>
          </w:tcPr>
          <w:p>
            <w:pPr>
              <w:ind w:left="20"/>
              <w:spacing w:after="0"/>
              <w:rPr>
                <w:sz w:val="20"/>
                <w:szCs w:val="20"/>
                <w:color w:val="auto"/>
              </w:rPr>
            </w:pPr>
            <w:r>
              <w:rPr>
                <w:rFonts w:ascii="Arial" w:cs="Arial" w:eastAsia="Arial" w:hAnsi="Arial"/>
                <w:sz w:val="13"/>
                <w:szCs w:val="13"/>
                <w:color w:val="auto"/>
              </w:rPr>
              <w:t>2025 Annual</w:t>
            </w:r>
          </w:p>
        </w:tc>
        <w:tc>
          <w:tcPr>
            <w:tcW w:w="980" w:type="dxa"/>
            <w:vAlign w:val="bottom"/>
          </w:tcPr>
          <w:p>
            <w:pPr>
              <w:jc w:val="right"/>
              <w:ind w:right="177"/>
              <w:spacing w:after="0"/>
              <w:rPr>
                <w:sz w:val="20"/>
                <w:szCs w:val="20"/>
                <w:color w:val="auto"/>
              </w:rPr>
            </w:pPr>
            <w:r>
              <w:rPr>
                <w:rFonts w:ascii="Arial" w:cs="Arial" w:eastAsia="Arial" w:hAnsi="Arial"/>
                <w:sz w:val="13"/>
                <w:szCs w:val="13"/>
                <w:color w:val="auto"/>
              </w:rPr>
              <w:t>114,100</w:t>
            </w:r>
          </w:p>
        </w:tc>
        <w:tc>
          <w:tcPr>
            <w:tcW w:w="900" w:type="dxa"/>
            <w:vAlign w:val="bottom"/>
          </w:tcPr>
          <w:p>
            <w:pPr>
              <w:jc w:val="right"/>
              <w:ind w:right="297"/>
              <w:spacing w:after="0"/>
              <w:rPr>
                <w:sz w:val="20"/>
                <w:szCs w:val="20"/>
                <w:color w:val="auto"/>
              </w:rPr>
            </w:pPr>
            <w:r>
              <w:rPr>
                <w:rFonts w:ascii="Arial" w:cs="Arial" w:eastAsia="Arial" w:hAnsi="Arial"/>
                <w:sz w:val="13"/>
                <w:szCs w:val="13"/>
                <w:color w:val="auto"/>
              </w:rPr>
              <w:t>163,000</w:t>
            </w:r>
          </w:p>
        </w:tc>
        <w:tc>
          <w:tcPr>
            <w:tcW w:w="660" w:type="dxa"/>
            <w:vAlign w:val="bottom"/>
          </w:tcPr>
          <w:p>
            <w:pPr>
              <w:jc w:val="right"/>
              <w:ind w:right="97"/>
              <w:spacing w:after="0"/>
              <w:rPr>
                <w:sz w:val="20"/>
                <w:szCs w:val="20"/>
                <w:color w:val="auto"/>
              </w:rPr>
            </w:pPr>
            <w:r>
              <w:rPr>
                <w:rFonts w:ascii="Arial" w:cs="Arial" w:eastAsia="Arial" w:hAnsi="Arial"/>
                <w:sz w:val="13"/>
                <w:szCs w:val="13"/>
                <w:color w:val="auto"/>
              </w:rPr>
              <w:t>270,400</w:t>
            </w:r>
          </w:p>
        </w:tc>
        <w:tc>
          <w:tcPr>
            <w:tcW w:w="120" w:type="dxa"/>
            <w:vAlign w:val="bottom"/>
          </w:tcPr>
          <w:p>
            <w:pPr>
              <w:spacing w:after="0"/>
              <w:rPr>
                <w:sz w:val="19"/>
                <w:szCs w:val="19"/>
                <w:color w:val="auto"/>
              </w:rPr>
            </w:pPr>
          </w:p>
        </w:tc>
        <w:tc>
          <w:tcPr>
            <w:tcW w:w="1000" w:type="dxa"/>
            <w:vAlign w:val="bottom"/>
          </w:tcPr>
          <w:p>
            <w:pPr>
              <w:ind w:left="62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720" w:type="dxa"/>
            <w:vAlign w:val="bottom"/>
          </w:tcPr>
          <w:p>
            <w:pPr>
              <w:ind w:left="440"/>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960" w:type="dxa"/>
            <w:vAlign w:val="bottom"/>
          </w:tcPr>
          <w:p>
            <w:pPr>
              <w:jc w:val="center"/>
              <w:ind w:left="217"/>
              <w:spacing w:after="0"/>
              <w:rPr>
                <w:sz w:val="20"/>
                <w:szCs w:val="20"/>
                <w:color w:val="auto"/>
              </w:rPr>
            </w:pPr>
            <w:r>
              <w:rPr>
                <w:rFonts w:ascii="Arial" w:cs="Arial" w:eastAsia="Arial" w:hAnsi="Arial"/>
                <w:sz w:val="13"/>
                <w:szCs w:val="13"/>
                <w:color w:val="auto"/>
                <w:w w:val="91"/>
              </w:rPr>
              <w:t>—</w:t>
            </w:r>
          </w:p>
        </w:tc>
        <w:tc>
          <w:tcPr>
            <w:tcW w:w="840" w:type="dxa"/>
            <w:vAlign w:val="bottom"/>
          </w:tcPr>
          <w:p>
            <w:pPr>
              <w:ind w:left="40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1160" w:type="dxa"/>
            <w:vAlign w:val="bottom"/>
          </w:tcPr>
          <w:p>
            <w:pPr>
              <w:ind w:left="20"/>
              <w:spacing w:after="0"/>
              <w:rPr>
                <w:sz w:val="20"/>
                <w:szCs w:val="20"/>
                <w:color w:val="auto"/>
              </w:rPr>
            </w:pPr>
            <w:r>
              <w:rPr>
                <w:rFonts w:ascii="Arial" w:cs="Arial" w:eastAsia="Arial" w:hAnsi="Arial"/>
                <w:sz w:val="13"/>
                <w:szCs w:val="13"/>
                <w:b w:val="1"/>
                <w:bCs w:val="1"/>
                <w:color w:val="FF7F32"/>
              </w:rPr>
              <w:t>Novoseletsky</w:t>
            </w:r>
          </w:p>
        </w:tc>
        <w:tc>
          <w:tcPr>
            <w:tcW w:w="1120" w:type="dxa"/>
            <w:vAlign w:val="bottom"/>
          </w:tcPr>
          <w:p>
            <w:pPr>
              <w:ind w:left="20"/>
              <w:spacing w:after="0"/>
              <w:rPr>
                <w:sz w:val="20"/>
                <w:szCs w:val="20"/>
                <w:color w:val="auto"/>
              </w:rPr>
            </w:pPr>
            <w:r>
              <w:rPr>
                <w:rFonts w:ascii="Arial" w:cs="Arial" w:eastAsia="Arial" w:hAnsi="Arial"/>
                <w:sz w:val="13"/>
                <w:szCs w:val="13"/>
                <w:color w:val="auto"/>
              </w:rPr>
              <w:t>Bonus</w:t>
            </w:r>
          </w:p>
        </w:tc>
        <w:tc>
          <w:tcPr>
            <w:tcW w:w="9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1160" w:type="dxa"/>
            <w:vAlign w:val="bottom"/>
          </w:tcPr>
          <w:p>
            <w:pPr>
              <w:spacing w:after="0"/>
              <w:rPr>
                <w:sz w:val="3"/>
                <w:szCs w:val="3"/>
                <w:color w:val="auto"/>
              </w:rPr>
            </w:pPr>
          </w:p>
        </w:tc>
        <w:tc>
          <w:tcPr>
            <w:tcW w:w="1120" w:type="dxa"/>
            <w:vAlign w:val="bottom"/>
            <w:tcBorders>
              <w:bottom w:val="single" w:sz="8" w:color="D9D9D9"/>
            </w:tcBorders>
          </w:tcPr>
          <w:p>
            <w:pPr>
              <w:spacing w:after="0"/>
              <w:rPr>
                <w:sz w:val="3"/>
                <w:szCs w:val="3"/>
                <w:color w:val="auto"/>
              </w:rPr>
            </w:pPr>
          </w:p>
        </w:tc>
        <w:tc>
          <w:tcPr>
            <w:tcW w:w="980" w:type="dxa"/>
            <w:vAlign w:val="bottom"/>
            <w:tcBorders>
              <w:bottom w:val="single" w:sz="8" w:color="D9D9D9"/>
            </w:tcBorders>
          </w:tcPr>
          <w:p>
            <w:pPr>
              <w:spacing w:after="0"/>
              <w:rPr>
                <w:sz w:val="3"/>
                <w:szCs w:val="3"/>
                <w:color w:val="auto"/>
              </w:rPr>
            </w:pPr>
          </w:p>
        </w:tc>
        <w:tc>
          <w:tcPr>
            <w:tcW w:w="900" w:type="dxa"/>
            <w:vAlign w:val="bottom"/>
            <w:tcBorders>
              <w:bottom w:val="single" w:sz="8" w:color="D9D9D9"/>
            </w:tcBorders>
          </w:tcPr>
          <w:p>
            <w:pPr>
              <w:spacing w:after="0"/>
              <w:rPr>
                <w:sz w:val="3"/>
                <w:szCs w:val="3"/>
                <w:color w:val="auto"/>
              </w:rPr>
            </w:pPr>
          </w:p>
        </w:tc>
        <w:tc>
          <w:tcPr>
            <w:tcW w:w="660" w:type="dxa"/>
            <w:vAlign w:val="bottom"/>
            <w:tcBorders>
              <w:bottom w:val="single" w:sz="8" w:color="D9D9D9"/>
            </w:tcBorders>
          </w:tcPr>
          <w:p>
            <w:pPr>
              <w:spacing w:after="0"/>
              <w:rPr>
                <w:sz w:val="3"/>
                <w:szCs w:val="3"/>
                <w:color w:val="auto"/>
              </w:rPr>
            </w:pPr>
          </w:p>
        </w:tc>
        <w:tc>
          <w:tcPr>
            <w:tcW w:w="120" w:type="dxa"/>
            <w:vAlign w:val="bottom"/>
            <w:tcBorders>
              <w:bottom w:val="single" w:sz="8" w:color="D9D9D9"/>
            </w:tcBorders>
          </w:tcPr>
          <w:p>
            <w:pPr>
              <w:spacing w:after="0"/>
              <w:rPr>
                <w:sz w:val="3"/>
                <w:szCs w:val="3"/>
                <w:color w:val="auto"/>
              </w:rPr>
            </w:pPr>
          </w:p>
        </w:tc>
        <w:tc>
          <w:tcPr>
            <w:tcW w:w="1000" w:type="dxa"/>
            <w:vAlign w:val="bottom"/>
            <w:tcBorders>
              <w:bottom w:val="single" w:sz="8" w:color="D9D9D9"/>
            </w:tcBorders>
          </w:tcPr>
          <w:p>
            <w:pPr>
              <w:spacing w:after="0"/>
              <w:rPr>
                <w:sz w:val="3"/>
                <w:szCs w:val="3"/>
                <w:color w:val="auto"/>
              </w:rPr>
            </w:pPr>
          </w:p>
        </w:tc>
        <w:tc>
          <w:tcPr>
            <w:tcW w:w="760" w:type="dxa"/>
            <w:vAlign w:val="bottom"/>
            <w:tcBorders>
              <w:bottom w:val="single" w:sz="8" w:color="D9D9D9"/>
            </w:tcBorders>
          </w:tcPr>
          <w:p>
            <w:pPr>
              <w:spacing w:after="0"/>
              <w:rPr>
                <w:sz w:val="3"/>
                <w:szCs w:val="3"/>
                <w:color w:val="auto"/>
              </w:rPr>
            </w:pPr>
          </w:p>
        </w:tc>
        <w:tc>
          <w:tcPr>
            <w:tcW w:w="720" w:type="dxa"/>
            <w:vAlign w:val="bottom"/>
            <w:tcBorders>
              <w:bottom w:val="single" w:sz="8" w:color="D9D9D9"/>
            </w:tcBorders>
          </w:tcPr>
          <w:p>
            <w:pPr>
              <w:spacing w:after="0"/>
              <w:rPr>
                <w:sz w:val="3"/>
                <w:szCs w:val="3"/>
                <w:color w:val="auto"/>
              </w:rPr>
            </w:pPr>
          </w:p>
        </w:tc>
        <w:tc>
          <w:tcPr>
            <w:tcW w:w="1240" w:type="dxa"/>
            <w:vAlign w:val="bottom"/>
            <w:tcBorders>
              <w:bottom w:val="single" w:sz="8" w:color="D9D9D9"/>
            </w:tcBorders>
          </w:tcPr>
          <w:p>
            <w:pPr>
              <w:spacing w:after="0"/>
              <w:rPr>
                <w:sz w:val="3"/>
                <w:szCs w:val="3"/>
                <w:color w:val="auto"/>
              </w:rPr>
            </w:pPr>
          </w:p>
        </w:tc>
        <w:tc>
          <w:tcPr>
            <w:tcW w:w="960" w:type="dxa"/>
            <w:vAlign w:val="bottom"/>
            <w:tcBorders>
              <w:bottom w:val="single" w:sz="8" w:color="D9D9D9"/>
            </w:tcBorders>
          </w:tcPr>
          <w:p>
            <w:pPr>
              <w:spacing w:after="0"/>
              <w:rPr>
                <w:sz w:val="3"/>
                <w:szCs w:val="3"/>
                <w:color w:val="auto"/>
              </w:rPr>
            </w:pPr>
          </w:p>
        </w:tc>
        <w:tc>
          <w:tcPr>
            <w:tcW w:w="840" w:type="dxa"/>
            <w:vAlign w:val="bottom"/>
            <w:tcBorders>
              <w:bottom w:val="single" w:sz="8" w:color="D9D9D9"/>
            </w:tcBorders>
          </w:tcPr>
          <w:p>
            <w:pPr>
              <w:spacing w:after="0"/>
              <w:rPr>
                <w:sz w:val="3"/>
                <w:szCs w:val="3"/>
                <w:color w:val="auto"/>
              </w:rPr>
            </w:pPr>
          </w:p>
        </w:tc>
        <w:tc>
          <w:tcPr>
            <w:tcW w:w="780" w:type="dxa"/>
            <w:vAlign w:val="bottom"/>
            <w:tcBorders>
              <w:bottom w:val="single" w:sz="8" w:color="D9D9D9"/>
            </w:tcBorders>
          </w:tcPr>
          <w:p>
            <w:pPr>
              <w:spacing w:after="0"/>
              <w:rPr>
                <w:sz w:val="3"/>
                <w:szCs w:val="3"/>
                <w:color w:val="auto"/>
              </w:rPr>
            </w:pPr>
          </w:p>
        </w:tc>
        <w:tc>
          <w:tcPr>
            <w:tcW w:w="0" w:type="dxa"/>
            <w:vAlign w:val="bottom"/>
          </w:tcPr>
          <w:p>
            <w:pPr>
              <w:spacing w:after="0"/>
              <w:rPr>
                <w:sz w:val="1"/>
                <w:szCs w:val="1"/>
                <w:color w:val="auto"/>
              </w:rPr>
            </w:pPr>
          </w:p>
        </w:tc>
      </w:tr>
      <w:tr>
        <w:trPr>
          <w:trHeight w:val="299"/>
        </w:trPr>
        <w:tc>
          <w:tcPr>
            <w:tcW w:w="116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9/20/2025</w:t>
            </w:r>
            <w:r>
              <w:rPr>
                <w:rFonts w:ascii="Arial" w:cs="Arial" w:eastAsia="Arial" w:hAnsi="Arial"/>
                <w:sz w:val="18"/>
                <w:szCs w:val="18"/>
                <w:color w:val="auto"/>
                <w:vertAlign w:val="superscript"/>
              </w:rPr>
              <w:t>(1)</w:t>
            </w:r>
          </w:p>
        </w:tc>
        <w:tc>
          <w:tcPr>
            <w:tcW w:w="98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0" w:type="dxa"/>
            <w:vAlign w:val="bottom"/>
          </w:tcPr>
          <w:p>
            <w:pPr>
              <w:ind w:left="62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217"/>
              <w:spacing w:after="0"/>
              <w:rPr>
                <w:sz w:val="20"/>
                <w:szCs w:val="20"/>
                <w:color w:val="auto"/>
              </w:rPr>
            </w:pPr>
            <w:r>
              <w:rPr>
                <w:rFonts w:ascii="Arial" w:cs="Arial" w:eastAsia="Arial" w:hAnsi="Arial"/>
                <w:sz w:val="13"/>
                <w:szCs w:val="13"/>
                <w:color w:val="auto"/>
              </w:rPr>
              <w:t>11,589</w:t>
            </w:r>
          </w:p>
        </w:tc>
        <w:tc>
          <w:tcPr>
            <w:tcW w:w="720" w:type="dxa"/>
            <w:vAlign w:val="bottom"/>
          </w:tcPr>
          <w:p>
            <w:pPr>
              <w:ind w:left="440"/>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237"/>
              <w:spacing w:after="0"/>
              <w:rPr>
                <w:sz w:val="20"/>
                <w:szCs w:val="20"/>
                <w:color w:val="auto"/>
              </w:rPr>
            </w:pPr>
            <w:r>
              <w:rPr>
                <w:rFonts w:ascii="Arial" w:cs="Arial" w:eastAsia="Arial" w:hAnsi="Arial"/>
                <w:sz w:val="13"/>
                <w:szCs w:val="13"/>
                <w:color w:val="auto"/>
              </w:rPr>
              <w:t>11,589</w:t>
            </w:r>
          </w:p>
        </w:tc>
        <w:tc>
          <w:tcPr>
            <w:tcW w:w="960" w:type="dxa"/>
            <w:vAlign w:val="bottom"/>
          </w:tcPr>
          <w:p>
            <w:pPr>
              <w:jc w:val="center"/>
              <w:ind w:left="217"/>
              <w:spacing w:after="0"/>
              <w:rPr>
                <w:sz w:val="20"/>
                <w:szCs w:val="20"/>
                <w:color w:val="auto"/>
              </w:rPr>
            </w:pPr>
            <w:r>
              <w:rPr>
                <w:rFonts w:ascii="Arial" w:cs="Arial" w:eastAsia="Arial" w:hAnsi="Arial"/>
                <w:sz w:val="13"/>
                <w:szCs w:val="13"/>
                <w:color w:val="auto"/>
                <w:w w:val="91"/>
              </w:rPr>
              <w:t>—</w:t>
            </w:r>
          </w:p>
        </w:tc>
        <w:tc>
          <w:tcPr>
            <w:tcW w:w="840" w:type="dxa"/>
            <w:vAlign w:val="bottom"/>
          </w:tcPr>
          <w:p>
            <w:pPr>
              <w:ind w:left="40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97"/>
              <w:spacing w:after="0"/>
              <w:rPr>
                <w:sz w:val="20"/>
                <w:szCs w:val="20"/>
                <w:color w:val="auto"/>
              </w:rPr>
            </w:pPr>
            <w:r>
              <w:rPr>
                <w:rFonts w:ascii="Arial" w:cs="Arial" w:eastAsia="Arial" w:hAnsi="Arial"/>
                <w:sz w:val="13"/>
                <w:szCs w:val="13"/>
                <w:color w:val="auto"/>
              </w:rPr>
              <w:t>74,633</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200" w:hanging="192"/>
        <w:spacing w:after="0"/>
        <w:tabs>
          <w:tab w:leader="none" w:pos="200" w:val="left"/>
        </w:tabs>
        <w:numPr>
          <w:ilvl w:val="0"/>
          <w:numId w:val="67"/>
        </w:numPr>
        <w:rPr>
          <w:rFonts w:ascii="Arial" w:cs="Arial" w:eastAsia="Arial" w:hAnsi="Arial"/>
          <w:sz w:val="16"/>
          <w:szCs w:val="16"/>
          <w:color w:val="202945"/>
          <w:vertAlign w:val="superscript"/>
        </w:rPr>
      </w:pPr>
      <w:r>
        <w:rPr>
          <w:rFonts w:ascii="Arial" w:cs="Arial" w:eastAsia="Arial" w:hAnsi="Arial"/>
          <w:sz w:val="13"/>
          <w:szCs w:val="13"/>
          <w:color w:val="202945"/>
        </w:rPr>
        <w:t>Restricted stock units granted on September 20, 2024 for each officer, vest in three equal installments on each anniversary of September 20,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283210</wp:posOffset>
            </wp:positionV>
            <wp:extent cx="925830" cy="26543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925830" cy="265430"/>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b w:val="1"/>
                <w:bCs w:val="1"/>
                <w:color w:val="FF7F32"/>
              </w:rPr>
              <w:t xml:space="preserve">2026 </w:t>
            </w:r>
            <w:r>
              <w:rPr>
                <w:rFonts w:ascii="Arial" w:cs="Arial" w:eastAsia="Arial" w:hAnsi="Arial"/>
                <w:sz w:val="13"/>
                <w:szCs w:val="13"/>
                <w:color w:val="000000"/>
              </w:rPr>
              <w:t>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auto"/>
              </w:rPr>
              <w:t>63</w:t>
            </w:r>
          </w:p>
        </w:tc>
      </w:tr>
      <w:tr>
        <w:trPr>
          <w:trHeight w:val="420"/>
        </w:trPr>
        <w:tc>
          <w:tcPr>
            <w:tcW w:w="618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3"/>
          <w:szCs w:val="13"/>
          <w:color w:val="auto"/>
        </w:rPr>
        <w:t>Executive Compensation Tables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32"/>
          <w:szCs w:val="32"/>
          <w:b w:val="1"/>
          <w:bCs w:val="1"/>
          <w:color w:val="202945"/>
        </w:rPr>
        <w:t>Outstanding Equity Awards at Fiscal Year-End</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information regarding unexercised stock options and unvested equity awards held by our NEOs as of June 30, 2025:</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58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404040"/>
              </w:rPr>
              <w:t>Option Awards</w:t>
            </w: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80" w:type="dxa"/>
            <w:vAlign w:val="bottom"/>
            <w:gridSpan w:val="2"/>
          </w:tcPr>
          <w:p>
            <w:pPr>
              <w:jc w:val="right"/>
              <w:ind w:right="848"/>
              <w:spacing w:after="0"/>
              <w:rPr>
                <w:sz w:val="20"/>
                <w:szCs w:val="20"/>
                <w:color w:val="auto"/>
              </w:rPr>
            </w:pPr>
            <w:r>
              <w:rPr>
                <w:rFonts w:ascii="Arial" w:cs="Arial" w:eastAsia="Arial" w:hAnsi="Arial"/>
                <w:sz w:val="14"/>
                <w:szCs w:val="14"/>
                <w:b w:val="1"/>
                <w:bCs w:val="1"/>
                <w:color w:val="404040"/>
              </w:rPr>
              <w:t>Stock Awards</w:t>
            </w:r>
          </w:p>
        </w:tc>
        <w:tc>
          <w:tcPr>
            <w:tcW w:w="0" w:type="dxa"/>
            <w:vAlign w:val="bottom"/>
          </w:tcPr>
          <w:p>
            <w:pPr>
              <w:spacing w:after="0"/>
              <w:rPr>
                <w:sz w:val="1"/>
                <w:szCs w:val="1"/>
                <w:color w:val="auto"/>
              </w:rPr>
            </w:pPr>
          </w:p>
        </w:tc>
      </w:tr>
      <w:tr>
        <w:trPr>
          <w:trHeight w:val="43"/>
        </w:trPr>
        <w:tc>
          <w:tcPr>
            <w:tcW w:w="1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Borders>
              <w:bottom w:val="single" w:sz="8" w:color="FF7F32"/>
            </w:tcBorders>
          </w:tcPr>
          <w:p>
            <w:pPr>
              <w:spacing w:after="0"/>
              <w:rPr>
                <w:sz w:val="3"/>
                <w:szCs w:val="3"/>
                <w:color w:val="auto"/>
              </w:rPr>
            </w:pPr>
          </w:p>
        </w:tc>
        <w:tc>
          <w:tcPr>
            <w:tcW w:w="1220" w:type="dxa"/>
            <w:vAlign w:val="bottom"/>
            <w:tcBorders>
              <w:bottom w:val="single" w:sz="8" w:color="FF7F32"/>
            </w:tcBorders>
          </w:tcPr>
          <w:p>
            <w:pPr>
              <w:spacing w:after="0"/>
              <w:rPr>
                <w:sz w:val="3"/>
                <w:szCs w:val="3"/>
                <w:color w:val="auto"/>
              </w:rPr>
            </w:pPr>
          </w:p>
        </w:tc>
        <w:tc>
          <w:tcPr>
            <w:tcW w:w="1360" w:type="dxa"/>
            <w:vAlign w:val="bottom"/>
            <w:tcBorders>
              <w:bottom w:val="single" w:sz="8" w:color="FF7F32"/>
            </w:tcBorders>
          </w:tcPr>
          <w:p>
            <w:pPr>
              <w:spacing w:after="0"/>
              <w:rPr>
                <w:sz w:val="3"/>
                <w:szCs w:val="3"/>
                <w:color w:val="auto"/>
              </w:rPr>
            </w:pPr>
          </w:p>
        </w:tc>
        <w:tc>
          <w:tcPr>
            <w:tcW w:w="540" w:type="dxa"/>
            <w:vAlign w:val="bottom"/>
            <w:tcBorders>
              <w:bottom w:val="single" w:sz="8" w:color="FF7F32"/>
            </w:tcBorders>
          </w:tcPr>
          <w:p>
            <w:pPr>
              <w:spacing w:after="0"/>
              <w:rPr>
                <w:sz w:val="3"/>
                <w:szCs w:val="3"/>
                <w:color w:val="auto"/>
              </w:rPr>
            </w:pPr>
          </w:p>
        </w:tc>
        <w:tc>
          <w:tcPr>
            <w:tcW w:w="780" w:type="dxa"/>
            <w:vAlign w:val="bottom"/>
            <w:tcBorders>
              <w:bottom w:val="single" w:sz="8" w:color="FF7F32"/>
            </w:tcBorders>
          </w:tcPr>
          <w:p>
            <w:pPr>
              <w:spacing w:after="0"/>
              <w:rPr>
                <w:sz w:val="3"/>
                <w:szCs w:val="3"/>
                <w:color w:val="auto"/>
              </w:rPr>
            </w:pPr>
          </w:p>
        </w:tc>
        <w:tc>
          <w:tcPr>
            <w:tcW w:w="940" w:type="dxa"/>
            <w:vAlign w:val="bottom"/>
            <w:tcBorders>
              <w:bottom w:val="single" w:sz="8" w:color="FF7F32"/>
            </w:tcBorders>
          </w:tcPr>
          <w:p>
            <w:pPr>
              <w:spacing w:after="0"/>
              <w:rPr>
                <w:sz w:val="3"/>
                <w:szCs w:val="3"/>
                <w:color w:val="auto"/>
              </w:rPr>
            </w:pPr>
          </w:p>
        </w:tc>
        <w:tc>
          <w:tcPr>
            <w:tcW w:w="280" w:type="dxa"/>
            <w:vAlign w:val="bottom"/>
          </w:tcPr>
          <w:p>
            <w:pPr>
              <w:spacing w:after="0"/>
              <w:rPr>
                <w:sz w:val="3"/>
                <w:szCs w:val="3"/>
                <w:color w:val="auto"/>
              </w:rPr>
            </w:pPr>
          </w:p>
        </w:tc>
        <w:tc>
          <w:tcPr>
            <w:tcW w:w="1580" w:type="dxa"/>
            <w:vAlign w:val="bottom"/>
            <w:tcBorders>
              <w:bottom w:val="single" w:sz="8" w:color="FF7F32"/>
            </w:tcBorders>
          </w:tcPr>
          <w:p>
            <w:pPr>
              <w:spacing w:after="0"/>
              <w:rPr>
                <w:sz w:val="3"/>
                <w:szCs w:val="3"/>
                <w:color w:val="auto"/>
              </w:rPr>
            </w:pPr>
          </w:p>
        </w:tc>
        <w:tc>
          <w:tcPr>
            <w:tcW w:w="1200" w:type="dxa"/>
            <w:vAlign w:val="bottom"/>
            <w:tcBorders>
              <w:bottom w:val="single" w:sz="8" w:color="FF7F32"/>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4"/>
                <w:szCs w:val="14"/>
                <w:b w:val="1"/>
                <w:bCs w:val="1"/>
                <w:color w:val="404040"/>
              </w:rPr>
              <w:t>Equity</w:t>
            </w:r>
          </w:p>
        </w:tc>
        <w:tc>
          <w:tcPr>
            <w:tcW w:w="5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b w:val="1"/>
                <w:bCs w:val="1"/>
                <w:color w:val="404040"/>
              </w:rPr>
              <w:t>Incentive</w:t>
            </w: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b w:val="1"/>
                <w:bCs w:val="1"/>
                <w:color w:val="404040"/>
              </w:rPr>
              <w:t>Plan Awards:</w:t>
            </w: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tcPr>
          <w:p>
            <w:pPr>
              <w:jc w:val="right"/>
              <w:ind w:right="168"/>
              <w:spacing w:after="0"/>
              <w:rPr>
                <w:sz w:val="20"/>
                <w:szCs w:val="20"/>
                <w:color w:val="auto"/>
              </w:rPr>
            </w:pPr>
            <w:r>
              <w:rPr>
                <w:rFonts w:ascii="Arial" w:cs="Arial" w:eastAsia="Arial" w:hAnsi="Arial"/>
                <w:sz w:val="14"/>
                <w:szCs w:val="14"/>
                <w:b w:val="1"/>
                <w:bCs w:val="1"/>
                <w:color w:val="404040"/>
              </w:rPr>
              <w:t>Number of</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ind w:right="188"/>
              <w:spacing w:after="0"/>
              <w:rPr>
                <w:sz w:val="20"/>
                <w:szCs w:val="20"/>
                <w:color w:val="auto"/>
              </w:rPr>
            </w:pPr>
            <w:r>
              <w:rPr>
                <w:rFonts w:ascii="Arial" w:cs="Arial" w:eastAsia="Arial" w:hAnsi="Arial"/>
                <w:sz w:val="14"/>
                <w:szCs w:val="14"/>
                <w:b w:val="1"/>
                <w:bCs w:val="1"/>
                <w:color w:val="404040"/>
              </w:rPr>
              <w:t>Number of</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404040"/>
              </w:rPr>
              <w:t>Number of</w:t>
            </w:r>
          </w:p>
        </w:tc>
        <w:tc>
          <w:tcPr>
            <w:tcW w:w="1360" w:type="dxa"/>
            <w:vAlign w:val="bottom"/>
          </w:tcPr>
          <w:p>
            <w:pPr>
              <w:jc w:val="right"/>
              <w:spacing w:after="0"/>
              <w:rPr>
                <w:sz w:val="20"/>
                <w:szCs w:val="20"/>
                <w:color w:val="auto"/>
              </w:rPr>
            </w:pPr>
            <w:r>
              <w:rPr>
                <w:rFonts w:ascii="Arial" w:cs="Arial" w:eastAsia="Arial" w:hAnsi="Arial"/>
                <w:sz w:val="14"/>
                <w:szCs w:val="14"/>
                <w:b w:val="1"/>
                <w:bCs w:val="1"/>
                <w:color w:val="404040"/>
              </w:rPr>
              <w:t>Number of</w:t>
            </w: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jc w:val="right"/>
              <w:ind w:right="168"/>
              <w:spacing w:after="0"/>
              <w:rPr>
                <w:sz w:val="20"/>
                <w:szCs w:val="20"/>
                <w:color w:val="auto"/>
              </w:rPr>
            </w:pPr>
            <w:r>
              <w:rPr>
                <w:rFonts w:ascii="Arial" w:cs="Arial" w:eastAsia="Arial" w:hAnsi="Arial"/>
                <w:sz w:val="14"/>
                <w:szCs w:val="14"/>
                <w:b w:val="1"/>
                <w:bCs w:val="1"/>
                <w:color w:val="404040"/>
              </w:rPr>
              <w:t>shares or</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ind w:right="188"/>
              <w:spacing w:after="0"/>
              <w:rPr>
                <w:sz w:val="20"/>
                <w:szCs w:val="20"/>
                <w:color w:val="auto"/>
              </w:rPr>
            </w:pPr>
            <w:r>
              <w:rPr>
                <w:rFonts w:ascii="Arial" w:cs="Arial" w:eastAsia="Arial" w:hAnsi="Arial"/>
                <w:sz w:val="14"/>
                <w:szCs w:val="14"/>
                <w:b w:val="1"/>
                <w:bCs w:val="1"/>
                <w:color w:val="404040"/>
              </w:rPr>
              <w:t>securities</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404040"/>
              </w:rPr>
              <w:t>securities</w:t>
            </w:r>
          </w:p>
        </w:tc>
        <w:tc>
          <w:tcPr>
            <w:tcW w:w="1360" w:type="dxa"/>
            <w:vAlign w:val="bottom"/>
          </w:tcPr>
          <w:p>
            <w:pPr>
              <w:jc w:val="right"/>
              <w:spacing w:after="0"/>
              <w:rPr>
                <w:sz w:val="20"/>
                <w:szCs w:val="20"/>
                <w:color w:val="auto"/>
              </w:rPr>
            </w:pPr>
            <w:r>
              <w:rPr>
                <w:rFonts w:ascii="Arial" w:cs="Arial" w:eastAsia="Arial" w:hAnsi="Arial"/>
                <w:sz w:val="14"/>
                <w:szCs w:val="14"/>
                <w:b w:val="1"/>
                <w:bCs w:val="1"/>
                <w:color w:val="404040"/>
              </w:rPr>
              <w:t>securities</w:t>
            </w: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jc w:val="right"/>
              <w:ind w:right="168"/>
              <w:spacing w:after="0"/>
              <w:rPr>
                <w:sz w:val="20"/>
                <w:szCs w:val="20"/>
                <w:color w:val="auto"/>
              </w:rPr>
            </w:pPr>
            <w:r>
              <w:rPr>
                <w:rFonts w:ascii="Arial" w:cs="Arial" w:eastAsia="Arial" w:hAnsi="Arial"/>
                <w:sz w:val="14"/>
                <w:szCs w:val="14"/>
                <w:b w:val="1"/>
                <w:bCs w:val="1"/>
                <w:color w:val="404040"/>
              </w:rPr>
              <w:t>units of</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404040"/>
              </w:rPr>
              <w:t>Market value</w:t>
            </w: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ind w:right="188"/>
              <w:spacing w:after="0"/>
              <w:rPr>
                <w:sz w:val="20"/>
                <w:szCs w:val="20"/>
                <w:color w:val="auto"/>
              </w:rPr>
            </w:pPr>
            <w:r>
              <w:rPr>
                <w:rFonts w:ascii="Arial" w:cs="Arial" w:eastAsia="Arial" w:hAnsi="Arial"/>
                <w:sz w:val="14"/>
                <w:szCs w:val="14"/>
                <w:b w:val="1"/>
                <w:bCs w:val="1"/>
                <w:color w:val="404040"/>
              </w:rPr>
              <w:t>underlying</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404040"/>
              </w:rPr>
              <w:t>underlying</w:t>
            </w:r>
          </w:p>
        </w:tc>
        <w:tc>
          <w:tcPr>
            <w:tcW w:w="1360" w:type="dxa"/>
            <w:vAlign w:val="bottom"/>
          </w:tcPr>
          <w:p>
            <w:pPr>
              <w:jc w:val="right"/>
              <w:spacing w:after="0"/>
              <w:rPr>
                <w:sz w:val="20"/>
                <w:szCs w:val="20"/>
                <w:color w:val="auto"/>
              </w:rPr>
            </w:pPr>
            <w:r>
              <w:rPr>
                <w:rFonts w:ascii="Arial" w:cs="Arial" w:eastAsia="Arial" w:hAnsi="Arial"/>
                <w:sz w:val="14"/>
                <w:szCs w:val="14"/>
                <w:b w:val="1"/>
                <w:bCs w:val="1"/>
                <w:color w:val="404040"/>
              </w:rPr>
              <w:t>underlying</w:t>
            </w:r>
          </w:p>
        </w:tc>
        <w:tc>
          <w:tcPr>
            <w:tcW w:w="54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b w:val="1"/>
                <w:bCs w:val="1"/>
                <w:color w:val="404040"/>
              </w:rPr>
              <w:t>Option</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jc w:val="right"/>
              <w:ind w:right="168"/>
              <w:spacing w:after="0"/>
              <w:rPr>
                <w:sz w:val="20"/>
                <w:szCs w:val="20"/>
                <w:color w:val="auto"/>
              </w:rPr>
            </w:pPr>
            <w:r>
              <w:rPr>
                <w:rFonts w:ascii="Arial" w:cs="Arial" w:eastAsia="Arial" w:hAnsi="Arial"/>
                <w:sz w:val="14"/>
                <w:szCs w:val="14"/>
                <w:b w:val="1"/>
                <w:bCs w:val="1"/>
                <w:color w:val="404040"/>
              </w:rPr>
              <w:t>stock that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404040"/>
              </w:rPr>
              <w:t>of shares or</w:t>
            </w:r>
          </w:p>
        </w:tc>
        <w:tc>
          <w:tcPr>
            <w:tcW w:w="0" w:type="dxa"/>
            <w:vAlign w:val="bottom"/>
          </w:tcPr>
          <w:p>
            <w:pPr>
              <w:spacing w:after="0"/>
              <w:rPr>
                <w:sz w:val="1"/>
                <w:szCs w:val="1"/>
                <w:color w:val="auto"/>
              </w:rPr>
            </w:pPr>
          </w:p>
        </w:tc>
      </w:tr>
      <w:tr>
        <w:trPr>
          <w:trHeight w:val="189"/>
        </w:trPr>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ind w:right="188"/>
              <w:spacing w:after="0"/>
              <w:rPr>
                <w:sz w:val="20"/>
                <w:szCs w:val="20"/>
                <w:color w:val="auto"/>
              </w:rPr>
            </w:pPr>
            <w:r>
              <w:rPr>
                <w:rFonts w:ascii="Arial" w:cs="Arial" w:eastAsia="Arial" w:hAnsi="Arial"/>
                <w:sz w:val="14"/>
                <w:szCs w:val="14"/>
                <w:b w:val="1"/>
                <w:bCs w:val="1"/>
                <w:color w:val="404040"/>
              </w:rPr>
              <w:t>unexercised</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404040"/>
              </w:rPr>
              <w:t>unexercised</w:t>
            </w:r>
          </w:p>
        </w:tc>
        <w:tc>
          <w:tcPr>
            <w:tcW w:w="1360" w:type="dxa"/>
            <w:vAlign w:val="bottom"/>
          </w:tcPr>
          <w:p>
            <w:pPr>
              <w:jc w:val="right"/>
              <w:spacing w:after="0"/>
              <w:rPr>
                <w:sz w:val="20"/>
                <w:szCs w:val="20"/>
                <w:color w:val="auto"/>
              </w:rPr>
            </w:pPr>
            <w:r>
              <w:rPr>
                <w:rFonts w:ascii="Arial" w:cs="Arial" w:eastAsia="Arial" w:hAnsi="Arial"/>
                <w:sz w:val="14"/>
                <w:szCs w:val="14"/>
                <w:b w:val="1"/>
                <w:bCs w:val="1"/>
                <w:color w:val="404040"/>
              </w:rPr>
              <w:t>unexercised</w:t>
            </w:r>
          </w:p>
        </w:tc>
        <w:tc>
          <w:tcPr>
            <w:tcW w:w="5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b w:val="1"/>
                <w:bCs w:val="1"/>
                <w:color w:val="404040"/>
              </w:rPr>
              <w:t>exercise</w:t>
            </w:r>
          </w:p>
        </w:tc>
        <w:tc>
          <w:tcPr>
            <w:tcW w:w="12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404040"/>
              </w:rPr>
              <w:t>Option</w:t>
            </w:r>
          </w:p>
        </w:tc>
        <w:tc>
          <w:tcPr>
            <w:tcW w:w="1580" w:type="dxa"/>
            <w:vAlign w:val="bottom"/>
          </w:tcPr>
          <w:p>
            <w:pPr>
              <w:jc w:val="right"/>
              <w:ind w:right="168"/>
              <w:spacing w:after="0"/>
              <w:rPr>
                <w:sz w:val="20"/>
                <w:szCs w:val="20"/>
                <w:color w:val="auto"/>
              </w:rPr>
            </w:pPr>
            <w:r>
              <w:rPr>
                <w:rFonts w:ascii="Arial" w:cs="Arial" w:eastAsia="Arial" w:hAnsi="Arial"/>
                <w:sz w:val="14"/>
                <w:szCs w:val="14"/>
                <w:b w:val="1"/>
                <w:bCs w:val="1"/>
                <w:color w:val="404040"/>
              </w:rPr>
              <w:t>have not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404040"/>
              </w:rPr>
              <w:t>units of stock</w:t>
            </w: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ind w:right="188"/>
              <w:spacing w:after="0"/>
              <w:rPr>
                <w:sz w:val="20"/>
                <w:szCs w:val="20"/>
                <w:color w:val="auto"/>
              </w:rPr>
            </w:pPr>
            <w:r>
              <w:rPr>
                <w:rFonts w:ascii="Arial" w:cs="Arial" w:eastAsia="Arial" w:hAnsi="Arial"/>
                <w:sz w:val="14"/>
                <w:szCs w:val="14"/>
                <w:b w:val="1"/>
                <w:bCs w:val="1"/>
                <w:color w:val="404040"/>
              </w:rPr>
              <w:t>options (#)</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404040"/>
              </w:rPr>
              <w:t>options (#)</w:t>
            </w:r>
          </w:p>
        </w:tc>
        <w:tc>
          <w:tcPr>
            <w:tcW w:w="1360" w:type="dxa"/>
            <w:vAlign w:val="bottom"/>
          </w:tcPr>
          <w:p>
            <w:pPr>
              <w:jc w:val="right"/>
              <w:spacing w:after="0"/>
              <w:rPr>
                <w:sz w:val="20"/>
                <w:szCs w:val="20"/>
                <w:color w:val="auto"/>
              </w:rPr>
            </w:pPr>
            <w:r>
              <w:rPr>
                <w:rFonts w:ascii="Arial" w:cs="Arial" w:eastAsia="Arial" w:hAnsi="Arial"/>
                <w:sz w:val="14"/>
                <w:szCs w:val="14"/>
                <w:b w:val="1"/>
                <w:bCs w:val="1"/>
                <w:color w:val="404040"/>
              </w:rPr>
              <w:t>unearned</w:t>
            </w:r>
          </w:p>
        </w:tc>
        <w:tc>
          <w:tcPr>
            <w:tcW w:w="54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b w:val="1"/>
                <w:bCs w:val="1"/>
                <w:color w:val="404040"/>
              </w:rPr>
              <w:t>price</w:t>
            </w:r>
          </w:p>
        </w:tc>
        <w:tc>
          <w:tcPr>
            <w:tcW w:w="12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404040"/>
              </w:rPr>
              <w:t>expiration</w:t>
            </w:r>
          </w:p>
        </w:tc>
        <w:tc>
          <w:tcPr>
            <w:tcW w:w="1580" w:type="dxa"/>
            <w:vAlign w:val="bottom"/>
          </w:tcPr>
          <w:p>
            <w:pPr>
              <w:jc w:val="right"/>
              <w:ind w:right="168"/>
              <w:spacing w:after="0"/>
              <w:rPr>
                <w:sz w:val="20"/>
                <w:szCs w:val="20"/>
                <w:color w:val="auto"/>
              </w:rPr>
            </w:pPr>
            <w:r>
              <w:rPr>
                <w:rFonts w:ascii="Arial" w:cs="Arial" w:eastAsia="Arial" w:hAnsi="Arial"/>
                <w:sz w:val="14"/>
                <w:szCs w:val="14"/>
                <w:b w:val="1"/>
                <w:bCs w:val="1"/>
                <w:color w:val="404040"/>
              </w:rPr>
              <w:t>vested</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404040"/>
              </w:rPr>
              <w:t>that have not</w:t>
            </w:r>
          </w:p>
        </w:tc>
        <w:tc>
          <w:tcPr>
            <w:tcW w:w="0" w:type="dxa"/>
            <w:vAlign w:val="bottom"/>
          </w:tcPr>
          <w:p>
            <w:pPr>
              <w:spacing w:after="0"/>
              <w:rPr>
                <w:sz w:val="1"/>
                <w:szCs w:val="1"/>
                <w:color w:val="auto"/>
              </w:rPr>
            </w:pPr>
          </w:p>
        </w:tc>
      </w:tr>
      <w:tr>
        <w:trPr>
          <w:trHeight w:val="210"/>
        </w:trPr>
        <w:tc>
          <w:tcPr>
            <w:tcW w:w="1780" w:type="dxa"/>
            <w:vAlign w:val="bottom"/>
          </w:tcPr>
          <w:p>
            <w:pPr>
              <w:ind w:left="20"/>
              <w:spacing w:after="0"/>
              <w:rPr>
                <w:sz w:val="20"/>
                <w:szCs w:val="20"/>
                <w:color w:val="auto"/>
              </w:rPr>
            </w:pPr>
            <w:r>
              <w:rPr>
                <w:rFonts w:ascii="Arial" w:cs="Arial" w:eastAsia="Arial" w:hAnsi="Arial"/>
                <w:sz w:val="14"/>
                <w:szCs w:val="14"/>
                <w:b w:val="1"/>
                <w:bCs w:val="1"/>
                <w:color w:val="404040"/>
              </w:rPr>
              <w:t>Name</w:t>
            </w:r>
          </w:p>
        </w:tc>
        <w:tc>
          <w:tcPr>
            <w:tcW w:w="100" w:type="dxa"/>
            <w:vAlign w:val="bottom"/>
          </w:tcPr>
          <w:p>
            <w:pPr>
              <w:spacing w:after="0"/>
              <w:rPr>
                <w:sz w:val="18"/>
                <w:szCs w:val="18"/>
                <w:color w:val="auto"/>
              </w:rPr>
            </w:pPr>
          </w:p>
        </w:tc>
        <w:tc>
          <w:tcPr>
            <w:tcW w:w="1460" w:type="dxa"/>
            <w:vAlign w:val="bottom"/>
          </w:tcPr>
          <w:p>
            <w:pPr>
              <w:jc w:val="right"/>
              <w:ind w:right="188"/>
              <w:spacing w:after="0"/>
              <w:rPr>
                <w:sz w:val="20"/>
                <w:szCs w:val="20"/>
                <w:color w:val="auto"/>
              </w:rPr>
            </w:pPr>
            <w:r>
              <w:rPr>
                <w:rFonts w:ascii="Arial" w:cs="Arial" w:eastAsia="Arial" w:hAnsi="Arial"/>
                <w:sz w:val="14"/>
                <w:szCs w:val="14"/>
                <w:b w:val="1"/>
                <w:bCs w:val="1"/>
                <w:color w:val="404040"/>
              </w:rPr>
              <w:t>exercisable</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404040"/>
              </w:rPr>
              <w:t>unexercisable</w:t>
            </w:r>
          </w:p>
        </w:tc>
        <w:tc>
          <w:tcPr>
            <w:tcW w:w="1360" w:type="dxa"/>
            <w:vAlign w:val="bottom"/>
          </w:tcPr>
          <w:p>
            <w:pPr>
              <w:jc w:val="right"/>
              <w:spacing w:after="0"/>
              <w:rPr>
                <w:sz w:val="20"/>
                <w:szCs w:val="20"/>
                <w:color w:val="auto"/>
              </w:rPr>
            </w:pPr>
            <w:r>
              <w:rPr>
                <w:rFonts w:ascii="Arial" w:cs="Arial" w:eastAsia="Arial" w:hAnsi="Arial"/>
                <w:sz w:val="14"/>
                <w:szCs w:val="14"/>
                <w:b w:val="1"/>
                <w:bCs w:val="1"/>
                <w:color w:val="404040"/>
              </w:rPr>
              <w:t>options</w:t>
            </w:r>
          </w:p>
        </w:tc>
        <w:tc>
          <w:tcPr>
            <w:tcW w:w="540" w:type="dxa"/>
            <w:vAlign w:val="bottom"/>
          </w:tcPr>
          <w:p>
            <w:pPr>
              <w:spacing w:after="0"/>
              <w:rPr>
                <w:sz w:val="18"/>
                <w:szCs w:val="18"/>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b w:val="1"/>
                <w:bCs w:val="1"/>
                <w:color w:val="404040"/>
              </w:rPr>
              <w:t>($)</w:t>
            </w:r>
          </w:p>
        </w:tc>
        <w:tc>
          <w:tcPr>
            <w:tcW w:w="12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404040"/>
              </w:rPr>
              <w:t>date</w:t>
            </w:r>
          </w:p>
        </w:tc>
        <w:tc>
          <w:tcPr>
            <w:tcW w:w="1580" w:type="dxa"/>
            <w:vAlign w:val="bottom"/>
          </w:tcPr>
          <w:p>
            <w:pPr>
              <w:jc w:val="right"/>
              <w:ind w:right="168"/>
              <w:spacing w:after="0"/>
              <w:rPr>
                <w:sz w:val="20"/>
                <w:szCs w:val="20"/>
                <w:color w:val="auto"/>
              </w:rPr>
            </w:pPr>
            <w:r>
              <w:rPr>
                <w:rFonts w:ascii="Arial" w:cs="Arial" w:eastAsia="Arial" w:hAnsi="Arial"/>
                <w:sz w:val="14"/>
                <w:szCs w:val="14"/>
                <w:b w:val="1"/>
                <w:bCs w:val="1"/>
                <w:color w:val="404040"/>
              </w:rPr>
              <w: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404040"/>
              </w:rPr>
              <w:t>vested ($)</w:t>
            </w:r>
            <w:r>
              <w:rPr>
                <w:rFonts w:ascii="Arial" w:cs="Arial" w:eastAsia="Arial" w:hAnsi="Arial"/>
                <w:sz w:val="9"/>
                <w:szCs w:val="9"/>
                <w:b w:val="1"/>
                <w:bCs w:val="1"/>
                <w:color w:val="404040"/>
              </w:rPr>
              <w:t>(1)</w:t>
            </w:r>
          </w:p>
        </w:tc>
        <w:tc>
          <w:tcPr>
            <w:tcW w:w="0" w:type="dxa"/>
            <w:vAlign w:val="bottom"/>
          </w:tcPr>
          <w:p>
            <w:pPr>
              <w:spacing w:after="0"/>
              <w:rPr>
                <w:sz w:val="1"/>
                <w:szCs w:val="1"/>
                <w:color w:val="auto"/>
              </w:rPr>
            </w:pPr>
          </w:p>
        </w:tc>
      </w:tr>
      <w:tr>
        <w:trPr>
          <w:trHeight w:val="43"/>
        </w:trPr>
        <w:tc>
          <w:tcPr>
            <w:tcW w:w="1780" w:type="dxa"/>
            <w:vAlign w:val="bottom"/>
            <w:tcBorders>
              <w:bottom w:val="single" w:sz="8" w:color="D9D9D9"/>
            </w:tcBorders>
          </w:tcPr>
          <w:p>
            <w:pPr>
              <w:spacing w:after="0"/>
              <w:rPr>
                <w:sz w:val="3"/>
                <w:szCs w:val="3"/>
                <w:color w:val="auto"/>
              </w:rPr>
            </w:pPr>
          </w:p>
        </w:tc>
        <w:tc>
          <w:tcPr>
            <w:tcW w:w="1560" w:type="dxa"/>
            <w:vAlign w:val="bottom"/>
            <w:tcBorders>
              <w:bottom w:val="single" w:sz="8" w:color="D9D9D9"/>
            </w:tcBorders>
            <w:gridSpan w:val="2"/>
          </w:tcPr>
          <w:p>
            <w:pPr>
              <w:spacing w:after="0"/>
              <w:rPr>
                <w:sz w:val="3"/>
                <w:szCs w:val="3"/>
                <w:color w:val="auto"/>
              </w:rPr>
            </w:pPr>
          </w:p>
        </w:tc>
        <w:tc>
          <w:tcPr>
            <w:tcW w:w="1220" w:type="dxa"/>
            <w:vAlign w:val="bottom"/>
            <w:tcBorders>
              <w:bottom w:val="single" w:sz="8" w:color="D9D9D9"/>
            </w:tcBorders>
          </w:tcPr>
          <w:p>
            <w:pPr>
              <w:spacing w:after="0"/>
              <w:rPr>
                <w:sz w:val="3"/>
                <w:szCs w:val="3"/>
                <w:color w:val="auto"/>
              </w:rPr>
            </w:pPr>
          </w:p>
        </w:tc>
        <w:tc>
          <w:tcPr>
            <w:tcW w:w="1360" w:type="dxa"/>
            <w:vAlign w:val="bottom"/>
            <w:tcBorders>
              <w:bottom w:val="single" w:sz="8" w:color="D9D9D9"/>
            </w:tcBorders>
          </w:tcPr>
          <w:p>
            <w:pPr>
              <w:spacing w:after="0"/>
              <w:rPr>
                <w:sz w:val="3"/>
                <w:szCs w:val="3"/>
                <w:color w:val="auto"/>
              </w:rPr>
            </w:pPr>
          </w:p>
        </w:tc>
        <w:tc>
          <w:tcPr>
            <w:tcW w:w="540" w:type="dxa"/>
            <w:vAlign w:val="bottom"/>
            <w:tcBorders>
              <w:bottom w:val="single" w:sz="8" w:color="D9D9D9"/>
            </w:tcBorders>
          </w:tcPr>
          <w:p>
            <w:pPr>
              <w:spacing w:after="0"/>
              <w:rPr>
                <w:sz w:val="3"/>
                <w:szCs w:val="3"/>
                <w:color w:val="auto"/>
              </w:rPr>
            </w:pPr>
          </w:p>
        </w:tc>
        <w:tc>
          <w:tcPr>
            <w:tcW w:w="780" w:type="dxa"/>
            <w:vAlign w:val="bottom"/>
            <w:tcBorders>
              <w:bottom w:val="single" w:sz="8" w:color="D9D9D9"/>
            </w:tcBorders>
          </w:tcPr>
          <w:p>
            <w:pPr>
              <w:spacing w:after="0"/>
              <w:rPr>
                <w:sz w:val="3"/>
                <w:szCs w:val="3"/>
                <w:color w:val="auto"/>
              </w:rPr>
            </w:pPr>
          </w:p>
        </w:tc>
        <w:tc>
          <w:tcPr>
            <w:tcW w:w="940" w:type="dxa"/>
            <w:vAlign w:val="bottom"/>
            <w:tcBorders>
              <w:bottom w:val="single" w:sz="8" w:color="D9D9D9"/>
            </w:tcBorders>
          </w:tcPr>
          <w:p>
            <w:pPr>
              <w:spacing w:after="0"/>
              <w:rPr>
                <w:sz w:val="3"/>
                <w:szCs w:val="3"/>
                <w:color w:val="auto"/>
              </w:rPr>
            </w:pPr>
          </w:p>
        </w:tc>
        <w:tc>
          <w:tcPr>
            <w:tcW w:w="280" w:type="dxa"/>
            <w:vAlign w:val="bottom"/>
            <w:tcBorders>
              <w:bottom w:val="single" w:sz="8" w:color="D9D9D9"/>
            </w:tcBorders>
          </w:tcPr>
          <w:p>
            <w:pPr>
              <w:spacing w:after="0"/>
              <w:rPr>
                <w:sz w:val="3"/>
                <w:szCs w:val="3"/>
                <w:color w:val="auto"/>
              </w:rPr>
            </w:pPr>
          </w:p>
        </w:tc>
        <w:tc>
          <w:tcPr>
            <w:tcW w:w="1580" w:type="dxa"/>
            <w:vAlign w:val="bottom"/>
            <w:tcBorders>
              <w:bottom w:val="single" w:sz="8" w:color="D9D9D9"/>
            </w:tcBorders>
          </w:tcPr>
          <w:p>
            <w:pPr>
              <w:spacing w:after="0"/>
              <w:rPr>
                <w:sz w:val="3"/>
                <w:szCs w:val="3"/>
                <w:color w:val="auto"/>
              </w:rPr>
            </w:pPr>
          </w:p>
        </w:tc>
        <w:tc>
          <w:tcPr>
            <w:tcW w:w="1200" w:type="dxa"/>
            <w:vAlign w:val="bottom"/>
            <w:tcBorders>
              <w:bottom w:val="single" w:sz="8" w:color="D9D9D9"/>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1780" w:type="dxa"/>
            <w:vAlign w:val="bottom"/>
          </w:tcPr>
          <w:p>
            <w:pPr>
              <w:ind w:left="20"/>
              <w:spacing w:after="0"/>
              <w:rPr>
                <w:sz w:val="20"/>
                <w:szCs w:val="20"/>
                <w:color w:val="auto"/>
              </w:rPr>
            </w:pPr>
            <w:r>
              <w:rPr>
                <w:rFonts w:ascii="Arial" w:cs="Arial" w:eastAsia="Arial" w:hAnsi="Arial"/>
                <w:sz w:val="14"/>
                <w:szCs w:val="14"/>
                <w:b w:val="1"/>
                <w:bCs w:val="1"/>
                <w:color w:val="FF7F32"/>
              </w:rPr>
              <w:t>Ravi Venkatesan</w:t>
            </w:r>
            <w:r>
              <w:rPr>
                <w:rFonts w:ascii="Arial" w:cs="Arial" w:eastAsia="Arial" w:hAnsi="Arial"/>
                <w:sz w:val="18"/>
                <w:szCs w:val="18"/>
                <w:b w:val="1"/>
                <w:bCs w:val="1"/>
                <w:color w:val="FF7F32"/>
                <w:vertAlign w:val="superscript"/>
              </w:rPr>
              <w:t>(2)</w:t>
            </w:r>
          </w:p>
        </w:tc>
        <w:tc>
          <w:tcPr>
            <w:tcW w:w="100" w:type="dxa"/>
            <w:vAlign w:val="bottom"/>
          </w:tcPr>
          <w:p>
            <w:pPr>
              <w:spacing w:after="0"/>
              <w:rPr>
                <w:sz w:val="24"/>
                <w:szCs w:val="24"/>
                <w:color w:val="auto"/>
              </w:rPr>
            </w:pPr>
          </w:p>
        </w:tc>
        <w:tc>
          <w:tcPr>
            <w:tcW w:w="1460" w:type="dxa"/>
            <w:vAlign w:val="bottom"/>
            <w:tcBorders>
              <w:bottom w:val="single" w:sz="8" w:color="D9D9D9"/>
            </w:tcBorders>
          </w:tcPr>
          <w:p>
            <w:pPr>
              <w:jc w:val="right"/>
              <w:ind w:right="348"/>
              <w:spacing w:after="0"/>
              <w:rPr>
                <w:sz w:val="20"/>
                <w:szCs w:val="20"/>
                <w:color w:val="auto"/>
              </w:rPr>
            </w:pPr>
            <w:r>
              <w:rPr>
                <w:rFonts w:ascii="Arial" w:cs="Arial" w:eastAsia="Arial" w:hAnsi="Arial"/>
                <w:sz w:val="14"/>
                <w:szCs w:val="14"/>
                <w:color w:val="auto"/>
              </w:rPr>
              <w:t>295,500</w:t>
            </w:r>
          </w:p>
        </w:tc>
        <w:tc>
          <w:tcPr>
            <w:tcW w:w="1220" w:type="dxa"/>
            <w:vAlign w:val="bottom"/>
            <w:tcBorders>
              <w:bottom w:val="single" w:sz="8" w:color="D9D9D9"/>
            </w:tcBorders>
          </w:tcPr>
          <w:p>
            <w:pPr>
              <w:jc w:val="right"/>
              <w:ind w:right="10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D9D9D9"/>
            </w:tcBorders>
          </w:tcPr>
          <w:p>
            <w:pPr>
              <w:jc w:val="right"/>
              <w:ind w:right="10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D9D9D9"/>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9D9D9"/>
            </w:tcBorders>
          </w:tcPr>
          <w:p>
            <w:pPr>
              <w:jc w:val="right"/>
              <w:ind w:right="268"/>
              <w:spacing w:after="0"/>
              <w:rPr>
                <w:sz w:val="20"/>
                <w:szCs w:val="20"/>
                <w:color w:val="auto"/>
              </w:rPr>
            </w:pPr>
            <w:r>
              <w:rPr>
                <w:rFonts w:ascii="Arial" w:cs="Arial" w:eastAsia="Arial" w:hAnsi="Arial"/>
                <w:sz w:val="14"/>
                <w:szCs w:val="14"/>
                <w:color w:val="auto"/>
              </w:rPr>
              <w:t>9.44</w:t>
            </w:r>
          </w:p>
        </w:tc>
        <w:tc>
          <w:tcPr>
            <w:tcW w:w="940" w:type="dxa"/>
            <w:vAlign w:val="bottom"/>
            <w:tcBorders>
              <w:bottom w:val="single" w:sz="8" w:color="D9D9D9"/>
            </w:tcBorders>
          </w:tcPr>
          <w:p>
            <w:pPr>
              <w:jc w:val="right"/>
              <w:spacing w:after="0"/>
              <w:rPr>
                <w:sz w:val="20"/>
                <w:szCs w:val="20"/>
                <w:color w:val="auto"/>
              </w:rPr>
            </w:pPr>
            <w:r>
              <w:rPr>
                <w:rFonts w:ascii="Arial" w:cs="Arial" w:eastAsia="Arial" w:hAnsi="Arial"/>
                <w:sz w:val="14"/>
                <w:szCs w:val="14"/>
                <w:color w:val="auto"/>
              </w:rPr>
              <w:t>12/4/2027</w:t>
            </w:r>
          </w:p>
        </w:tc>
        <w:tc>
          <w:tcPr>
            <w:tcW w:w="280" w:type="dxa"/>
            <w:vAlign w:val="bottom"/>
            <w:tcBorders>
              <w:bottom w:val="single" w:sz="8" w:color="D9D9D9"/>
            </w:tcBorders>
          </w:tcPr>
          <w:p>
            <w:pPr>
              <w:spacing w:after="0"/>
              <w:rPr>
                <w:sz w:val="24"/>
                <w:szCs w:val="24"/>
                <w:color w:val="auto"/>
              </w:rPr>
            </w:pPr>
          </w:p>
        </w:tc>
        <w:tc>
          <w:tcPr>
            <w:tcW w:w="1580" w:type="dxa"/>
            <w:vAlign w:val="bottom"/>
          </w:tcPr>
          <w:p>
            <w:pPr>
              <w:jc w:val="right"/>
              <w:ind w:right="168"/>
              <w:spacing w:after="0"/>
              <w:rPr>
                <w:sz w:val="20"/>
                <w:szCs w:val="20"/>
                <w:color w:val="auto"/>
              </w:rPr>
            </w:pPr>
            <w:r>
              <w:rPr>
                <w:rFonts w:ascii="Arial" w:cs="Arial" w:eastAsia="Arial" w:hAnsi="Arial"/>
                <w:sz w:val="14"/>
                <w:szCs w:val="14"/>
                <w:color w:val="auto"/>
              </w:rPr>
              <w:t>52,684</w:t>
            </w:r>
          </w:p>
        </w:tc>
        <w:tc>
          <w:tcPr>
            <w:tcW w:w="1200" w:type="dxa"/>
            <w:vAlign w:val="bottom"/>
          </w:tcPr>
          <w:p>
            <w:pPr>
              <w:jc w:val="right"/>
              <w:spacing w:after="0"/>
              <w:rPr>
                <w:sz w:val="20"/>
                <w:szCs w:val="20"/>
                <w:color w:val="auto"/>
              </w:rPr>
            </w:pPr>
            <w:r>
              <w:rPr>
                <w:rFonts w:ascii="Arial" w:cs="Arial" w:eastAsia="Arial" w:hAnsi="Arial"/>
                <w:sz w:val="14"/>
                <w:szCs w:val="14"/>
                <w:color w:val="auto"/>
              </w:rPr>
              <w:t>578,997</w:t>
            </w:r>
          </w:p>
        </w:tc>
        <w:tc>
          <w:tcPr>
            <w:tcW w:w="0" w:type="dxa"/>
            <w:vAlign w:val="bottom"/>
          </w:tcPr>
          <w:p>
            <w:pPr>
              <w:spacing w:after="0"/>
              <w:rPr>
                <w:sz w:val="1"/>
                <w:szCs w:val="1"/>
                <w:color w:val="auto"/>
              </w:rPr>
            </w:pPr>
          </w:p>
        </w:tc>
      </w:tr>
      <w:tr>
        <w:trPr>
          <w:trHeight w:val="242"/>
        </w:trPr>
        <w:tc>
          <w:tcPr>
            <w:tcW w:w="1780" w:type="dxa"/>
            <w:vAlign w:val="bottom"/>
          </w:tcPr>
          <w:p>
            <w:pPr>
              <w:spacing w:after="0"/>
              <w:rPr>
                <w:sz w:val="21"/>
                <w:szCs w:val="21"/>
                <w:color w:val="auto"/>
              </w:rPr>
            </w:pPr>
          </w:p>
        </w:tc>
        <w:tc>
          <w:tcPr>
            <w:tcW w:w="1560" w:type="dxa"/>
            <w:vAlign w:val="bottom"/>
            <w:gridSpan w:val="2"/>
          </w:tcPr>
          <w:p>
            <w:pPr>
              <w:jc w:val="right"/>
              <w:ind w:right="348"/>
              <w:spacing w:after="0"/>
              <w:rPr>
                <w:sz w:val="20"/>
                <w:szCs w:val="20"/>
                <w:color w:val="auto"/>
              </w:rPr>
            </w:pPr>
            <w:r>
              <w:rPr>
                <w:rFonts w:ascii="Arial" w:cs="Arial" w:eastAsia="Arial" w:hAnsi="Arial"/>
                <w:sz w:val="14"/>
                <w:szCs w:val="14"/>
                <w:color w:val="auto"/>
              </w:rPr>
              <w:t>200,000</w:t>
            </w: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68"/>
              <w:spacing w:after="0"/>
              <w:rPr>
                <w:sz w:val="20"/>
                <w:szCs w:val="20"/>
                <w:color w:val="auto"/>
              </w:rPr>
            </w:pPr>
            <w:r>
              <w:rPr>
                <w:rFonts w:ascii="Arial" w:cs="Arial" w:eastAsia="Arial" w:hAnsi="Arial"/>
                <w:sz w:val="14"/>
                <w:szCs w:val="14"/>
                <w:color w:val="auto"/>
              </w:rPr>
              <w:t>11.20</w:t>
            </w:r>
          </w:p>
        </w:tc>
        <w:tc>
          <w:tcPr>
            <w:tcW w:w="940" w:type="dxa"/>
            <w:vAlign w:val="bottom"/>
          </w:tcPr>
          <w:p>
            <w:pPr>
              <w:jc w:val="right"/>
              <w:spacing w:after="0"/>
              <w:rPr>
                <w:sz w:val="20"/>
                <w:szCs w:val="20"/>
                <w:color w:val="auto"/>
              </w:rPr>
            </w:pPr>
            <w:r>
              <w:rPr>
                <w:rFonts w:ascii="Arial" w:cs="Arial" w:eastAsia="Arial" w:hAnsi="Arial"/>
                <w:sz w:val="14"/>
                <w:szCs w:val="14"/>
                <w:color w:val="auto"/>
              </w:rPr>
              <w:t>11/8/2028</w:t>
            </w:r>
          </w:p>
        </w:tc>
        <w:tc>
          <w:tcPr>
            <w:tcW w:w="280" w:type="dxa"/>
            <w:vAlign w:val="bottom"/>
          </w:tcPr>
          <w:p>
            <w:pPr>
              <w:spacing w:after="0"/>
              <w:rPr>
                <w:sz w:val="21"/>
                <w:szCs w:val="21"/>
                <w:color w:val="auto"/>
              </w:rPr>
            </w:pPr>
          </w:p>
        </w:tc>
        <w:tc>
          <w:tcPr>
            <w:tcW w:w="158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9"/>
        </w:trPr>
        <w:tc>
          <w:tcPr>
            <w:tcW w:w="1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tcBorders>
              <w:bottom w:val="single" w:sz="8" w:color="D9D9D9"/>
            </w:tcBorders>
          </w:tcPr>
          <w:p>
            <w:pPr>
              <w:spacing w:after="0"/>
              <w:rPr>
                <w:sz w:val="4"/>
                <w:szCs w:val="4"/>
                <w:color w:val="auto"/>
              </w:rPr>
            </w:pPr>
          </w:p>
        </w:tc>
        <w:tc>
          <w:tcPr>
            <w:tcW w:w="1220" w:type="dxa"/>
            <w:vAlign w:val="bottom"/>
            <w:tcBorders>
              <w:bottom w:val="single" w:sz="8" w:color="D9D9D9"/>
            </w:tcBorders>
          </w:tcPr>
          <w:p>
            <w:pPr>
              <w:spacing w:after="0"/>
              <w:rPr>
                <w:sz w:val="4"/>
                <w:szCs w:val="4"/>
                <w:color w:val="auto"/>
              </w:rPr>
            </w:pPr>
          </w:p>
        </w:tc>
        <w:tc>
          <w:tcPr>
            <w:tcW w:w="1360" w:type="dxa"/>
            <w:vAlign w:val="bottom"/>
            <w:tcBorders>
              <w:bottom w:val="single" w:sz="8" w:color="D9D9D9"/>
            </w:tcBorders>
          </w:tcPr>
          <w:p>
            <w:pPr>
              <w:spacing w:after="0"/>
              <w:rPr>
                <w:sz w:val="4"/>
                <w:szCs w:val="4"/>
                <w:color w:val="auto"/>
              </w:rPr>
            </w:pPr>
          </w:p>
        </w:tc>
        <w:tc>
          <w:tcPr>
            <w:tcW w:w="540" w:type="dxa"/>
            <w:vAlign w:val="bottom"/>
            <w:tcBorders>
              <w:bottom w:val="single" w:sz="8" w:color="D9D9D9"/>
            </w:tcBorders>
          </w:tcPr>
          <w:p>
            <w:pPr>
              <w:spacing w:after="0"/>
              <w:rPr>
                <w:sz w:val="4"/>
                <w:szCs w:val="4"/>
                <w:color w:val="auto"/>
              </w:rPr>
            </w:pPr>
          </w:p>
        </w:tc>
        <w:tc>
          <w:tcPr>
            <w:tcW w:w="780" w:type="dxa"/>
            <w:vAlign w:val="bottom"/>
            <w:tcBorders>
              <w:bottom w:val="single" w:sz="8" w:color="D9D9D9"/>
            </w:tcBorders>
          </w:tcPr>
          <w:p>
            <w:pPr>
              <w:spacing w:after="0"/>
              <w:rPr>
                <w:sz w:val="4"/>
                <w:szCs w:val="4"/>
                <w:color w:val="auto"/>
              </w:rPr>
            </w:pPr>
          </w:p>
        </w:tc>
        <w:tc>
          <w:tcPr>
            <w:tcW w:w="940" w:type="dxa"/>
            <w:vAlign w:val="bottom"/>
            <w:tcBorders>
              <w:bottom w:val="single" w:sz="8" w:color="D9D9D9"/>
            </w:tcBorders>
          </w:tcPr>
          <w:p>
            <w:pPr>
              <w:spacing w:after="0"/>
              <w:rPr>
                <w:sz w:val="4"/>
                <w:szCs w:val="4"/>
                <w:color w:val="auto"/>
              </w:rPr>
            </w:pPr>
          </w:p>
        </w:tc>
        <w:tc>
          <w:tcPr>
            <w:tcW w:w="280" w:type="dxa"/>
            <w:vAlign w:val="bottom"/>
            <w:tcBorders>
              <w:bottom w:val="single" w:sz="8" w:color="D9D9D9"/>
            </w:tcBorders>
          </w:tcPr>
          <w:p>
            <w:pPr>
              <w:spacing w:after="0"/>
              <w:rPr>
                <w:sz w:val="4"/>
                <w:szCs w:val="4"/>
                <w:color w:val="auto"/>
              </w:rPr>
            </w:pPr>
          </w:p>
        </w:tc>
        <w:tc>
          <w:tcPr>
            <w:tcW w:w="1580" w:type="dxa"/>
            <w:vAlign w:val="bottom"/>
            <w:tcBorders>
              <w:bottom w:val="single" w:sz="8" w:color="D9D9D9"/>
            </w:tcBorders>
          </w:tcPr>
          <w:p>
            <w:pPr>
              <w:spacing w:after="0"/>
              <w:rPr>
                <w:sz w:val="4"/>
                <w:szCs w:val="4"/>
                <w:color w:val="auto"/>
              </w:rPr>
            </w:pPr>
          </w:p>
        </w:tc>
        <w:tc>
          <w:tcPr>
            <w:tcW w:w="1200" w:type="dxa"/>
            <w:vAlign w:val="bottom"/>
            <w:tcBorders>
              <w:bottom w:val="single" w:sz="8" w:color="D9D9D9"/>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780" w:type="dxa"/>
            <w:vAlign w:val="bottom"/>
          </w:tcPr>
          <w:p>
            <w:pPr>
              <w:spacing w:after="0"/>
              <w:rPr>
                <w:sz w:val="16"/>
                <w:szCs w:val="16"/>
                <w:color w:val="auto"/>
              </w:rPr>
            </w:pPr>
          </w:p>
        </w:tc>
        <w:tc>
          <w:tcPr>
            <w:tcW w:w="1560" w:type="dxa"/>
            <w:vAlign w:val="bottom"/>
            <w:gridSpan w:val="2"/>
          </w:tcPr>
          <w:p>
            <w:pPr>
              <w:jc w:val="right"/>
              <w:ind w:right="188"/>
              <w:spacing w:after="0"/>
              <w:rPr>
                <w:sz w:val="20"/>
                <w:szCs w:val="20"/>
                <w:color w:val="auto"/>
              </w:rPr>
            </w:pPr>
            <w:r>
              <w:rPr>
                <w:rFonts w:ascii="Arial" w:cs="Arial" w:eastAsia="Arial" w:hAnsi="Arial"/>
                <w:sz w:val="14"/>
                <w:szCs w:val="14"/>
                <w:color w:val="auto"/>
              </w:rPr>
              <w:t>400,000</w:t>
            </w:r>
          </w:p>
        </w:tc>
        <w:tc>
          <w:tcPr>
            <w:tcW w:w="1220" w:type="dxa"/>
            <w:vAlign w:val="bottom"/>
          </w:tcPr>
          <w:p>
            <w:pPr>
              <w:jc w:val="right"/>
              <w:spacing w:after="0"/>
              <w:rPr>
                <w:sz w:val="20"/>
                <w:szCs w:val="20"/>
                <w:color w:val="auto"/>
              </w:rPr>
            </w:pPr>
            <w:r>
              <w:rPr>
                <w:rFonts w:ascii="Arial" w:cs="Arial" w:eastAsia="Arial" w:hAnsi="Arial"/>
                <w:sz w:val="14"/>
                <w:szCs w:val="14"/>
                <w:color w:val="auto"/>
              </w:rPr>
              <w:t>400,000</w:t>
            </w:r>
          </w:p>
        </w:tc>
        <w:tc>
          <w:tcPr>
            <w:tcW w:w="136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68"/>
              <w:spacing w:after="0"/>
              <w:rPr>
                <w:sz w:val="20"/>
                <w:szCs w:val="20"/>
                <w:color w:val="auto"/>
              </w:rPr>
            </w:pPr>
            <w:r>
              <w:rPr>
                <w:rFonts w:ascii="Arial" w:cs="Arial" w:eastAsia="Arial" w:hAnsi="Arial"/>
                <w:sz w:val="14"/>
                <w:szCs w:val="14"/>
                <w:color w:val="auto"/>
              </w:rPr>
              <w:t>3.48</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10/1/2029</w:t>
            </w:r>
          </w:p>
        </w:tc>
        <w:tc>
          <w:tcPr>
            <w:tcW w:w="280" w:type="dxa"/>
            <w:vAlign w:val="bottom"/>
          </w:tcPr>
          <w:p>
            <w:pPr>
              <w:spacing w:after="0"/>
              <w:rPr>
                <w:sz w:val="16"/>
                <w:szCs w:val="16"/>
                <w:color w:val="auto"/>
              </w:rPr>
            </w:pPr>
          </w:p>
        </w:tc>
        <w:tc>
          <w:tcPr>
            <w:tcW w:w="1580" w:type="dxa"/>
            <w:vAlign w:val="bottom"/>
            <w:vMerge w:val="restart"/>
          </w:tcPr>
          <w:p>
            <w:pPr>
              <w:jc w:val="right"/>
              <w:ind w:right="328"/>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1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1780" w:type="dxa"/>
            <w:vAlign w:val="bottom"/>
            <w:tcBorders>
              <w:bottom w:val="single" w:sz="8" w:color="D9D9D9"/>
            </w:tcBorders>
          </w:tcPr>
          <w:p>
            <w:pPr>
              <w:spacing w:after="0"/>
              <w:rPr>
                <w:sz w:val="4"/>
                <w:szCs w:val="4"/>
                <w:color w:val="auto"/>
              </w:rPr>
            </w:pPr>
          </w:p>
        </w:tc>
        <w:tc>
          <w:tcPr>
            <w:tcW w:w="100" w:type="dxa"/>
            <w:vAlign w:val="bottom"/>
            <w:tcBorders>
              <w:bottom w:val="single" w:sz="8" w:color="D9D9D9"/>
            </w:tcBorders>
          </w:tcPr>
          <w:p>
            <w:pPr>
              <w:spacing w:after="0"/>
              <w:rPr>
                <w:sz w:val="4"/>
                <w:szCs w:val="4"/>
                <w:color w:val="auto"/>
              </w:rPr>
            </w:pPr>
          </w:p>
        </w:tc>
        <w:tc>
          <w:tcPr>
            <w:tcW w:w="14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360" w:type="dxa"/>
            <w:vAlign w:val="bottom"/>
            <w:tcBorders>
              <w:bottom w:val="single" w:sz="8" w:color="D9D9D9"/>
            </w:tcBorders>
          </w:tcPr>
          <w:p>
            <w:pPr>
              <w:spacing w:after="0"/>
              <w:rPr>
                <w:sz w:val="4"/>
                <w:szCs w:val="4"/>
                <w:color w:val="auto"/>
              </w:rPr>
            </w:pPr>
          </w:p>
        </w:tc>
        <w:tc>
          <w:tcPr>
            <w:tcW w:w="540" w:type="dxa"/>
            <w:vAlign w:val="bottom"/>
            <w:tcBorders>
              <w:bottom w:val="single" w:sz="8" w:color="D9D9D9"/>
            </w:tcBorders>
          </w:tcPr>
          <w:p>
            <w:pPr>
              <w:spacing w:after="0"/>
              <w:rPr>
                <w:sz w:val="4"/>
                <w:szCs w:val="4"/>
                <w:color w:val="auto"/>
              </w:rPr>
            </w:pPr>
          </w:p>
        </w:tc>
        <w:tc>
          <w:tcPr>
            <w:tcW w:w="780" w:type="dxa"/>
            <w:vAlign w:val="bottom"/>
            <w:tcBorders>
              <w:bottom w:val="single" w:sz="8" w:color="D9D9D9"/>
            </w:tcBorders>
          </w:tcPr>
          <w:p>
            <w:pPr>
              <w:spacing w:after="0"/>
              <w:rPr>
                <w:sz w:val="4"/>
                <w:szCs w:val="4"/>
                <w:color w:val="auto"/>
              </w:rPr>
            </w:pPr>
          </w:p>
        </w:tc>
        <w:tc>
          <w:tcPr>
            <w:tcW w:w="940" w:type="dxa"/>
            <w:vAlign w:val="bottom"/>
            <w:tcBorders>
              <w:bottom w:val="single" w:sz="8" w:color="D9D9D9"/>
            </w:tcBorders>
          </w:tcPr>
          <w:p>
            <w:pPr>
              <w:spacing w:after="0"/>
              <w:rPr>
                <w:sz w:val="4"/>
                <w:szCs w:val="4"/>
                <w:color w:val="auto"/>
              </w:rPr>
            </w:pPr>
          </w:p>
        </w:tc>
        <w:tc>
          <w:tcPr>
            <w:tcW w:w="280" w:type="dxa"/>
            <w:vAlign w:val="bottom"/>
            <w:tcBorders>
              <w:bottom w:val="single" w:sz="8" w:color="D9D9D9"/>
            </w:tcBorders>
          </w:tcPr>
          <w:p>
            <w:pPr>
              <w:spacing w:after="0"/>
              <w:rPr>
                <w:sz w:val="4"/>
                <w:szCs w:val="4"/>
                <w:color w:val="auto"/>
              </w:rPr>
            </w:pPr>
          </w:p>
        </w:tc>
        <w:tc>
          <w:tcPr>
            <w:tcW w:w="1580" w:type="dxa"/>
            <w:vAlign w:val="bottom"/>
            <w:tcBorders>
              <w:bottom w:val="single" w:sz="8" w:color="D9D9D9"/>
            </w:tcBorders>
          </w:tcPr>
          <w:p>
            <w:pPr>
              <w:spacing w:after="0"/>
              <w:rPr>
                <w:sz w:val="4"/>
                <w:szCs w:val="4"/>
                <w:color w:val="auto"/>
              </w:rPr>
            </w:pPr>
          </w:p>
        </w:tc>
        <w:tc>
          <w:tcPr>
            <w:tcW w:w="1200" w:type="dxa"/>
            <w:vAlign w:val="bottom"/>
            <w:tcBorders>
              <w:bottom w:val="single" w:sz="8" w:color="D9D9D9"/>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1780" w:type="dxa"/>
            <w:vAlign w:val="bottom"/>
          </w:tcPr>
          <w:p>
            <w:pPr>
              <w:ind w:left="20"/>
              <w:spacing w:after="0"/>
              <w:rPr>
                <w:sz w:val="20"/>
                <w:szCs w:val="20"/>
                <w:color w:val="auto"/>
              </w:rPr>
            </w:pPr>
            <w:r>
              <w:rPr>
                <w:rFonts w:ascii="Arial" w:cs="Arial" w:eastAsia="Arial" w:hAnsi="Arial"/>
                <w:sz w:val="14"/>
                <w:szCs w:val="14"/>
                <w:b w:val="1"/>
                <w:bCs w:val="1"/>
                <w:color w:val="FF7F32"/>
              </w:rPr>
              <w:t>Scott Stewart</w:t>
            </w:r>
            <w:r>
              <w:rPr>
                <w:rFonts w:ascii="Arial" w:cs="Arial" w:eastAsia="Arial" w:hAnsi="Arial"/>
                <w:sz w:val="18"/>
                <w:szCs w:val="18"/>
                <w:b w:val="1"/>
                <w:bCs w:val="1"/>
                <w:color w:val="FF7F32"/>
                <w:vertAlign w:val="superscript"/>
              </w:rPr>
              <w:t>(3)</w:t>
            </w:r>
          </w:p>
        </w:tc>
        <w:tc>
          <w:tcPr>
            <w:tcW w:w="100" w:type="dxa"/>
            <w:vAlign w:val="bottom"/>
          </w:tcPr>
          <w:p>
            <w:pPr>
              <w:spacing w:after="0"/>
              <w:rPr>
                <w:sz w:val="24"/>
                <w:szCs w:val="24"/>
                <w:color w:val="auto"/>
              </w:rPr>
            </w:pPr>
          </w:p>
        </w:tc>
        <w:tc>
          <w:tcPr>
            <w:tcW w:w="1460" w:type="dxa"/>
            <w:vAlign w:val="bottom"/>
            <w:tcBorders>
              <w:bottom w:val="single" w:sz="8" w:color="D9D9D9"/>
            </w:tcBorders>
          </w:tcPr>
          <w:p>
            <w:pPr>
              <w:jc w:val="right"/>
              <w:ind w:right="348"/>
              <w:spacing w:after="0"/>
              <w:rPr>
                <w:sz w:val="20"/>
                <w:szCs w:val="20"/>
                <w:color w:val="auto"/>
              </w:rPr>
            </w:pPr>
            <w:r>
              <w:rPr>
                <w:rFonts w:ascii="Arial" w:cs="Arial" w:eastAsia="Arial" w:hAnsi="Arial"/>
                <w:sz w:val="14"/>
                <w:szCs w:val="14"/>
                <w:color w:val="auto"/>
              </w:rPr>
              <w:t>123,125</w:t>
            </w:r>
          </w:p>
        </w:tc>
        <w:tc>
          <w:tcPr>
            <w:tcW w:w="1220" w:type="dxa"/>
            <w:vAlign w:val="bottom"/>
            <w:tcBorders>
              <w:bottom w:val="single" w:sz="8" w:color="D9D9D9"/>
            </w:tcBorders>
          </w:tcPr>
          <w:p>
            <w:pPr>
              <w:jc w:val="right"/>
              <w:ind w:right="10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D9D9D9"/>
            </w:tcBorders>
          </w:tcPr>
          <w:p>
            <w:pPr>
              <w:jc w:val="right"/>
              <w:ind w:right="10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D9D9D9"/>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9D9D9"/>
            </w:tcBorders>
          </w:tcPr>
          <w:p>
            <w:pPr>
              <w:jc w:val="right"/>
              <w:ind w:right="268"/>
              <w:spacing w:after="0"/>
              <w:rPr>
                <w:sz w:val="20"/>
                <w:szCs w:val="20"/>
                <w:color w:val="auto"/>
              </w:rPr>
            </w:pPr>
            <w:r>
              <w:rPr>
                <w:rFonts w:ascii="Arial" w:cs="Arial" w:eastAsia="Arial" w:hAnsi="Arial"/>
                <w:sz w:val="14"/>
                <w:szCs w:val="14"/>
                <w:color w:val="auto"/>
              </w:rPr>
              <w:t>8.58</w:t>
            </w:r>
          </w:p>
        </w:tc>
        <w:tc>
          <w:tcPr>
            <w:tcW w:w="940" w:type="dxa"/>
            <w:vAlign w:val="bottom"/>
            <w:tcBorders>
              <w:bottom w:val="single" w:sz="8" w:color="D9D9D9"/>
            </w:tcBorders>
          </w:tcPr>
          <w:p>
            <w:pPr>
              <w:jc w:val="right"/>
              <w:spacing w:after="0"/>
              <w:rPr>
                <w:sz w:val="20"/>
                <w:szCs w:val="20"/>
                <w:color w:val="auto"/>
              </w:rPr>
            </w:pPr>
            <w:r>
              <w:rPr>
                <w:rFonts w:ascii="Arial" w:cs="Arial" w:eastAsia="Arial" w:hAnsi="Arial"/>
                <w:sz w:val="14"/>
                <w:szCs w:val="14"/>
                <w:color w:val="auto"/>
              </w:rPr>
              <w:t>9/17/2027</w:t>
            </w:r>
          </w:p>
        </w:tc>
        <w:tc>
          <w:tcPr>
            <w:tcW w:w="280" w:type="dxa"/>
            <w:vAlign w:val="bottom"/>
            <w:tcBorders>
              <w:bottom w:val="single" w:sz="8" w:color="D9D9D9"/>
            </w:tcBorders>
          </w:tcPr>
          <w:p>
            <w:pPr>
              <w:spacing w:after="0"/>
              <w:rPr>
                <w:sz w:val="24"/>
                <w:szCs w:val="24"/>
                <w:color w:val="auto"/>
              </w:rPr>
            </w:pPr>
          </w:p>
        </w:tc>
        <w:tc>
          <w:tcPr>
            <w:tcW w:w="1580" w:type="dxa"/>
            <w:vAlign w:val="bottom"/>
          </w:tcPr>
          <w:p>
            <w:pPr>
              <w:jc w:val="right"/>
              <w:ind w:right="168"/>
              <w:spacing w:after="0"/>
              <w:rPr>
                <w:sz w:val="20"/>
                <w:szCs w:val="20"/>
                <w:color w:val="auto"/>
              </w:rPr>
            </w:pPr>
            <w:r>
              <w:rPr>
                <w:rFonts w:ascii="Arial" w:cs="Arial" w:eastAsia="Arial" w:hAnsi="Arial"/>
                <w:sz w:val="14"/>
                <w:szCs w:val="14"/>
                <w:color w:val="auto"/>
              </w:rPr>
              <w:t>104,317</w:t>
            </w:r>
          </w:p>
        </w:tc>
        <w:tc>
          <w:tcPr>
            <w:tcW w:w="1200" w:type="dxa"/>
            <w:vAlign w:val="bottom"/>
          </w:tcPr>
          <w:p>
            <w:pPr>
              <w:jc w:val="right"/>
              <w:spacing w:after="0"/>
              <w:rPr>
                <w:sz w:val="20"/>
                <w:szCs w:val="20"/>
                <w:color w:val="auto"/>
              </w:rPr>
            </w:pPr>
            <w:r>
              <w:rPr>
                <w:rFonts w:ascii="Arial" w:cs="Arial" w:eastAsia="Arial" w:hAnsi="Arial"/>
                <w:sz w:val="14"/>
                <w:szCs w:val="14"/>
                <w:color w:val="auto"/>
              </w:rPr>
              <w:t>1,146,444</w:t>
            </w:r>
          </w:p>
        </w:tc>
        <w:tc>
          <w:tcPr>
            <w:tcW w:w="0" w:type="dxa"/>
            <w:vAlign w:val="bottom"/>
          </w:tcPr>
          <w:p>
            <w:pPr>
              <w:spacing w:after="0"/>
              <w:rPr>
                <w:sz w:val="1"/>
                <w:szCs w:val="1"/>
                <w:color w:val="auto"/>
              </w:rPr>
            </w:pPr>
          </w:p>
        </w:tc>
      </w:tr>
      <w:tr>
        <w:trPr>
          <w:trHeight w:val="242"/>
        </w:trPr>
        <w:tc>
          <w:tcPr>
            <w:tcW w:w="1780" w:type="dxa"/>
            <w:vAlign w:val="bottom"/>
          </w:tcPr>
          <w:p>
            <w:pPr>
              <w:spacing w:after="0"/>
              <w:rPr>
                <w:sz w:val="21"/>
                <w:szCs w:val="21"/>
                <w:color w:val="auto"/>
              </w:rPr>
            </w:pPr>
          </w:p>
        </w:tc>
        <w:tc>
          <w:tcPr>
            <w:tcW w:w="1560" w:type="dxa"/>
            <w:vAlign w:val="bottom"/>
            <w:gridSpan w:val="2"/>
          </w:tcPr>
          <w:p>
            <w:pPr>
              <w:jc w:val="right"/>
              <w:ind w:right="188"/>
              <w:spacing w:after="0"/>
              <w:rPr>
                <w:sz w:val="20"/>
                <w:szCs w:val="20"/>
                <w:color w:val="auto"/>
              </w:rPr>
            </w:pPr>
            <w:r>
              <w:rPr>
                <w:rFonts w:ascii="Arial" w:cs="Arial" w:eastAsia="Arial" w:hAnsi="Arial"/>
                <w:sz w:val="14"/>
                <w:szCs w:val="14"/>
                <w:color w:val="auto"/>
              </w:rPr>
              <w:t>100,000</w:t>
            </w: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68"/>
              <w:spacing w:after="0"/>
              <w:rPr>
                <w:sz w:val="20"/>
                <w:szCs w:val="20"/>
                <w:color w:val="auto"/>
              </w:rPr>
            </w:pPr>
            <w:r>
              <w:rPr>
                <w:rFonts w:ascii="Arial" w:cs="Arial" w:eastAsia="Arial" w:hAnsi="Arial"/>
                <w:sz w:val="14"/>
                <w:szCs w:val="14"/>
                <w:color w:val="auto"/>
              </w:rPr>
              <w:t>11.20</w:t>
            </w:r>
          </w:p>
        </w:tc>
        <w:tc>
          <w:tcPr>
            <w:tcW w:w="940" w:type="dxa"/>
            <w:vAlign w:val="bottom"/>
          </w:tcPr>
          <w:p>
            <w:pPr>
              <w:jc w:val="right"/>
              <w:spacing w:after="0"/>
              <w:rPr>
                <w:sz w:val="20"/>
                <w:szCs w:val="20"/>
                <w:color w:val="auto"/>
              </w:rPr>
            </w:pPr>
            <w:r>
              <w:rPr>
                <w:rFonts w:ascii="Arial" w:cs="Arial" w:eastAsia="Arial" w:hAnsi="Arial"/>
                <w:sz w:val="14"/>
                <w:szCs w:val="14"/>
                <w:color w:val="auto"/>
              </w:rPr>
              <w:t>11/8/2028</w:t>
            </w:r>
          </w:p>
        </w:tc>
        <w:tc>
          <w:tcPr>
            <w:tcW w:w="280" w:type="dxa"/>
            <w:vAlign w:val="bottom"/>
          </w:tcPr>
          <w:p>
            <w:pPr>
              <w:spacing w:after="0"/>
              <w:rPr>
                <w:sz w:val="21"/>
                <w:szCs w:val="21"/>
                <w:color w:val="auto"/>
              </w:rPr>
            </w:pPr>
          </w:p>
        </w:tc>
        <w:tc>
          <w:tcPr>
            <w:tcW w:w="158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8"/>
        </w:trPr>
        <w:tc>
          <w:tcPr>
            <w:tcW w:w="1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tcBorders>
              <w:bottom w:val="single" w:sz="8" w:color="D9D9D9"/>
            </w:tcBorders>
          </w:tcPr>
          <w:p>
            <w:pPr>
              <w:spacing w:after="0"/>
              <w:rPr>
                <w:sz w:val="4"/>
                <w:szCs w:val="4"/>
                <w:color w:val="auto"/>
              </w:rPr>
            </w:pPr>
          </w:p>
        </w:tc>
        <w:tc>
          <w:tcPr>
            <w:tcW w:w="1220" w:type="dxa"/>
            <w:vAlign w:val="bottom"/>
            <w:tcBorders>
              <w:bottom w:val="single" w:sz="8" w:color="D9D9D9"/>
            </w:tcBorders>
          </w:tcPr>
          <w:p>
            <w:pPr>
              <w:spacing w:after="0"/>
              <w:rPr>
                <w:sz w:val="4"/>
                <w:szCs w:val="4"/>
                <w:color w:val="auto"/>
              </w:rPr>
            </w:pPr>
          </w:p>
        </w:tc>
        <w:tc>
          <w:tcPr>
            <w:tcW w:w="1360" w:type="dxa"/>
            <w:vAlign w:val="bottom"/>
            <w:tcBorders>
              <w:bottom w:val="single" w:sz="8" w:color="D9D9D9"/>
            </w:tcBorders>
          </w:tcPr>
          <w:p>
            <w:pPr>
              <w:spacing w:after="0"/>
              <w:rPr>
                <w:sz w:val="4"/>
                <w:szCs w:val="4"/>
                <w:color w:val="auto"/>
              </w:rPr>
            </w:pPr>
          </w:p>
        </w:tc>
        <w:tc>
          <w:tcPr>
            <w:tcW w:w="540" w:type="dxa"/>
            <w:vAlign w:val="bottom"/>
            <w:tcBorders>
              <w:bottom w:val="single" w:sz="8" w:color="D9D9D9"/>
            </w:tcBorders>
          </w:tcPr>
          <w:p>
            <w:pPr>
              <w:spacing w:after="0"/>
              <w:rPr>
                <w:sz w:val="4"/>
                <w:szCs w:val="4"/>
                <w:color w:val="auto"/>
              </w:rPr>
            </w:pPr>
          </w:p>
        </w:tc>
        <w:tc>
          <w:tcPr>
            <w:tcW w:w="780" w:type="dxa"/>
            <w:vAlign w:val="bottom"/>
            <w:tcBorders>
              <w:bottom w:val="single" w:sz="8" w:color="D9D9D9"/>
            </w:tcBorders>
          </w:tcPr>
          <w:p>
            <w:pPr>
              <w:spacing w:after="0"/>
              <w:rPr>
                <w:sz w:val="4"/>
                <w:szCs w:val="4"/>
                <w:color w:val="auto"/>
              </w:rPr>
            </w:pPr>
          </w:p>
        </w:tc>
        <w:tc>
          <w:tcPr>
            <w:tcW w:w="940" w:type="dxa"/>
            <w:vAlign w:val="bottom"/>
            <w:tcBorders>
              <w:bottom w:val="single" w:sz="8" w:color="D9D9D9"/>
            </w:tcBorders>
          </w:tcPr>
          <w:p>
            <w:pPr>
              <w:spacing w:after="0"/>
              <w:rPr>
                <w:sz w:val="4"/>
                <w:szCs w:val="4"/>
                <w:color w:val="auto"/>
              </w:rPr>
            </w:pPr>
          </w:p>
        </w:tc>
        <w:tc>
          <w:tcPr>
            <w:tcW w:w="280" w:type="dxa"/>
            <w:vAlign w:val="bottom"/>
            <w:tcBorders>
              <w:bottom w:val="single" w:sz="8" w:color="D9D9D9"/>
            </w:tcBorders>
          </w:tcPr>
          <w:p>
            <w:pPr>
              <w:spacing w:after="0"/>
              <w:rPr>
                <w:sz w:val="4"/>
                <w:szCs w:val="4"/>
                <w:color w:val="auto"/>
              </w:rPr>
            </w:pPr>
          </w:p>
        </w:tc>
        <w:tc>
          <w:tcPr>
            <w:tcW w:w="1580" w:type="dxa"/>
            <w:vAlign w:val="bottom"/>
            <w:tcBorders>
              <w:bottom w:val="single" w:sz="8" w:color="D9D9D9"/>
            </w:tcBorders>
          </w:tcPr>
          <w:p>
            <w:pPr>
              <w:spacing w:after="0"/>
              <w:rPr>
                <w:sz w:val="4"/>
                <w:szCs w:val="4"/>
                <w:color w:val="auto"/>
              </w:rPr>
            </w:pPr>
          </w:p>
        </w:tc>
        <w:tc>
          <w:tcPr>
            <w:tcW w:w="1200" w:type="dxa"/>
            <w:vAlign w:val="bottom"/>
            <w:tcBorders>
              <w:bottom w:val="single" w:sz="8" w:color="D9D9D9"/>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780" w:type="dxa"/>
            <w:vAlign w:val="bottom"/>
          </w:tcPr>
          <w:p>
            <w:pPr>
              <w:spacing w:after="0"/>
              <w:rPr>
                <w:sz w:val="16"/>
                <w:szCs w:val="16"/>
                <w:color w:val="auto"/>
              </w:rPr>
            </w:pPr>
          </w:p>
        </w:tc>
        <w:tc>
          <w:tcPr>
            <w:tcW w:w="1560" w:type="dxa"/>
            <w:vAlign w:val="bottom"/>
            <w:gridSpan w:val="2"/>
          </w:tcPr>
          <w:p>
            <w:pPr>
              <w:jc w:val="right"/>
              <w:ind w:right="188"/>
              <w:spacing w:after="0"/>
              <w:rPr>
                <w:sz w:val="20"/>
                <w:szCs w:val="20"/>
                <w:color w:val="auto"/>
              </w:rPr>
            </w:pPr>
            <w:r>
              <w:rPr>
                <w:rFonts w:ascii="Arial" w:cs="Arial" w:eastAsia="Arial" w:hAnsi="Arial"/>
                <w:sz w:val="14"/>
                <w:szCs w:val="14"/>
                <w:color w:val="auto"/>
              </w:rPr>
              <w:t>173,260</w:t>
            </w:r>
          </w:p>
        </w:tc>
        <w:tc>
          <w:tcPr>
            <w:tcW w:w="122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68"/>
              <w:spacing w:after="0"/>
              <w:rPr>
                <w:sz w:val="20"/>
                <w:szCs w:val="20"/>
                <w:color w:val="auto"/>
              </w:rPr>
            </w:pPr>
            <w:r>
              <w:rPr>
                <w:rFonts w:ascii="Arial" w:cs="Arial" w:eastAsia="Arial" w:hAnsi="Arial"/>
                <w:sz w:val="14"/>
                <w:szCs w:val="14"/>
                <w:color w:val="auto"/>
              </w:rPr>
              <w:t>8.02</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2/7/2029</w:t>
            </w:r>
          </w:p>
        </w:tc>
        <w:tc>
          <w:tcPr>
            <w:tcW w:w="280" w:type="dxa"/>
            <w:vAlign w:val="bottom"/>
          </w:tcPr>
          <w:p>
            <w:pPr>
              <w:spacing w:after="0"/>
              <w:rPr>
                <w:sz w:val="16"/>
                <w:szCs w:val="16"/>
                <w:color w:val="auto"/>
              </w:rPr>
            </w:pPr>
          </w:p>
        </w:tc>
        <w:tc>
          <w:tcPr>
            <w:tcW w:w="1580" w:type="dxa"/>
            <w:vAlign w:val="bottom"/>
            <w:vMerge w:val="restart"/>
          </w:tcPr>
          <w:p>
            <w:pPr>
              <w:jc w:val="right"/>
              <w:ind w:right="328"/>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1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tcBorders>
              <w:bottom w:val="single" w:sz="8" w:color="D9D9D9"/>
            </w:tcBorders>
          </w:tcPr>
          <w:p>
            <w:pPr>
              <w:spacing w:after="0"/>
              <w:rPr>
                <w:sz w:val="4"/>
                <w:szCs w:val="4"/>
                <w:color w:val="auto"/>
              </w:rPr>
            </w:pPr>
          </w:p>
        </w:tc>
        <w:tc>
          <w:tcPr>
            <w:tcW w:w="1220" w:type="dxa"/>
            <w:vAlign w:val="bottom"/>
            <w:tcBorders>
              <w:bottom w:val="single" w:sz="8" w:color="D9D9D9"/>
            </w:tcBorders>
          </w:tcPr>
          <w:p>
            <w:pPr>
              <w:spacing w:after="0"/>
              <w:rPr>
                <w:sz w:val="4"/>
                <w:szCs w:val="4"/>
                <w:color w:val="auto"/>
              </w:rPr>
            </w:pPr>
          </w:p>
        </w:tc>
        <w:tc>
          <w:tcPr>
            <w:tcW w:w="1360" w:type="dxa"/>
            <w:vAlign w:val="bottom"/>
            <w:tcBorders>
              <w:bottom w:val="single" w:sz="8" w:color="D9D9D9"/>
            </w:tcBorders>
          </w:tcPr>
          <w:p>
            <w:pPr>
              <w:spacing w:after="0"/>
              <w:rPr>
                <w:sz w:val="4"/>
                <w:szCs w:val="4"/>
                <w:color w:val="auto"/>
              </w:rPr>
            </w:pPr>
          </w:p>
        </w:tc>
        <w:tc>
          <w:tcPr>
            <w:tcW w:w="540" w:type="dxa"/>
            <w:vAlign w:val="bottom"/>
            <w:tcBorders>
              <w:bottom w:val="single" w:sz="8" w:color="D9D9D9"/>
            </w:tcBorders>
          </w:tcPr>
          <w:p>
            <w:pPr>
              <w:spacing w:after="0"/>
              <w:rPr>
                <w:sz w:val="4"/>
                <w:szCs w:val="4"/>
                <w:color w:val="auto"/>
              </w:rPr>
            </w:pPr>
          </w:p>
        </w:tc>
        <w:tc>
          <w:tcPr>
            <w:tcW w:w="780" w:type="dxa"/>
            <w:vAlign w:val="bottom"/>
            <w:tcBorders>
              <w:bottom w:val="single" w:sz="8" w:color="D9D9D9"/>
            </w:tcBorders>
          </w:tcPr>
          <w:p>
            <w:pPr>
              <w:spacing w:after="0"/>
              <w:rPr>
                <w:sz w:val="4"/>
                <w:szCs w:val="4"/>
                <w:color w:val="auto"/>
              </w:rPr>
            </w:pPr>
          </w:p>
        </w:tc>
        <w:tc>
          <w:tcPr>
            <w:tcW w:w="940" w:type="dxa"/>
            <w:vAlign w:val="bottom"/>
            <w:tcBorders>
              <w:bottom w:val="single" w:sz="8" w:color="D9D9D9"/>
            </w:tcBorders>
          </w:tcPr>
          <w:p>
            <w:pPr>
              <w:spacing w:after="0"/>
              <w:rPr>
                <w:sz w:val="4"/>
                <w:szCs w:val="4"/>
                <w:color w:val="auto"/>
              </w:rPr>
            </w:pPr>
          </w:p>
        </w:tc>
        <w:tc>
          <w:tcPr>
            <w:tcW w:w="280" w:type="dxa"/>
            <w:vAlign w:val="bottom"/>
            <w:tcBorders>
              <w:bottom w:val="single" w:sz="8" w:color="D9D9D9"/>
            </w:tcBorders>
          </w:tcPr>
          <w:p>
            <w:pPr>
              <w:spacing w:after="0"/>
              <w:rPr>
                <w:sz w:val="4"/>
                <w:szCs w:val="4"/>
                <w:color w:val="auto"/>
              </w:rPr>
            </w:pPr>
          </w:p>
        </w:tc>
        <w:tc>
          <w:tcPr>
            <w:tcW w:w="1580" w:type="dxa"/>
            <w:vAlign w:val="bottom"/>
            <w:tcBorders>
              <w:bottom w:val="single" w:sz="8" w:color="D9D9D9"/>
            </w:tcBorders>
          </w:tcPr>
          <w:p>
            <w:pPr>
              <w:spacing w:after="0"/>
              <w:rPr>
                <w:sz w:val="4"/>
                <w:szCs w:val="4"/>
                <w:color w:val="auto"/>
              </w:rPr>
            </w:pPr>
          </w:p>
        </w:tc>
        <w:tc>
          <w:tcPr>
            <w:tcW w:w="1200" w:type="dxa"/>
            <w:vAlign w:val="bottom"/>
            <w:tcBorders>
              <w:bottom w:val="single" w:sz="8" w:color="D9D9D9"/>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780" w:type="dxa"/>
            <w:vAlign w:val="bottom"/>
          </w:tcPr>
          <w:p>
            <w:pPr>
              <w:spacing w:after="0"/>
              <w:rPr>
                <w:sz w:val="16"/>
                <w:szCs w:val="16"/>
                <w:color w:val="auto"/>
              </w:rPr>
            </w:pPr>
          </w:p>
        </w:tc>
        <w:tc>
          <w:tcPr>
            <w:tcW w:w="1560" w:type="dxa"/>
            <w:vAlign w:val="bottom"/>
            <w:gridSpan w:val="2"/>
          </w:tcPr>
          <w:p>
            <w:pPr>
              <w:jc w:val="right"/>
              <w:ind w:right="188"/>
              <w:spacing w:after="0"/>
              <w:rPr>
                <w:sz w:val="20"/>
                <w:szCs w:val="20"/>
                <w:color w:val="auto"/>
              </w:rPr>
            </w:pPr>
            <w:r>
              <w:rPr>
                <w:rFonts w:ascii="Arial" w:cs="Arial" w:eastAsia="Arial" w:hAnsi="Arial"/>
                <w:sz w:val="14"/>
                <w:szCs w:val="14"/>
                <w:color w:val="auto"/>
              </w:rPr>
              <w:t>150,000</w:t>
            </w:r>
          </w:p>
        </w:tc>
        <w:tc>
          <w:tcPr>
            <w:tcW w:w="1220" w:type="dxa"/>
            <w:vAlign w:val="bottom"/>
            <w:vMerge w:val="restart"/>
          </w:tcPr>
          <w:p>
            <w:pPr>
              <w:jc w:val="right"/>
              <w:ind w:right="108"/>
              <w:spacing w:after="0"/>
              <w:rPr>
                <w:sz w:val="20"/>
                <w:szCs w:val="20"/>
                <w:color w:val="auto"/>
              </w:rPr>
            </w:pPr>
            <w:r>
              <w:rPr>
                <w:rFonts w:ascii="Arial" w:cs="Arial" w:eastAsia="Arial" w:hAnsi="Arial"/>
                <w:sz w:val="14"/>
                <w:szCs w:val="14"/>
                <w:color w:val="auto"/>
              </w:rPr>
              <w:t>75,000</w:t>
            </w:r>
          </w:p>
        </w:tc>
        <w:tc>
          <w:tcPr>
            <w:tcW w:w="136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68"/>
              <w:spacing w:after="0"/>
              <w:rPr>
                <w:sz w:val="20"/>
                <w:szCs w:val="20"/>
                <w:color w:val="auto"/>
              </w:rPr>
            </w:pPr>
            <w:r>
              <w:rPr>
                <w:rFonts w:ascii="Arial" w:cs="Arial" w:eastAsia="Arial" w:hAnsi="Arial"/>
                <w:sz w:val="14"/>
                <w:szCs w:val="14"/>
                <w:color w:val="auto"/>
              </w:rPr>
              <w:t>6.68</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8/12/2029</w:t>
            </w:r>
          </w:p>
        </w:tc>
        <w:tc>
          <w:tcPr>
            <w:tcW w:w="280" w:type="dxa"/>
            <w:vAlign w:val="bottom"/>
          </w:tcPr>
          <w:p>
            <w:pPr>
              <w:spacing w:after="0"/>
              <w:rPr>
                <w:sz w:val="16"/>
                <w:szCs w:val="16"/>
                <w:color w:val="auto"/>
              </w:rPr>
            </w:pPr>
          </w:p>
        </w:tc>
        <w:tc>
          <w:tcPr>
            <w:tcW w:w="1580" w:type="dxa"/>
            <w:vAlign w:val="bottom"/>
            <w:vMerge w:val="restart"/>
          </w:tcPr>
          <w:p>
            <w:pPr>
              <w:jc w:val="right"/>
              <w:ind w:right="328"/>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1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tcBorders>
              <w:bottom w:val="single" w:sz="8" w:color="D9D9D9"/>
            </w:tcBorders>
          </w:tcPr>
          <w:p>
            <w:pPr>
              <w:spacing w:after="0"/>
              <w:rPr>
                <w:sz w:val="4"/>
                <w:szCs w:val="4"/>
                <w:color w:val="auto"/>
              </w:rPr>
            </w:pPr>
          </w:p>
        </w:tc>
        <w:tc>
          <w:tcPr>
            <w:tcW w:w="1220" w:type="dxa"/>
            <w:vAlign w:val="bottom"/>
            <w:tcBorders>
              <w:bottom w:val="single" w:sz="8" w:color="D9D9D9"/>
            </w:tcBorders>
          </w:tcPr>
          <w:p>
            <w:pPr>
              <w:spacing w:after="0"/>
              <w:rPr>
                <w:sz w:val="4"/>
                <w:szCs w:val="4"/>
                <w:color w:val="auto"/>
              </w:rPr>
            </w:pPr>
          </w:p>
        </w:tc>
        <w:tc>
          <w:tcPr>
            <w:tcW w:w="1360" w:type="dxa"/>
            <w:vAlign w:val="bottom"/>
          </w:tcPr>
          <w:p>
            <w:pPr>
              <w:spacing w:after="0"/>
              <w:rPr>
                <w:sz w:val="4"/>
                <w:szCs w:val="4"/>
                <w:color w:val="auto"/>
              </w:rPr>
            </w:pPr>
          </w:p>
        </w:tc>
        <w:tc>
          <w:tcPr>
            <w:tcW w:w="5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80" w:type="dxa"/>
            <w:vAlign w:val="bottom"/>
            <w:tcBorders>
              <w:bottom w:val="single" w:sz="8" w:color="D9D9D9"/>
            </w:tcBorders>
          </w:tcPr>
          <w:p>
            <w:pPr>
              <w:spacing w:after="0"/>
              <w:rPr>
                <w:sz w:val="4"/>
                <w:szCs w:val="4"/>
                <w:color w:val="auto"/>
              </w:rPr>
            </w:pPr>
          </w:p>
        </w:tc>
        <w:tc>
          <w:tcPr>
            <w:tcW w:w="1200" w:type="dxa"/>
            <w:vAlign w:val="bottom"/>
            <w:tcBorders>
              <w:bottom w:val="single" w:sz="8" w:color="D9D9D9"/>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1780" w:type="dxa"/>
            <w:vAlign w:val="bottom"/>
          </w:tcPr>
          <w:p>
            <w:pPr>
              <w:ind w:left="20"/>
              <w:spacing w:after="0"/>
              <w:rPr>
                <w:sz w:val="20"/>
                <w:szCs w:val="20"/>
                <w:color w:val="auto"/>
              </w:rPr>
            </w:pPr>
            <w:r>
              <w:rPr>
                <w:rFonts w:ascii="Arial" w:cs="Arial" w:eastAsia="Arial" w:hAnsi="Arial"/>
                <w:sz w:val="14"/>
                <w:szCs w:val="14"/>
                <w:b w:val="1"/>
                <w:bCs w:val="1"/>
                <w:color w:val="FF7F32"/>
              </w:rPr>
              <w:t>Jeffrey Dumbrell</w:t>
            </w:r>
            <w:r>
              <w:rPr>
                <w:rFonts w:ascii="Arial" w:cs="Arial" w:eastAsia="Arial" w:hAnsi="Arial"/>
                <w:sz w:val="18"/>
                <w:szCs w:val="18"/>
                <w:b w:val="1"/>
                <w:bCs w:val="1"/>
                <w:color w:val="FF7F32"/>
                <w:vertAlign w:val="superscript"/>
              </w:rPr>
              <w:t>(4)</w:t>
            </w:r>
          </w:p>
        </w:tc>
        <w:tc>
          <w:tcPr>
            <w:tcW w:w="100" w:type="dxa"/>
            <w:vAlign w:val="bottom"/>
          </w:tcPr>
          <w:p>
            <w:pPr>
              <w:spacing w:after="0"/>
              <w:rPr>
                <w:sz w:val="24"/>
                <w:szCs w:val="24"/>
                <w:color w:val="auto"/>
              </w:rPr>
            </w:pPr>
          </w:p>
        </w:tc>
        <w:tc>
          <w:tcPr>
            <w:tcW w:w="1460" w:type="dxa"/>
            <w:vAlign w:val="bottom"/>
            <w:tcBorders>
              <w:bottom w:val="single" w:sz="8" w:color="D9D9D9"/>
            </w:tcBorders>
          </w:tcPr>
          <w:p>
            <w:pPr>
              <w:jc w:val="right"/>
              <w:ind w:right="188"/>
              <w:spacing w:after="0"/>
              <w:rPr>
                <w:sz w:val="20"/>
                <w:szCs w:val="20"/>
                <w:color w:val="auto"/>
              </w:rPr>
            </w:pPr>
            <w:r>
              <w:rPr>
                <w:rFonts w:ascii="Arial" w:cs="Arial" w:eastAsia="Arial" w:hAnsi="Arial"/>
                <w:sz w:val="14"/>
                <w:szCs w:val="14"/>
                <w:color w:val="auto"/>
              </w:rPr>
              <w:t>197,367</w:t>
            </w:r>
          </w:p>
        </w:tc>
        <w:tc>
          <w:tcPr>
            <w:tcW w:w="1220" w:type="dxa"/>
            <w:vAlign w:val="bottom"/>
            <w:tcBorders>
              <w:bottom w:val="single" w:sz="8" w:color="D9D9D9"/>
            </w:tcBorders>
          </w:tcPr>
          <w:p>
            <w:pPr>
              <w:jc w:val="right"/>
              <w:ind w:right="10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D9D9D9"/>
            </w:tcBorders>
          </w:tcPr>
          <w:p>
            <w:pPr>
              <w:jc w:val="right"/>
              <w:ind w:right="108"/>
              <w:spacing w:after="0"/>
              <w:rPr>
                <w:sz w:val="20"/>
                <w:szCs w:val="20"/>
                <w:color w:val="auto"/>
              </w:rPr>
            </w:pPr>
            <w:r>
              <w:rPr>
                <w:rFonts w:ascii="Arial" w:cs="Arial" w:eastAsia="Arial" w:hAnsi="Arial"/>
                <w:sz w:val="14"/>
                <w:szCs w:val="14"/>
                <w:color w:val="auto"/>
              </w:rPr>
              <w:t>33,333</w:t>
            </w:r>
          </w:p>
        </w:tc>
        <w:tc>
          <w:tcPr>
            <w:tcW w:w="540" w:type="dxa"/>
            <w:vAlign w:val="bottom"/>
            <w:tcBorders>
              <w:bottom w:val="single" w:sz="8" w:color="D9D9D9"/>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9D9D9"/>
            </w:tcBorders>
          </w:tcPr>
          <w:p>
            <w:pPr>
              <w:jc w:val="right"/>
              <w:ind w:right="268"/>
              <w:spacing w:after="0"/>
              <w:rPr>
                <w:sz w:val="20"/>
                <w:szCs w:val="20"/>
                <w:color w:val="auto"/>
              </w:rPr>
            </w:pPr>
            <w:r>
              <w:rPr>
                <w:rFonts w:ascii="Arial" w:cs="Arial" w:eastAsia="Arial" w:hAnsi="Arial"/>
                <w:sz w:val="14"/>
                <w:szCs w:val="14"/>
                <w:color w:val="auto"/>
              </w:rPr>
              <w:t>8.11</w:t>
            </w:r>
          </w:p>
        </w:tc>
        <w:tc>
          <w:tcPr>
            <w:tcW w:w="940" w:type="dxa"/>
            <w:vAlign w:val="bottom"/>
            <w:tcBorders>
              <w:bottom w:val="single" w:sz="8" w:color="D9D9D9"/>
            </w:tcBorders>
          </w:tcPr>
          <w:p>
            <w:pPr>
              <w:jc w:val="right"/>
              <w:spacing w:after="0"/>
              <w:rPr>
                <w:sz w:val="20"/>
                <w:szCs w:val="20"/>
                <w:color w:val="auto"/>
              </w:rPr>
            </w:pPr>
            <w:r>
              <w:rPr>
                <w:rFonts w:ascii="Arial" w:cs="Arial" w:eastAsia="Arial" w:hAnsi="Arial"/>
                <w:sz w:val="14"/>
                <w:szCs w:val="14"/>
                <w:color w:val="auto"/>
              </w:rPr>
              <w:t>12/22/2028</w:t>
            </w:r>
          </w:p>
        </w:tc>
        <w:tc>
          <w:tcPr>
            <w:tcW w:w="280" w:type="dxa"/>
            <w:vAlign w:val="bottom"/>
            <w:tcBorders>
              <w:bottom w:val="single" w:sz="8" w:color="D9D9D9"/>
            </w:tcBorders>
          </w:tcPr>
          <w:p>
            <w:pPr>
              <w:spacing w:after="0"/>
              <w:rPr>
                <w:sz w:val="24"/>
                <w:szCs w:val="24"/>
                <w:color w:val="auto"/>
              </w:rPr>
            </w:pPr>
          </w:p>
        </w:tc>
        <w:tc>
          <w:tcPr>
            <w:tcW w:w="1580" w:type="dxa"/>
            <w:vAlign w:val="bottom"/>
          </w:tcPr>
          <w:p>
            <w:pPr>
              <w:jc w:val="right"/>
              <w:ind w:right="168"/>
              <w:spacing w:after="0"/>
              <w:rPr>
                <w:sz w:val="20"/>
                <w:szCs w:val="20"/>
                <w:color w:val="auto"/>
              </w:rPr>
            </w:pPr>
            <w:r>
              <w:rPr>
                <w:rFonts w:ascii="Arial" w:cs="Arial" w:eastAsia="Arial" w:hAnsi="Arial"/>
                <w:sz w:val="14"/>
                <w:szCs w:val="14"/>
                <w:color w:val="auto"/>
              </w:rPr>
              <w:t>104,317</w:t>
            </w:r>
          </w:p>
        </w:tc>
        <w:tc>
          <w:tcPr>
            <w:tcW w:w="1200" w:type="dxa"/>
            <w:vAlign w:val="bottom"/>
          </w:tcPr>
          <w:p>
            <w:pPr>
              <w:jc w:val="right"/>
              <w:spacing w:after="0"/>
              <w:rPr>
                <w:sz w:val="20"/>
                <w:szCs w:val="20"/>
                <w:color w:val="auto"/>
              </w:rPr>
            </w:pPr>
            <w:r>
              <w:rPr>
                <w:rFonts w:ascii="Arial" w:cs="Arial" w:eastAsia="Arial" w:hAnsi="Arial"/>
                <w:sz w:val="14"/>
                <w:szCs w:val="14"/>
                <w:color w:val="auto"/>
              </w:rPr>
              <w:t>1,146,444</w:t>
            </w:r>
          </w:p>
        </w:tc>
        <w:tc>
          <w:tcPr>
            <w:tcW w:w="0" w:type="dxa"/>
            <w:vAlign w:val="bottom"/>
          </w:tcPr>
          <w:p>
            <w:pPr>
              <w:spacing w:after="0"/>
              <w:rPr>
                <w:sz w:val="1"/>
                <w:szCs w:val="1"/>
                <w:color w:val="auto"/>
              </w:rPr>
            </w:pPr>
          </w:p>
        </w:tc>
      </w:tr>
      <w:tr>
        <w:trPr>
          <w:trHeight w:val="242"/>
        </w:trPr>
        <w:tc>
          <w:tcPr>
            <w:tcW w:w="1780" w:type="dxa"/>
            <w:vAlign w:val="bottom"/>
          </w:tcPr>
          <w:p>
            <w:pPr>
              <w:spacing w:after="0"/>
              <w:rPr>
                <w:sz w:val="21"/>
                <w:szCs w:val="21"/>
                <w:color w:val="auto"/>
              </w:rPr>
            </w:pPr>
          </w:p>
        </w:tc>
        <w:tc>
          <w:tcPr>
            <w:tcW w:w="1560" w:type="dxa"/>
            <w:vAlign w:val="bottom"/>
            <w:gridSpan w:val="2"/>
          </w:tcPr>
          <w:p>
            <w:pPr>
              <w:jc w:val="right"/>
              <w:ind w:right="188"/>
              <w:spacing w:after="0"/>
              <w:rPr>
                <w:sz w:val="20"/>
                <w:szCs w:val="20"/>
                <w:color w:val="auto"/>
              </w:rPr>
            </w:pPr>
            <w:r>
              <w:rPr>
                <w:rFonts w:ascii="Arial" w:cs="Arial" w:eastAsia="Arial" w:hAnsi="Arial"/>
                <w:sz w:val="14"/>
                <w:szCs w:val="14"/>
                <w:color w:val="auto"/>
              </w:rPr>
              <w:t>150,000</w:t>
            </w: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75,000</w:t>
            </w:r>
          </w:p>
        </w:tc>
        <w:tc>
          <w:tcPr>
            <w:tcW w:w="1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68"/>
              <w:spacing w:after="0"/>
              <w:rPr>
                <w:sz w:val="20"/>
                <w:szCs w:val="20"/>
                <w:color w:val="auto"/>
              </w:rPr>
            </w:pPr>
            <w:r>
              <w:rPr>
                <w:rFonts w:ascii="Arial" w:cs="Arial" w:eastAsia="Arial" w:hAnsi="Arial"/>
                <w:sz w:val="14"/>
                <w:szCs w:val="14"/>
                <w:color w:val="auto"/>
              </w:rPr>
              <w:t>6.68</w:t>
            </w:r>
          </w:p>
        </w:tc>
        <w:tc>
          <w:tcPr>
            <w:tcW w:w="940" w:type="dxa"/>
            <w:vAlign w:val="bottom"/>
          </w:tcPr>
          <w:p>
            <w:pPr>
              <w:jc w:val="right"/>
              <w:spacing w:after="0"/>
              <w:rPr>
                <w:sz w:val="20"/>
                <w:szCs w:val="20"/>
                <w:color w:val="auto"/>
              </w:rPr>
            </w:pPr>
            <w:r>
              <w:rPr>
                <w:rFonts w:ascii="Arial" w:cs="Arial" w:eastAsia="Arial" w:hAnsi="Arial"/>
                <w:sz w:val="14"/>
                <w:szCs w:val="14"/>
                <w:color w:val="auto"/>
              </w:rPr>
              <w:t>8/12/2029</w:t>
            </w:r>
          </w:p>
        </w:tc>
        <w:tc>
          <w:tcPr>
            <w:tcW w:w="280" w:type="dxa"/>
            <w:vAlign w:val="bottom"/>
          </w:tcPr>
          <w:p>
            <w:pPr>
              <w:spacing w:after="0"/>
              <w:rPr>
                <w:sz w:val="21"/>
                <w:szCs w:val="21"/>
                <w:color w:val="auto"/>
              </w:rPr>
            </w:pPr>
          </w:p>
        </w:tc>
        <w:tc>
          <w:tcPr>
            <w:tcW w:w="158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9"/>
        </w:trPr>
        <w:tc>
          <w:tcPr>
            <w:tcW w:w="1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tcBorders>
              <w:bottom w:val="single" w:sz="8" w:color="D9D9D9"/>
            </w:tcBorders>
          </w:tcPr>
          <w:p>
            <w:pPr>
              <w:spacing w:after="0"/>
              <w:rPr>
                <w:sz w:val="4"/>
                <w:szCs w:val="4"/>
                <w:color w:val="auto"/>
              </w:rPr>
            </w:pPr>
          </w:p>
        </w:tc>
        <w:tc>
          <w:tcPr>
            <w:tcW w:w="1220" w:type="dxa"/>
            <w:vAlign w:val="bottom"/>
            <w:tcBorders>
              <w:bottom w:val="single" w:sz="8" w:color="D9D9D9"/>
            </w:tcBorders>
          </w:tcPr>
          <w:p>
            <w:pPr>
              <w:spacing w:after="0"/>
              <w:rPr>
                <w:sz w:val="4"/>
                <w:szCs w:val="4"/>
                <w:color w:val="auto"/>
              </w:rPr>
            </w:pPr>
          </w:p>
        </w:tc>
        <w:tc>
          <w:tcPr>
            <w:tcW w:w="1360" w:type="dxa"/>
            <w:vAlign w:val="bottom"/>
          </w:tcPr>
          <w:p>
            <w:pPr>
              <w:spacing w:after="0"/>
              <w:rPr>
                <w:sz w:val="4"/>
                <w:szCs w:val="4"/>
                <w:color w:val="auto"/>
              </w:rPr>
            </w:pPr>
          </w:p>
        </w:tc>
        <w:tc>
          <w:tcPr>
            <w:tcW w:w="5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80" w:type="dxa"/>
            <w:vAlign w:val="bottom"/>
            <w:tcBorders>
              <w:bottom w:val="single" w:sz="8" w:color="D9D9D9"/>
            </w:tcBorders>
          </w:tcPr>
          <w:p>
            <w:pPr>
              <w:spacing w:after="0"/>
              <w:rPr>
                <w:sz w:val="4"/>
                <w:szCs w:val="4"/>
                <w:color w:val="auto"/>
              </w:rPr>
            </w:pPr>
          </w:p>
        </w:tc>
        <w:tc>
          <w:tcPr>
            <w:tcW w:w="1200" w:type="dxa"/>
            <w:vAlign w:val="bottom"/>
            <w:tcBorders>
              <w:bottom w:val="single" w:sz="8" w:color="D9D9D9"/>
            </w:tcBorders>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780" w:type="dxa"/>
            <w:vAlign w:val="bottom"/>
            <w:tcBorders>
              <w:bottom w:val="single" w:sz="8" w:color="D9D9D9"/>
            </w:tcBorders>
          </w:tcPr>
          <w:p>
            <w:pPr>
              <w:ind w:left="20"/>
              <w:spacing w:after="0"/>
              <w:rPr>
                <w:sz w:val="20"/>
                <w:szCs w:val="20"/>
                <w:color w:val="auto"/>
              </w:rPr>
            </w:pPr>
            <w:r>
              <w:rPr>
                <w:rFonts w:ascii="Arial" w:cs="Arial" w:eastAsia="Arial" w:hAnsi="Arial"/>
                <w:sz w:val="14"/>
                <w:szCs w:val="14"/>
                <w:b w:val="1"/>
                <w:bCs w:val="1"/>
                <w:color w:val="FF7F32"/>
              </w:rPr>
              <w:t>Gaurav Singal</w:t>
            </w:r>
            <w:r>
              <w:rPr>
                <w:rFonts w:ascii="Arial" w:cs="Arial" w:eastAsia="Arial" w:hAnsi="Arial"/>
                <w:sz w:val="18"/>
                <w:szCs w:val="18"/>
                <w:b w:val="1"/>
                <w:bCs w:val="1"/>
                <w:color w:val="FF7F32"/>
                <w:vertAlign w:val="superscript"/>
              </w:rPr>
              <w:t>(5)</w:t>
            </w:r>
          </w:p>
        </w:tc>
        <w:tc>
          <w:tcPr>
            <w:tcW w:w="1560" w:type="dxa"/>
            <w:vAlign w:val="bottom"/>
            <w:tcBorders>
              <w:bottom w:val="single" w:sz="8" w:color="D9D9D9"/>
            </w:tcBorders>
            <w:gridSpan w:val="2"/>
          </w:tcPr>
          <w:p>
            <w:pPr>
              <w:jc w:val="right"/>
              <w:ind w:right="188"/>
              <w:spacing w:after="0"/>
              <w:rPr>
                <w:sz w:val="20"/>
                <w:szCs w:val="20"/>
                <w:color w:val="auto"/>
              </w:rPr>
            </w:pPr>
            <w:r>
              <w:rPr>
                <w:rFonts w:ascii="Arial" w:cs="Arial" w:eastAsia="Arial" w:hAnsi="Arial"/>
                <w:sz w:val="14"/>
                <w:szCs w:val="14"/>
                <w:color w:val="auto"/>
              </w:rPr>
              <w:t>133,333</w:t>
            </w:r>
          </w:p>
        </w:tc>
        <w:tc>
          <w:tcPr>
            <w:tcW w:w="1220" w:type="dxa"/>
            <w:vAlign w:val="bottom"/>
            <w:tcBorders>
              <w:bottom w:val="single" w:sz="8" w:color="D9D9D9"/>
            </w:tcBorders>
          </w:tcPr>
          <w:p>
            <w:pPr>
              <w:jc w:val="right"/>
              <w:ind w:right="108"/>
              <w:spacing w:after="0"/>
              <w:rPr>
                <w:sz w:val="20"/>
                <w:szCs w:val="20"/>
                <w:color w:val="auto"/>
              </w:rPr>
            </w:pPr>
            <w:r>
              <w:rPr>
                <w:rFonts w:ascii="Arial" w:cs="Arial" w:eastAsia="Arial" w:hAnsi="Arial"/>
                <w:sz w:val="14"/>
                <w:szCs w:val="14"/>
                <w:color w:val="auto"/>
              </w:rPr>
              <w:t>66,667</w:t>
            </w:r>
          </w:p>
        </w:tc>
        <w:tc>
          <w:tcPr>
            <w:tcW w:w="1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D9D9D9"/>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9D9D9"/>
            </w:tcBorders>
          </w:tcPr>
          <w:p>
            <w:pPr>
              <w:jc w:val="right"/>
              <w:ind w:right="268"/>
              <w:spacing w:after="0"/>
              <w:rPr>
                <w:sz w:val="20"/>
                <w:szCs w:val="20"/>
                <w:color w:val="auto"/>
              </w:rPr>
            </w:pPr>
            <w:r>
              <w:rPr>
                <w:rFonts w:ascii="Arial" w:cs="Arial" w:eastAsia="Arial" w:hAnsi="Arial"/>
                <w:sz w:val="14"/>
                <w:szCs w:val="14"/>
                <w:color w:val="auto"/>
              </w:rPr>
              <w:t>3.27</w:t>
            </w:r>
          </w:p>
        </w:tc>
        <w:tc>
          <w:tcPr>
            <w:tcW w:w="940" w:type="dxa"/>
            <w:vAlign w:val="bottom"/>
            <w:tcBorders>
              <w:bottom w:val="single" w:sz="8" w:color="D9D9D9"/>
            </w:tcBorders>
          </w:tcPr>
          <w:p>
            <w:pPr>
              <w:jc w:val="right"/>
              <w:spacing w:after="0"/>
              <w:rPr>
                <w:sz w:val="20"/>
                <w:szCs w:val="20"/>
                <w:color w:val="auto"/>
              </w:rPr>
            </w:pPr>
            <w:r>
              <w:rPr>
                <w:rFonts w:ascii="Arial" w:cs="Arial" w:eastAsia="Arial" w:hAnsi="Arial"/>
                <w:sz w:val="14"/>
                <w:szCs w:val="14"/>
                <w:color w:val="auto"/>
              </w:rPr>
              <w:t>9/12/2029</w:t>
            </w:r>
          </w:p>
        </w:tc>
        <w:tc>
          <w:tcPr>
            <w:tcW w:w="280" w:type="dxa"/>
            <w:vAlign w:val="bottom"/>
            <w:tcBorders>
              <w:bottom w:val="single" w:sz="8" w:color="D9D9D9"/>
            </w:tcBorders>
          </w:tcPr>
          <w:p>
            <w:pPr>
              <w:spacing w:after="0"/>
              <w:rPr>
                <w:sz w:val="24"/>
                <w:szCs w:val="24"/>
                <w:color w:val="auto"/>
              </w:rPr>
            </w:pPr>
          </w:p>
        </w:tc>
        <w:tc>
          <w:tcPr>
            <w:tcW w:w="1580" w:type="dxa"/>
            <w:vAlign w:val="bottom"/>
            <w:tcBorders>
              <w:bottom w:val="single" w:sz="8" w:color="D9D9D9"/>
            </w:tcBorders>
          </w:tcPr>
          <w:p>
            <w:pPr>
              <w:jc w:val="right"/>
              <w:ind w:right="168"/>
              <w:spacing w:after="0"/>
              <w:rPr>
                <w:sz w:val="20"/>
                <w:szCs w:val="20"/>
                <w:color w:val="auto"/>
              </w:rPr>
            </w:pPr>
            <w:r>
              <w:rPr>
                <w:rFonts w:ascii="Arial" w:cs="Arial" w:eastAsia="Arial" w:hAnsi="Arial"/>
                <w:sz w:val="14"/>
                <w:szCs w:val="14"/>
                <w:color w:val="auto"/>
              </w:rPr>
              <w:t>23,154</w:t>
            </w:r>
          </w:p>
        </w:tc>
        <w:tc>
          <w:tcPr>
            <w:tcW w:w="1200" w:type="dxa"/>
            <w:vAlign w:val="bottom"/>
            <w:tcBorders>
              <w:bottom w:val="single" w:sz="8" w:color="D9D9D9"/>
            </w:tcBorders>
          </w:tcPr>
          <w:p>
            <w:pPr>
              <w:jc w:val="right"/>
              <w:spacing w:after="0"/>
              <w:rPr>
                <w:sz w:val="20"/>
                <w:szCs w:val="20"/>
                <w:color w:val="auto"/>
              </w:rPr>
            </w:pPr>
            <w:r>
              <w:rPr>
                <w:rFonts w:ascii="Arial" w:cs="Arial" w:eastAsia="Arial" w:hAnsi="Arial"/>
                <w:sz w:val="14"/>
                <w:szCs w:val="14"/>
                <w:color w:val="auto"/>
              </w:rPr>
              <w:t>254,462</w:t>
            </w:r>
          </w:p>
        </w:tc>
        <w:tc>
          <w:tcPr>
            <w:tcW w:w="0" w:type="dxa"/>
            <w:vAlign w:val="bottom"/>
          </w:tcPr>
          <w:p>
            <w:pPr>
              <w:spacing w:after="0"/>
              <w:rPr>
                <w:sz w:val="1"/>
                <w:szCs w:val="1"/>
                <w:color w:val="auto"/>
              </w:rPr>
            </w:pPr>
          </w:p>
        </w:tc>
      </w:tr>
      <w:tr>
        <w:trPr>
          <w:trHeight w:val="291"/>
        </w:trPr>
        <w:tc>
          <w:tcPr>
            <w:tcW w:w="1780" w:type="dxa"/>
            <w:vAlign w:val="bottom"/>
          </w:tcPr>
          <w:p>
            <w:pPr>
              <w:ind w:left="20"/>
              <w:spacing w:after="0"/>
              <w:rPr>
                <w:sz w:val="20"/>
                <w:szCs w:val="20"/>
                <w:color w:val="auto"/>
              </w:rPr>
            </w:pPr>
            <w:r>
              <w:rPr>
                <w:rFonts w:ascii="Arial" w:cs="Arial" w:eastAsia="Arial" w:hAnsi="Arial"/>
                <w:sz w:val="14"/>
                <w:szCs w:val="14"/>
                <w:b w:val="1"/>
                <w:bCs w:val="1"/>
                <w:color w:val="FF7F32"/>
              </w:rPr>
              <w:t>Anna Novoseletsky</w:t>
            </w:r>
            <w:r>
              <w:rPr>
                <w:rFonts w:ascii="Arial" w:cs="Arial" w:eastAsia="Arial" w:hAnsi="Arial"/>
                <w:sz w:val="18"/>
                <w:szCs w:val="18"/>
                <w:b w:val="1"/>
                <w:bCs w:val="1"/>
                <w:color w:val="FF7F32"/>
                <w:vertAlign w:val="superscript"/>
              </w:rPr>
              <w:t>(6)</w:t>
            </w:r>
          </w:p>
        </w:tc>
        <w:tc>
          <w:tcPr>
            <w:tcW w:w="100" w:type="dxa"/>
            <w:vAlign w:val="bottom"/>
            <w:tcBorders>
              <w:bottom w:val="single" w:sz="8" w:color="D9D9D9"/>
            </w:tcBorders>
          </w:tcPr>
          <w:p>
            <w:pPr>
              <w:spacing w:after="0"/>
              <w:rPr>
                <w:sz w:val="24"/>
                <w:szCs w:val="24"/>
                <w:color w:val="auto"/>
              </w:rPr>
            </w:pPr>
          </w:p>
        </w:tc>
        <w:tc>
          <w:tcPr>
            <w:tcW w:w="1460" w:type="dxa"/>
            <w:vAlign w:val="bottom"/>
          </w:tcPr>
          <w:p>
            <w:pPr>
              <w:jc w:val="right"/>
              <w:ind w:right="188"/>
              <w:spacing w:after="0"/>
              <w:rPr>
                <w:sz w:val="20"/>
                <w:szCs w:val="20"/>
                <w:color w:val="auto"/>
              </w:rPr>
            </w:pPr>
            <w:r>
              <w:rPr>
                <w:rFonts w:ascii="Arial" w:cs="Arial" w:eastAsia="Arial" w:hAnsi="Arial"/>
                <w:sz w:val="14"/>
                <w:szCs w:val="14"/>
                <w:color w:val="auto"/>
              </w:rPr>
              <w:t>66,666</w:t>
            </w:r>
          </w:p>
        </w:tc>
        <w:tc>
          <w:tcPr>
            <w:tcW w:w="1220" w:type="dxa"/>
            <w:vAlign w:val="bottom"/>
          </w:tcPr>
          <w:p>
            <w:pPr>
              <w:jc w:val="right"/>
              <w:spacing w:after="0"/>
              <w:rPr>
                <w:sz w:val="20"/>
                <w:szCs w:val="20"/>
                <w:color w:val="auto"/>
              </w:rPr>
            </w:pPr>
            <w:r>
              <w:rPr>
                <w:rFonts w:ascii="Arial" w:cs="Arial" w:eastAsia="Arial" w:hAnsi="Arial"/>
                <w:sz w:val="14"/>
                <w:szCs w:val="14"/>
                <w:color w:val="auto"/>
              </w:rPr>
              <w:t>33,333</w:t>
            </w:r>
          </w:p>
        </w:tc>
        <w:tc>
          <w:tcPr>
            <w:tcW w:w="1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68"/>
              <w:spacing w:after="0"/>
              <w:rPr>
                <w:sz w:val="20"/>
                <w:szCs w:val="20"/>
                <w:color w:val="auto"/>
              </w:rPr>
            </w:pPr>
            <w:r>
              <w:rPr>
                <w:rFonts w:ascii="Arial" w:cs="Arial" w:eastAsia="Arial" w:hAnsi="Arial"/>
                <w:sz w:val="14"/>
                <w:szCs w:val="14"/>
                <w:color w:val="auto"/>
              </w:rPr>
              <w:t>5.19</w:t>
            </w:r>
          </w:p>
        </w:tc>
        <w:tc>
          <w:tcPr>
            <w:tcW w:w="940" w:type="dxa"/>
            <w:vAlign w:val="bottom"/>
          </w:tcPr>
          <w:p>
            <w:pPr>
              <w:jc w:val="right"/>
              <w:spacing w:after="0"/>
              <w:rPr>
                <w:sz w:val="20"/>
                <w:szCs w:val="20"/>
                <w:color w:val="auto"/>
              </w:rPr>
            </w:pPr>
            <w:r>
              <w:rPr>
                <w:rFonts w:ascii="Arial" w:cs="Arial" w:eastAsia="Arial" w:hAnsi="Arial"/>
                <w:sz w:val="14"/>
                <w:szCs w:val="14"/>
                <w:color w:val="auto"/>
              </w:rPr>
              <w:t>1/24/2030</w:t>
            </w:r>
          </w:p>
        </w:tc>
        <w:tc>
          <w:tcPr>
            <w:tcW w:w="280" w:type="dxa"/>
            <w:vAlign w:val="bottom"/>
          </w:tcPr>
          <w:p>
            <w:pPr>
              <w:spacing w:after="0"/>
              <w:rPr>
                <w:sz w:val="24"/>
                <w:szCs w:val="24"/>
                <w:color w:val="auto"/>
              </w:rPr>
            </w:pPr>
          </w:p>
        </w:tc>
        <w:tc>
          <w:tcPr>
            <w:tcW w:w="1580" w:type="dxa"/>
            <w:vAlign w:val="bottom"/>
          </w:tcPr>
          <w:p>
            <w:pPr>
              <w:jc w:val="right"/>
              <w:ind w:right="168"/>
              <w:spacing w:after="0"/>
              <w:rPr>
                <w:sz w:val="20"/>
                <w:szCs w:val="20"/>
                <w:color w:val="auto"/>
              </w:rPr>
            </w:pPr>
            <w:r>
              <w:rPr>
                <w:rFonts w:ascii="Arial" w:cs="Arial" w:eastAsia="Arial" w:hAnsi="Arial"/>
                <w:sz w:val="14"/>
                <w:szCs w:val="14"/>
                <w:color w:val="auto"/>
              </w:rPr>
              <w:t>21,094</w:t>
            </w:r>
          </w:p>
        </w:tc>
        <w:tc>
          <w:tcPr>
            <w:tcW w:w="1200" w:type="dxa"/>
            <w:vAlign w:val="bottom"/>
          </w:tcPr>
          <w:p>
            <w:pPr>
              <w:jc w:val="right"/>
              <w:spacing w:after="0"/>
              <w:rPr>
                <w:sz w:val="20"/>
                <w:szCs w:val="20"/>
                <w:color w:val="auto"/>
              </w:rPr>
            </w:pPr>
            <w:r>
              <w:rPr>
                <w:rFonts w:ascii="Arial" w:cs="Arial" w:eastAsia="Arial" w:hAnsi="Arial"/>
                <w:sz w:val="14"/>
                <w:szCs w:val="14"/>
                <w:color w:val="auto"/>
              </w:rPr>
              <w:t>231,823</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00" w:hanging="192"/>
        <w:spacing w:after="0"/>
        <w:tabs>
          <w:tab w:leader="none" w:pos="200" w:val="left"/>
        </w:tabs>
        <w:numPr>
          <w:ilvl w:val="0"/>
          <w:numId w:val="68"/>
        </w:numPr>
        <w:rPr>
          <w:rFonts w:ascii="Arial" w:cs="Arial" w:eastAsia="Arial" w:hAnsi="Arial"/>
          <w:sz w:val="16"/>
          <w:szCs w:val="16"/>
          <w:color w:val="202945"/>
          <w:vertAlign w:val="superscript"/>
        </w:rPr>
      </w:pPr>
      <w:r>
        <w:rPr>
          <w:rFonts w:ascii="Arial" w:cs="Arial" w:eastAsia="Arial" w:hAnsi="Arial"/>
          <w:sz w:val="13"/>
          <w:szCs w:val="13"/>
          <w:color w:val="202945"/>
        </w:rPr>
        <w:t>The market value of outstanding awards of restricted stock and RSUs is calculated using the closing price of our Common Stock on June 30, 2025 ($10.99).</w:t>
      </w:r>
    </w:p>
    <w:p>
      <w:pPr>
        <w:spacing w:after="0" w:line="104" w:lineRule="exact"/>
        <w:rPr>
          <w:rFonts w:ascii="Arial" w:cs="Arial" w:eastAsia="Arial" w:hAnsi="Arial"/>
          <w:sz w:val="16"/>
          <w:szCs w:val="16"/>
          <w:color w:val="202945"/>
          <w:vertAlign w:val="superscript"/>
        </w:rPr>
      </w:pPr>
    </w:p>
    <w:p>
      <w:pPr>
        <w:ind w:left="200" w:hanging="192"/>
        <w:spacing w:after="0" w:line="295" w:lineRule="auto"/>
        <w:tabs>
          <w:tab w:leader="none" w:pos="186" w:val="left"/>
        </w:tabs>
        <w:numPr>
          <w:ilvl w:val="0"/>
          <w:numId w:val="68"/>
        </w:numPr>
        <w:rPr>
          <w:rFonts w:ascii="Arial" w:cs="Arial" w:eastAsia="Arial" w:hAnsi="Arial"/>
          <w:sz w:val="16"/>
          <w:szCs w:val="16"/>
          <w:color w:val="202945"/>
          <w:vertAlign w:val="superscript"/>
        </w:rPr>
      </w:pPr>
      <w:r>
        <w:rPr>
          <w:rFonts w:ascii="Arial" w:cs="Arial" w:eastAsia="Arial" w:hAnsi="Arial"/>
          <w:sz w:val="13"/>
          <w:szCs w:val="13"/>
          <w:color w:val="202945"/>
        </w:rPr>
        <w:t>Mr. Venkatesan’s options vested as follows: (i) 50% of Mr. Venkatesan’s 300,000 options were eligible to vest based on Mr. Venkatesan’s continued service in three equal installments on each anniversary of November 4, 2020, and (ii) the remaining 50% are eligible to vested on each of November 4, 2021, November 4, 2022, and November 4, 2023, subject in the case of this clause (ii) to the achievement of applicable performance goals for the fiscal year ending on each such date. See the above discussion under “Equity Awards-Ravi Venkatesan” for further information. Mr. Venkatesan’s remaining awards of 200,000 options were eligible to vest based on Mr. Venkatesan’s continued service in three equal installments on each anniversary of the grant date. For fiscal year 2022 and 2023, 91% and 100% options subject to the achievement of applicable performance goals were vested at the discretion of the Board. Mr. Venkatesan’s awards of 800,000 options are eligible to vest based on Mr. Venkatesan’s continued service in four equal installments on each anniversary of October 1, 2022.</w:t>
      </w:r>
    </w:p>
    <w:p>
      <w:pPr>
        <w:spacing w:after="0" w:line="97" w:lineRule="exact"/>
        <w:rPr>
          <w:rFonts w:ascii="Arial" w:cs="Arial" w:eastAsia="Arial" w:hAnsi="Arial"/>
          <w:sz w:val="16"/>
          <w:szCs w:val="16"/>
          <w:color w:val="202945"/>
          <w:vertAlign w:val="superscript"/>
        </w:rPr>
      </w:pPr>
    </w:p>
    <w:p>
      <w:pPr>
        <w:jc w:val="both"/>
        <w:ind w:left="200" w:right="320" w:hanging="192"/>
        <w:spacing w:after="0" w:line="310" w:lineRule="auto"/>
        <w:tabs>
          <w:tab w:leader="none" w:pos="186" w:val="left"/>
        </w:tabs>
        <w:numPr>
          <w:ilvl w:val="0"/>
          <w:numId w:val="68"/>
        </w:numPr>
        <w:rPr>
          <w:rFonts w:ascii="Arial" w:cs="Arial" w:eastAsia="Arial" w:hAnsi="Arial"/>
          <w:sz w:val="15"/>
          <w:szCs w:val="15"/>
          <w:color w:val="202945"/>
          <w:vertAlign w:val="superscript"/>
        </w:rPr>
      </w:pPr>
      <w:r>
        <w:rPr>
          <w:rFonts w:ascii="Arial" w:cs="Arial" w:eastAsia="Arial" w:hAnsi="Arial"/>
          <w:sz w:val="12"/>
          <w:szCs w:val="12"/>
          <w:color w:val="202945"/>
        </w:rPr>
        <w:t>Mr. Stewart’s options vested as follows: (i) 50% of Mr. Stewart’s 125,000 options were eligible to vest based on Mr. Stewart’s continued service in three equal installments on each anniversary of September 15, 2020, and (ii) the remaining 50% were eligible to vest on each of September 15, 2021, September 15, 2022, and September 15, 2023, subject in the case of this clause (ii) to the achievement of applicable performance goals for the fiscal year ending on each such date. See the above discussion under “Equity Awards-Scott Stewart” for further information. Mr. Stewart’s</w:t>
      </w:r>
    </w:p>
    <w:p>
      <w:pPr>
        <w:spacing w:after="0" w:line="1" w:lineRule="exact"/>
        <w:rPr>
          <w:rFonts w:ascii="Arial" w:cs="Arial" w:eastAsia="Arial" w:hAnsi="Arial"/>
          <w:sz w:val="15"/>
          <w:szCs w:val="15"/>
          <w:color w:val="202945"/>
          <w:vertAlign w:val="superscript"/>
        </w:rPr>
      </w:pPr>
    </w:p>
    <w:p>
      <w:pPr>
        <w:ind w:left="200" w:right="60"/>
        <w:spacing w:after="0" w:line="340" w:lineRule="auto"/>
        <w:rPr>
          <w:rFonts w:ascii="Arial" w:cs="Arial" w:eastAsia="Arial" w:hAnsi="Arial"/>
          <w:sz w:val="15"/>
          <w:szCs w:val="15"/>
          <w:color w:val="202945"/>
          <w:vertAlign w:val="superscript"/>
        </w:rPr>
      </w:pPr>
      <w:r>
        <w:rPr>
          <w:rFonts w:ascii="Arial" w:cs="Arial" w:eastAsia="Arial" w:hAnsi="Arial"/>
          <w:sz w:val="12"/>
          <w:szCs w:val="12"/>
          <w:color w:val="202945"/>
        </w:rPr>
        <w:t>awards of 100,000 options were eligible to vest based on Mr. Stewart’s continued service in three equal installments on each anniversary of the grant date. Mr. Stewart’s options granted on February 7, 2022 vest as follows: (i) 117,000 options were eligible to vest based on Mr. Stewart’s continued service in three equal installments on each anniversary of February 7, 2022, and (ii) the remaining 58,000 were eligible to vest on each of February 1, 2023, February 1, 2024, and February 1, 2025, subject in the case of this clause (ii) to the achievement of applicable performance goals for the fiscal year ending on each such date. For fiscal year 2022 and 2023, 91% and 100% options subject to the achievement of applicable performance goals were vested at the discretion of the Board. Mr. Stewart’s awards of 225,000 options were eligible to vest based on Mr. Stewart’s continued service in three equal installments on each anniversary of August 12, 2022.</w:t>
      </w:r>
    </w:p>
    <w:p>
      <w:pPr>
        <w:spacing w:after="0" w:line="28" w:lineRule="exact"/>
        <w:rPr>
          <w:rFonts w:ascii="Arial" w:cs="Arial" w:eastAsia="Arial" w:hAnsi="Arial"/>
          <w:sz w:val="15"/>
          <w:szCs w:val="15"/>
          <w:color w:val="202945"/>
          <w:vertAlign w:val="superscript"/>
        </w:rPr>
      </w:pPr>
    </w:p>
    <w:p>
      <w:pPr>
        <w:ind w:left="180" w:hanging="172"/>
        <w:spacing w:after="0"/>
        <w:tabs>
          <w:tab w:leader="none" w:pos="180" w:val="left"/>
        </w:tabs>
        <w:numPr>
          <w:ilvl w:val="0"/>
          <w:numId w:val="68"/>
        </w:numPr>
        <w:rPr>
          <w:rFonts w:ascii="Arial" w:cs="Arial" w:eastAsia="Arial" w:hAnsi="Arial"/>
          <w:sz w:val="15"/>
          <w:szCs w:val="15"/>
          <w:color w:val="202945"/>
          <w:vertAlign w:val="superscript"/>
        </w:rPr>
      </w:pPr>
      <w:r>
        <w:rPr>
          <w:rFonts w:ascii="Arial" w:cs="Arial" w:eastAsia="Arial" w:hAnsi="Arial"/>
          <w:sz w:val="12"/>
          <w:szCs w:val="12"/>
          <w:color w:val="202945"/>
        </w:rPr>
        <w:t>Mr. Dumbrell’s options vest as follows: (i) 230,000 options are eligible to vest based on Mr. Dumbrell’s continued service in three equal installments on each anniversary of December 22, 2022, and</w:t>
      </w:r>
    </w:p>
    <w:p>
      <w:pPr>
        <w:spacing w:after="0" w:line="35" w:lineRule="exact"/>
        <w:rPr>
          <w:rFonts w:ascii="Arial" w:cs="Arial" w:eastAsia="Arial" w:hAnsi="Arial"/>
          <w:sz w:val="15"/>
          <w:szCs w:val="15"/>
          <w:color w:val="202945"/>
          <w:vertAlign w:val="superscript"/>
        </w:rPr>
      </w:pPr>
    </w:p>
    <w:p>
      <w:pPr>
        <w:ind w:left="200" w:right="160" w:firstLine="2"/>
        <w:spacing w:after="0" w:line="330" w:lineRule="auto"/>
        <w:tabs>
          <w:tab w:leader="none" w:pos="375" w:val="left"/>
        </w:tabs>
        <w:numPr>
          <w:ilvl w:val="1"/>
          <w:numId w:val="68"/>
        </w:numPr>
        <w:rPr>
          <w:rFonts w:ascii="Arial" w:cs="Arial" w:eastAsia="Arial" w:hAnsi="Arial"/>
          <w:sz w:val="12"/>
          <w:szCs w:val="12"/>
          <w:color w:val="202945"/>
        </w:rPr>
      </w:pPr>
      <w:r>
        <w:rPr>
          <w:rFonts w:ascii="Arial" w:cs="Arial" w:eastAsia="Arial" w:hAnsi="Arial"/>
          <w:sz w:val="12"/>
          <w:szCs w:val="12"/>
          <w:color w:val="202945"/>
        </w:rPr>
        <w:t>the remaining 100,000 options were eligible to vest on each of December 22, 2022, December 22, 2023, and December 22, 2024, subject in the case of this clause (ii) to the achievement of applicable performance goals for the fiscal year ending on each such date. For fiscal year 2022 and 2023, 91% and 100% options subject to the achievement of applicable performance goals were</w:t>
      </w:r>
    </w:p>
    <w:p>
      <w:pPr>
        <w:ind w:left="200" w:right="280"/>
        <w:spacing w:after="0" w:line="329" w:lineRule="auto"/>
        <w:rPr>
          <w:rFonts w:ascii="Arial" w:cs="Arial" w:eastAsia="Arial" w:hAnsi="Arial"/>
          <w:sz w:val="12"/>
          <w:szCs w:val="12"/>
          <w:color w:val="202945"/>
        </w:rPr>
      </w:pPr>
      <w:r>
        <w:rPr>
          <w:rFonts w:ascii="Arial" w:cs="Arial" w:eastAsia="Arial" w:hAnsi="Arial"/>
          <w:sz w:val="13"/>
          <w:szCs w:val="13"/>
          <w:color w:val="202945"/>
        </w:rPr>
        <w:t>vested at the discretion of the Board. Mr. Dumbrell’s awards of 225,000 options were eligible to vest based on Mr. Dumbrell’s continued service in three equal installments on each anniversary of August 12,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128270</wp:posOffset>
            </wp:positionV>
            <wp:extent cx="925830" cy="26543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925830" cy="265430"/>
                    </a:xfrm>
                    <a:prstGeom prst="rect">
                      <a:avLst/>
                    </a:prstGeom>
                    <a:noFill/>
                  </pic:spPr>
                </pic:pic>
              </a:graphicData>
            </a:graphic>
          </wp:anchor>
        </w:drawing>
      </w:r>
    </w:p>
    <w:p>
      <w:pPr>
        <w:spacing w:after="0" w:line="340"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auto"/>
        </w:rPr>
        <w:t>64</w:t>
      </w:r>
      <w:r>
        <w:rPr>
          <w:sz w:val="20"/>
          <w:szCs w:val="20"/>
          <w:color w:val="auto"/>
        </w:rPr>
        <w:tab/>
      </w:r>
      <w:r>
        <w:rPr>
          <w:rFonts w:ascii="Arial" w:cs="Arial" w:eastAsia="Arial" w:hAnsi="Arial"/>
          <w:sz w:val="12"/>
          <w:szCs w:val="12"/>
          <w:b w:val="1"/>
          <w:bCs w:val="1"/>
          <w:color w:val="FF7F32"/>
        </w:rPr>
        <w:t xml:space="preserve">2026 </w:t>
      </w:r>
      <w:r>
        <w:rPr>
          <w:rFonts w:ascii="Arial" w:cs="Arial" w:eastAsia="Arial" w:hAnsi="Arial"/>
          <w:sz w:val="12"/>
          <w:szCs w:val="12"/>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271145</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67" w:name="page68"/>
    <w:bookmarkEnd w:id="67"/>
    <w:p>
      <w:pPr>
        <w:spacing w:after="0"/>
        <w:rPr>
          <w:sz w:val="20"/>
          <w:szCs w:val="20"/>
          <w:color w:val="auto"/>
        </w:rPr>
      </w:pPr>
      <w:r>
        <w:rPr>
          <w:rFonts w:ascii="Arial" w:cs="Arial" w:eastAsia="Arial" w:hAnsi="Arial"/>
          <w:sz w:val="13"/>
          <w:szCs w:val="13"/>
          <w:color w:val="auto"/>
        </w:rPr>
        <w:t>Executive Compensation Tables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0" w:right="360" w:hanging="192"/>
        <w:spacing w:after="0" w:line="274" w:lineRule="auto"/>
        <w:tabs>
          <w:tab w:leader="none" w:pos="186" w:val="left"/>
        </w:tabs>
        <w:numPr>
          <w:ilvl w:val="0"/>
          <w:numId w:val="69"/>
        </w:numPr>
        <w:rPr>
          <w:rFonts w:ascii="Arial" w:cs="Arial" w:eastAsia="Arial" w:hAnsi="Arial"/>
          <w:sz w:val="16"/>
          <w:szCs w:val="16"/>
          <w:color w:val="202945"/>
          <w:vertAlign w:val="superscript"/>
        </w:rPr>
      </w:pPr>
      <w:r>
        <w:rPr>
          <w:rFonts w:ascii="Arial" w:cs="Arial" w:eastAsia="Arial" w:hAnsi="Arial"/>
          <w:sz w:val="13"/>
          <w:szCs w:val="13"/>
          <w:color w:val="202945"/>
        </w:rPr>
        <w:t>Mr. Singal’s options were eligible to vest based on Mr. Singal’s continued service in three equal installments on each anniversary of September 12, 2022. Mr. Singal resigned from the Company following the Company’s fiscal year end, effective as of October 7, 2025.</w:t>
      </w:r>
    </w:p>
    <w:p>
      <w:pPr>
        <w:spacing w:after="0" w:line="87" w:lineRule="exact"/>
        <w:rPr>
          <w:rFonts w:ascii="Arial" w:cs="Arial" w:eastAsia="Arial" w:hAnsi="Arial"/>
          <w:sz w:val="16"/>
          <w:szCs w:val="16"/>
          <w:color w:val="202945"/>
          <w:vertAlign w:val="superscript"/>
        </w:rPr>
      </w:pPr>
    </w:p>
    <w:p>
      <w:pPr>
        <w:ind w:left="180" w:hanging="172"/>
        <w:spacing w:after="0"/>
        <w:tabs>
          <w:tab w:leader="none" w:pos="180" w:val="left"/>
        </w:tabs>
        <w:numPr>
          <w:ilvl w:val="0"/>
          <w:numId w:val="69"/>
        </w:numPr>
        <w:rPr>
          <w:rFonts w:ascii="Arial" w:cs="Arial" w:eastAsia="Arial" w:hAnsi="Arial"/>
          <w:sz w:val="16"/>
          <w:szCs w:val="16"/>
          <w:color w:val="202945"/>
          <w:vertAlign w:val="superscript"/>
        </w:rPr>
      </w:pPr>
      <w:r>
        <w:rPr>
          <w:rFonts w:ascii="Arial" w:cs="Arial" w:eastAsia="Arial" w:hAnsi="Arial"/>
          <w:sz w:val="13"/>
          <w:szCs w:val="13"/>
          <w:color w:val="202945"/>
        </w:rPr>
        <w:t>Ms. Novoseletsky’s options are eligible to vest based on Ms. Novoseletsky’s continued service in three equal installments on each anniversary of January 24, 2023.</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32"/>
          <w:szCs w:val="32"/>
          <w:b w:val="1"/>
          <w:bCs w:val="1"/>
          <w:color w:val="202945"/>
        </w:rPr>
        <w:t>Option Exercises and Stock Vested</w:t>
      </w:r>
    </w:p>
    <w:p>
      <w:pPr>
        <w:spacing w:after="0" w:line="269" w:lineRule="exact"/>
        <w:rPr>
          <w:sz w:val="20"/>
          <w:szCs w:val="20"/>
          <w:color w:val="auto"/>
        </w:rPr>
      </w:pPr>
    </w:p>
    <w:p>
      <w:pPr>
        <w:ind w:right="40"/>
        <w:spacing w:after="0" w:line="356" w:lineRule="auto"/>
        <w:rPr>
          <w:sz w:val="20"/>
          <w:szCs w:val="20"/>
          <w:color w:val="auto"/>
        </w:rPr>
      </w:pPr>
      <w:r>
        <w:rPr>
          <w:rFonts w:ascii="Arial" w:cs="Arial" w:eastAsia="Arial" w:hAnsi="Arial"/>
          <w:sz w:val="16"/>
          <w:szCs w:val="16"/>
          <w:color w:val="auto"/>
        </w:rPr>
        <w:t>The following table sets forth information regarding options exercised and shares of common stock acquired upon vesting by our NEOs during the fiscal year ended June 30, 2025:</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40" w:type="dxa"/>
            <w:vAlign w:val="bottom"/>
          </w:tcPr>
          <w:p>
            <w:pPr>
              <w:spacing w:after="0"/>
              <w:rPr>
                <w:sz w:val="17"/>
                <w:szCs w:val="17"/>
                <w:color w:val="auto"/>
              </w:rPr>
            </w:pPr>
          </w:p>
        </w:tc>
        <w:tc>
          <w:tcPr>
            <w:tcW w:w="5040" w:type="dxa"/>
            <w:vAlign w:val="bottom"/>
            <w:gridSpan w:val="2"/>
          </w:tcPr>
          <w:p>
            <w:pPr>
              <w:jc w:val="right"/>
              <w:ind w:right="1008"/>
              <w:spacing w:after="0"/>
              <w:rPr>
                <w:sz w:val="20"/>
                <w:szCs w:val="20"/>
                <w:color w:val="auto"/>
              </w:rPr>
            </w:pPr>
            <w:r>
              <w:rPr>
                <w:rFonts w:ascii="Arial" w:cs="Arial" w:eastAsia="Arial" w:hAnsi="Arial"/>
                <w:sz w:val="14"/>
                <w:szCs w:val="14"/>
                <w:b w:val="1"/>
                <w:bCs w:val="1"/>
                <w:color w:val="404040"/>
              </w:rPr>
              <w:t>Option Awards</w:t>
            </w:r>
          </w:p>
        </w:tc>
        <w:tc>
          <w:tcPr>
            <w:tcW w:w="2460" w:type="dxa"/>
            <w:vAlign w:val="bottom"/>
            <w:gridSpan w:val="2"/>
          </w:tcPr>
          <w:p>
            <w:pPr>
              <w:jc w:val="right"/>
              <w:ind w:right="688"/>
              <w:spacing w:after="0"/>
              <w:rPr>
                <w:sz w:val="20"/>
                <w:szCs w:val="20"/>
                <w:color w:val="auto"/>
              </w:rPr>
            </w:pPr>
            <w:r>
              <w:rPr>
                <w:rFonts w:ascii="Arial" w:cs="Arial" w:eastAsia="Arial" w:hAnsi="Arial"/>
                <w:sz w:val="14"/>
                <w:szCs w:val="14"/>
                <w:b w:val="1"/>
                <w:bCs w:val="1"/>
                <w:color w:val="404040"/>
              </w:rPr>
              <w:t>Stock Awards</w:t>
            </w:r>
          </w:p>
        </w:tc>
        <w:tc>
          <w:tcPr>
            <w:tcW w:w="0" w:type="dxa"/>
            <w:vAlign w:val="bottom"/>
          </w:tcPr>
          <w:p>
            <w:pPr>
              <w:spacing w:after="0"/>
              <w:rPr>
                <w:sz w:val="1"/>
                <w:szCs w:val="1"/>
                <w:color w:val="auto"/>
              </w:rPr>
            </w:pPr>
          </w:p>
        </w:tc>
      </w:tr>
      <w:tr>
        <w:trPr>
          <w:trHeight w:val="297"/>
        </w:trPr>
        <w:tc>
          <w:tcPr>
            <w:tcW w:w="3740" w:type="dxa"/>
            <w:vAlign w:val="bottom"/>
          </w:tcPr>
          <w:p>
            <w:pPr>
              <w:spacing w:after="0"/>
              <w:rPr>
                <w:sz w:val="24"/>
                <w:szCs w:val="24"/>
                <w:color w:val="auto"/>
              </w:rPr>
            </w:pPr>
          </w:p>
        </w:tc>
        <w:tc>
          <w:tcPr>
            <w:tcW w:w="3520" w:type="dxa"/>
            <w:vAlign w:val="bottom"/>
          </w:tcPr>
          <w:p>
            <w:pPr>
              <w:jc w:val="right"/>
              <w:ind w:right="48"/>
              <w:spacing w:after="0"/>
              <w:rPr>
                <w:sz w:val="20"/>
                <w:szCs w:val="20"/>
                <w:color w:val="auto"/>
              </w:rPr>
            </w:pPr>
            <w:r>
              <w:rPr>
                <w:rFonts w:ascii="Arial" w:cs="Arial" w:eastAsia="Arial" w:hAnsi="Arial"/>
                <w:sz w:val="14"/>
                <w:szCs w:val="14"/>
                <w:b w:val="1"/>
                <w:bCs w:val="1"/>
                <w:color w:val="404040"/>
              </w:rPr>
              <w:t>Number of</w:t>
            </w:r>
          </w:p>
        </w:tc>
        <w:tc>
          <w:tcPr>
            <w:tcW w:w="1520" w:type="dxa"/>
            <w:vAlign w:val="bottom"/>
          </w:tcPr>
          <w:p>
            <w:pPr>
              <w:spacing w:after="0"/>
              <w:rPr>
                <w:sz w:val="24"/>
                <w:szCs w:val="24"/>
                <w:color w:val="auto"/>
              </w:rPr>
            </w:pPr>
          </w:p>
        </w:tc>
        <w:tc>
          <w:tcPr>
            <w:tcW w:w="1420" w:type="dxa"/>
            <w:vAlign w:val="bottom"/>
          </w:tcPr>
          <w:p>
            <w:pPr>
              <w:jc w:val="right"/>
              <w:ind w:right="168"/>
              <w:spacing w:after="0"/>
              <w:rPr>
                <w:sz w:val="20"/>
                <w:szCs w:val="20"/>
                <w:color w:val="auto"/>
              </w:rPr>
            </w:pPr>
            <w:r>
              <w:rPr>
                <w:rFonts w:ascii="Arial" w:cs="Arial" w:eastAsia="Arial" w:hAnsi="Arial"/>
                <w:sz w:val="14"/>
                <w:szCs w:val="14"/>
                <w:b w:val="1"/>
                <w:bCs w:val="1"/>
                <w:color w:val="404040"/>
              </w:rPr>
              <w:t>Shares</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404040"/>
              </w:rPr>
              <w:t>Value</w:t>
            </w:r>
          </w:p>
        </w:tc>
        <w:tc>
          <w:tcPr>
            <w:tcW w:w="0" w:type="dxa"/>
            <w:vAlign w:val="bottom"/>
          </w:tcPr>
          <w:p>
            <w:pPr>
              <w:spacing w:after="0"/>
              <w:rPr>
                <w:sz w:val="1"/>
                <w:szCs w:val="1"/>
                <w:color w:val="auto"/>
              </w:rPr>
            </w:pPr>
          </w:p>
        </w:tc>
      </w:tr>
      <w:tr>
        <w:trPr>
          <w:trHeight w:val="202"/>
        </w:trPr>
        <w:tc>
          <w:tcPr>
            <w:tcW w:w="3740" w:type="dxa"/>
            <w:vAlign w:val="bottom"/>
          </w:tcPr>
          <w:p>
            <w:pPr>
              <w:spacing w:after="0"/>
              <w:rPr>
                <w:sz w:val="17"/>
                <w:szCs w:val="17"/>
                <w:color w:val="auto"/>
              </w:rPr>
            </w:pPr>
          </w:p>
        </w:tc>
        <w:tc>
          <w:tcPr>
            <w:tcW w:w="3520" w:type="dxa"/>
            <w:vAlign w:val="bottom"/>
          </w:tcPr>
          <w:p>
            <w:pPr>
              <w:jc w:val="center"/>
              <w:ind w:left="2728"/>
              <w:spacing w:after="0"/>
              <w:rPr>
                <w:sz w:val="20"/>
                <w:szCs w:val="20"/>
                <w:color w:val="auto"/>
              </w:rPr>
            </w:pPr>
            <w:r>
              <w:rPr>
                <w:rFonts w:ascii="Arial" w:cs="Arial" w:eastAsia="Arial" w:hAnsi="Arial"/>
                <w:sz w:val="14"/>
                <w:szCs w:val="14"/>
                <w:b w:val="1"/>
                <w:bCs w:val="1"/>
                <w:color w:val="404040"/>
              </w:rPr>
              <w:t>Shares</w:t>
            </w:r>
          </w:p>
        </w:tc>
        <w:tc>
          <w:tcPr>
            <w:tcW w:w="1520" w:type="dxa"/>
            <w:vAlign w:val="bottom"/>
          </w:tcPr>
          <w:p>
            <w:pPr>
              <w:spacing w:after="0"/>
              <w:rPr>
                <w:sz w:val="17"/>
                <w:szCs w:val="17"/>
                <w:color w:val="auto"/>
              </w:rPr>
            </w:pPr>
          </w:p>
        </w:tc>
        <w:tc>
          <w:tcPr>
            <w:tcW w:w="1420" w:type="dxa"/>
            <w:vAlign w:val="bottom"/>
          </w:tcPr>
          <w:p>
            <w:pPr>
              <w:jc w:val="right"/>
              <w:ind w:right="168"/>
              <w:spacing w:after="0"/>
              <w:rPr>
                <w:sz w:val="20"/>
                <w:szCs w:val="20"/>
                <w:color w:val="auto"/>
              </w:rPr>
            </w:pPr>
            <w:r>
              <w:rPr>
                <w:rFonts w:ascii="Arial" w:cs="Arial" w:eastAsia="Arial" w:hAnsi="Arial"/>
                <w:sz w:val="14"/>
                <w:szCs w:val="14"/>
                <w:b w:val="1"/>
                <w:bCs w:val="1"/>
                <w:color w:val="404040"/>
              </w:rPr>
              <w:t>Acquired on</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404040"/>
              </w:rPr>
              <w:t>Realized on</w:t>
            </w:r>
          </w:p>
        </w:tc>
        <w:tc>
          <w:tcPr>
            <w:tcW w:w="0" w:type="dxa"/>
            <w:vAlign w:val="bottom"/>
          </w:tcPr>
          <w:p>
            <w:pPr>
              <w:spacing w:after="0"/>
              <w:rPr>
                <w:sz w:val="1"/>
                <w:szCs w:val="1"/>
                <w:color w:val="auto"/>
              </w:rPr>
            </w:pPr>
          </w:p>
        </w:tc>
      </w:tr>
      <w:tr>
        <w:trPr>
          <w:trHeight w:val="195"/>
        </w:trPr>
        <w:tc>
          <w:tcPr>
            <w:tcW w:w="3740" w:type="dxa"/>
            <w:vAlign w:val="bottom"/>
          </w:tcPr>
          <w:p>
            <w:pPr>
              <w:spacing w:after="0"/>
              <w:rPr>
                <w:sz w:val="16"/>
                <w:szCs w:val="16"/>
                <w:color w:val="auto"/>
              </w:rPr>
            </w:pPr>
          </w:p>
        </w:tc>
        <w:tc>
          <w:tcPr>
            <w:tcW w:w="3520" w:type="dxa"/>
            <w:vAlign w:val="bottom"/>
          </w:tcPr>
          <w:p>
            <w:pPr>
              <w:jc w:val="right"/>
              <w:ind w:right="48"/>
              <w:spacing w:after="0"/>
              <w:rPr>
                <w:sz w:val="20"/>
                <w:szCs w:val="20"/>
                <w:color w:val="auto"/>
              </w:rPr>
            </w:pPr>
            <w:r>
              <w:rPr>
                <w:rFonts w:ascii="Arial" w:cs="Arial" w:eastAsia="Arial" w:hAnsi="Arial"/>
                <w:sz w:val="14"/>
                <w:szCs w:val="14"/>
                <w:b w:val="1"/>
                <w:bCs w:val="1"/>
                <w:color w:val="404040"/>
              </w:rPr>
              <w:t>Acquired</w:t>
            </w:r>
          </w:p>
        </w:tc>
        <w:tc>
          <w:tcPr>
            <w:tcW w:w="1520" w:type="dxa"/>
            <w:vAlign w:val="bottom"/>
          </w:tcPr>
          <w:p>
            <w:pPr>
              <w:jc w:val="right"/>
              <w:ind w:right="288"/>
              <w:spacing w:after="0"/>
              <w:rPr>
                <w:sz w:val="20"/>
                <w:szCs w:val="20"/>
                <w:color w:val="auto"/>
              </w:rPr>
            </w:pPr>
            <w:r>
              <w:rPr>
                <w:rFonts w:ascii="Arial" w:cs="Arial" w:eastAsia="Arial" w:hAnsi="Arial"/>
                <w:sz w:val="14"/>
                <w:szCs w:val="14"/>
                <w:b w:val="1"/>
                <w:bCs w:val="1"/>
                <w:color w:val="404040"/>
              </w:rPr>
              <w:t>Value Realized</w:t>
            </w:r>
          </w:p>
        </w:tc>
        <w:tc>
          <w:tcPr>
            <w:tcW w:w="1420" w:type="dxa"/>
            <w:vAlign w:val="bottom"/>
          </w:tcPr>
          <w:p>
            <w:pPr>
              <w:jc w:val="right"/>
              <w:ind w:right="168"/>
              <w:spacing w:after="0"/>
              <w:rPr>
                <w:sz w:val="20"/>
                <w:szCs w:val="20"/>
                <w:color w:val="auto"/>
              </w:rPr>
            </w:pPr>
            <w:r>
              <w:rPr>
                <w:rFonts w:ascii="Arial" w:cs="Arial" w:eastAsia="Arial" w:hAnsi="Arial"/>
                <w:sz w:val="14"/>
                <w:szCs w:val="14"/>
                <w:b w:val="1"/>
                <w:bCs w:val="1"/>
                <w:color w:val="404040"/>
              </w:rPr>
              <w:t>Vesting</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404040"/>
              </w:rPr>
              <w:t>Vesting</w:t>
            </w:r>
          </w:p>
        </w:tc>
        <w:tc>
          <w:tcPr>
            <w:tcW w:w="0" w:type="dxa"/>
            <w:vAlign w:val="bottom"/>
          </w:tcPr>
          <w:p>
            <w:pPr>
              <w:spacing w:after="0"/>
              <w:rPr>
                <w:sz w:val="1"/>
                <w:szCs w:val="1"/>
                <w:color w:val="auto"/>
              </w:rPr>
            </w:pPr>
          </w:p>
        </w:tc>
      </w:tr>
      <w:tr>
        <w:trPr>
          <w:trHeight w:val="210"/>
        </w:trPr>
        <w:tc>
          <w:tcPr>
            <w:tcW w:w="3740" w:type="dxa"/>
            <w:vAlign w:val="bottom"/>
          </w:tcPr>
          <w:p>
            <w:pPr>
              <w:ind w:left="20"/>
              <w:spacing w:after="0"/>
              <w:rPr>
                <w:sz w:val="20"/>
                <w:szCs w:val="20"/>
                <w:color w:val="auto"/>
              </w:rPr>
            </w:pPr>
            <w:r>
              <w:rPr>
                <w:rFonts w:ascii="Arial" w:cs="Arial" w:eastAsia="Arial" w:hAnsi="Arial"/>
                <w:sz w:val="14"/>
                <w:szCs w:val="14"/>
                <w:b w:val="1"/>
                <w:bCs w:val="1"/>
                <w:color w:val="404040"/>
              </w:rPr>
              <w:t>Name</w:t>
            </w:r>
          </w:p>
        </w:tc>
        <w:tc>
          <w:tcPr>
            <w:tcW w:w="3520" w:type="dxa"/>
            <w:vAlign w:val="bottom"/>
          </w:tcPr>
          <w:p>
            <w:pPr>
              <w:jc w:val="right"/>
              <w:ind w:right="48"/>
              <w:spacing w:after="0"/>
              <w:rPr>
                <w:sz w:val="20"/>
                <w:szCs w:val="20"/>
                <w:color w:val="auto"/>
              </w:rPr>
            </w:pPr>
            <w:r>
              <w:rPr>
                <w:rFonts w:ascii="Arial" w:cs="Arial" w:eastAsia="Arial" w:hAnsi="Arial"/>
                <w:sz w:val="14"/>
                <w:szCs w:val="14"/>
                <w:b w:val="1"/>
                <w:bCs w:val="1"/>
                <w:color w:val="404040"/>
              </w:rPr>
              <w:t>on Exercise (#)</w:t>
            </w:r>
          </w:p>
        </w:tc>
        <w:tc>
          <w:tcPr>
            <w:tcW w:w="1520" w:type="dxa"/>
            <w:vAlign w:val="bottom"/>
          </w:tcPr>
          <w:p>
            <w:pPr>
              <w:jc w:val="right"/>
              <w:ind w:right="288"/>
              <w:spacing w:after="0"/>
              <w:rPr>
                <w:sz w:val="20"/>
                <w:szCs w:val="20"/>
                <w:color w:val="auto"/>
              </w:rPr>
            </w:pPr>
            <w:r>
              <w:rPr>
                <w:rFonts w:ascii="Arial" w:cs="Arial" w:eastAsia="Arial" w:hAnsi="Arial"/>
                <w:sz w:val="14"/>
                <w:szCs w:val="14"/>
                <w:b w:val="1"/>
                <w:bCs w:val="1"/>
                <w:color w:val="404040"/>
              </w:rPr>
              <w:t>on Exercise ($)</w:t>
            </w:r>
          </w:p>
        </w:tc>
        <w:tc>
          <w:tcPr>
            <w:tcW w:w="1420" w:type="dxa"/>
            <w:vAlign w:val="bottom"/>
          </w:tcPr>
          <w:p>
            <w:pPr>
              <w:jc w:val="right"/>
              <w:ind w:right="168"/>
              <w:spacing w:after="0"/>
              <w:rPr>
                <w:sz w:val="20"/>
                <w:szCs w:val="20"/>
                <w:color w:val="auto"/>
              </w:rPr>
            </w:pPr>
            <w:r>
              <w:rPr>
                <w:rFonts w:ascii="Arial" w:cs="Arial" w:eastAsia="Arial" w:hAnsi="Arial"/>
                <w:sz w:val="14"/>
                <w:szCs w:val="14"/>
                <w:b w:val="1"/>
                <w:bCs w:val="1"/>
                <w:color w:val="404040"/>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404040"/>
              </w:rPr>
              <w:t>($)</w:t>
            </w:r>
          </w:p>
        </w:tc>
        <w:tc>
          <w:tcPr>
            <w:tcW w:w="0" w:type="dxa"/>
            <w:vAlign w:val="bottom"/>
          </w:tcPr>
          <w:p>
            <w:pPr>
              <w:spacing w:after="0"/>
              <w:rPr>
                <w:sz w:val="1"/>
                <w:szCs w:val="1"/>
                <w:color w:val="auto"/>
              </w:rPr>
            </w:pPr>
          </w:p>
        </w:tc>
      </w:tr>
      <w:tr>
        <w:trPr>
          <w:trHeight w:val="43"/>
        </w:trPr>
        <w:tc>
          <w:tcPr>
            <w:tcW w:w="3740" w:type="dxa"/>
            <w:vAlign w:val="bottom"/>
            <w:tcBorders>
              <w:bottom w:val="single" w:sz="8" w:color="auto"/>
            </w:tcBorders>
          </w:tcPr>
          <w:p>
            <w:pPr>
              <w:spacing w:after="0"/>
              <w:rPr>
                <w:sz w:val="3"/>
                <w:szCs w:val="3"/>
                <w:color w:val="auto"/>
              </w:rPr>
            </w:pPr>
          </w:p>
        </w:tc>
        <w:tc>
          <w:tcPr>
            <w:tcW w:w="35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3740" w:type="dxa"/>
            <w:vAlign w:val="bottom"/>
            <w:vMerge w:val="restart"/>
          </w:tcPr>
          <w:p>
            <w:pPr>
              <w:ind w:left="20"/>
              <w:spacing w:after="0"/>
              <w:rPr>
                <w:sz w:val="20"/>
                <w:szCs w:val="20"/>
                <w:color w:val="auto"/>
              </w:rPr>
            </w:pPr>
            <w:r>
              <w:rPr>
                <w:rFonts w:ascii="Arial" w:cs="Arial" w:eastAsia="Arial" w:hAnsi="Arial"/>
                <w:sz w:val="14"/>
                <w:szCs w:val="14"/>
                <w:b w:val="1"/>
                <w:bCs w:val="1"/>
                <w:color w:val="FF7F32"/>
              </w:rPr>
              <w:t>Ravi Venkatesan</w:t>
            </w:r>
          </w:p>
        </w:tc>
        <w:tc>
          <w:tcPr>
            <w:tcW w:w="3520" w:type="dxa"/>
            <w:vAlign w:val="bottom"/>
            <w:vMerge w:val="restart"/>
          </w:tcPr>
          <w:p>
            <w:pPr>
              <w:jc w:val="center"/>
              <w:ind w:left="2748"/>
              <w:spacing w:after="0"/>
              <w:rPr>
                <w:sz w:val="20"/>
                <w:szCs w:val="20"/>
                <w:color w:val="auto"/>
              </w:rPr>
            </w:pPr>
            <w:r>
              <w:rPr>
                <w:rFonts w:ascii="Arial" w:cs="Arial" w:eastAsia="Arial" w:hAnsi="Arial"/>
                <w:sz w:val="14"/>
                <w:szCs w:val="14"/>
                <w:color w:val="404040"/>
                <w:w w:val="99"/>
              </w:rPr>
              <w:t>—</w:t>
            </w:r>
          </w:p>
        </w:tc>
        <w:tc>
          <w:tcPr>
            <w:tcW w:w="1520" w:type="dxa"/>
            <w:vAlign w:val="bottom"/>
            <w:vMerge w:val="restart"/>
          </w:tcPr>
          <w:p>
            <w:pPr>
              <w:ind w:left="860"/>
              <w:spacing w:after="0"/>
              <w:rPr>
                <w:sz w:val="20"/>
                <w:szCs w:val="20"/>
                <w:color w:val="auto"/>
              </w:rPr>
            </w:pPr>
            <w:r>
              <w:rPr>
                <w:rFonts w:ascii="Arial" w:cs="Arial" w:eastAsia="Arial" w:hAnsi="Arial"/>
                <w:sz w:val="14"/>
                <w:szCs w:val="14"/>
                <w:color w:val="404040"/>
              </w:rPr>
              <w:t>—</w:t>
            </w:r>
          </w:p>
        </w:tc>
        <w:tc>
          <w:tcPr>
            <w:tcW w:w="1420" w:type="dxa"/>
            <w:vAlign w:val="bottom"/>
          </w:tcPr>
          <w:p>
            <w:pPr>
              <w:jc w:val="center"/>
              <w:ind w:right="148"/>
              <w:spacing w:after="0"/>
              <w:rPr>
                <w:sz w:val="20"/>
                <w:szCs w:val="20"/>
                <w:color w:val="auto"/>
              </w:rPr>
            </w:pPr>
            <w:r>
              <w:rPr>
                <w:rFonts w:ascii="Arial" w:cs="Arial" w:eastAsia="Arial" w:hAnsi="Arial"/>
                <w:sz w:val="14"/>
                <w:szCs w:val="14"/>
                <w:color w:val="auto"/>
              </w:rPr>
              <w:t>18,323</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143,114</w:t>
            </w:r>
          </w:p>
        </w:tc>
        <w:tc>
          <w:tcPr>
            <w:tcW w:w="0" w:type="dxa"/>
            <w:vAlign w:val="bottom"/>
          </w:tcPr>
          <w:p>
            <w:pPr>
              <w:spacing w:after="0"/>
              <w:rPr>
                <w:sz w:val="1"/>
                <w:szCs w:val="1"/>
                <w:color w:val="auto"/>
              </w:rPr>
            </w:pPr>
          </w:p>
        </w:tc>
      </w:tr>
      <w:tr>
        <w:trPr>
          <w:trHeight w:val="60"/>
        </w:trPr>
        <w:tc>
          <w:tcPr>
            <w:tcW w:w="3740" w:type="dxa"/>
            <w:vAlign w:val="bottom"/>
            <w:vMerge w:val="continue"/>
          </w:tcPr>
          <w:p>
            <w:pPr>
              <w:spacing w:after="0"/>
              <w:rPr>
                <w:sz w:val="5"/>
                <w:szCs w:val="5"/>
                <w:color w:val="auto"/>
              </w:rPr>
            </w:pPr>
          </w:p>
        </w:tc>
        <w:tc>
          <w:tcPr>
            <w:tcW w:w="3520" w:type="dxa"/>
            <w:vAlign w:val="bottom"/>
            <w:vMerge w:val="continue"/>
          </w:tcPr>
          <w:p>
            <w:pPr>
              <w:spacing w:after="0"/>
              <w:rPr>
                <w:sz w:val="5"/>
                <w:szCs w:val="5"/>
                <w:color w:val="auto"/>
              </w:rPr>
            </w:pPr>
          </w:p>
        </w:tc>
        <w:tc>
          <w:tcPr>
            <w:tcW w:w="1520" w:type="dxa"/>
            <w:vAlign w:val="bottom"/>
            <w:vMerge w:val="continue"/>
          </w:tcPr>
          <w:p>
            <w:pPr>
              <w:spacing w:after="0"/>
              <w:rPr>
                <w:sz w:val="5"/>
                <w:szCs w:val="5"/>
                <w:color w:val="auto"/>
              </w:rPr>
            </w:pPr>
          </w:p>
        </w:tc>
        <w:tc>
          <w:tcPr>
            <w:tcW w:w="14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740" w:type="dxa"/>
            <w:vAlign w:val="bottom"/>
            <w:vMerge w:val="restart"/>
          </w:tcPr>
          <w:p>
            <w:pPr>
              <w:ind w:left="20"/>
              <w:spacing w:after="0"/>
              <w:rPr>
                <w:sz w:val="20"/>
                <w:szCs w:val="20"/>
                <w:color w:val="auto"/>
              </w:rPr>
            </w:pPr>
            <w:r>
              <w:rPr>
                <w:rFonts w:ascii="Arial" w:cs="Arial" w:eastAsia="Arial" w:hAnsi="Arial"/>
                <w:sz w:val="14"/>
                <w:szCs w:val="14"/>
                <w:b w:val="1"/>
                <w:bCs w:val="1"/>
                <w:color w:val="FF7F32"/>
              </w:rPr>
              <w:t>Scott Stewart</w:t>
            </w:r>
          </w:p>
        </w:tc>
        <w:tc>
          <w:tcPr>
            <w:tcW w:w="3520" w:type="dxa"/>
            <w:vAlign w:val="bottom"/>
            <w:vMerge w:val="restart"/>
          </w:tcPr>
          <w:p>
            <w:pPr>
              <w:jc w:val="center"/>
              <w:ind w:left="2748"/>
              <w:spacing w:after="0"/>
              <w:rPr>
                <w:sz w:val="20"/>
                <w:szCs w:val="20"/>
                <w:color w:val="auto"/>
              </w:rPr>
            </w:pPr>
            <w:r>
              <w:rPr>
                <w:rFonts w:ascii="Arial" w:cs="Arial" w:eastAsia="Arial" w:hAnsi="Arial"/>
                <w:sz w:val="14"/>
                <w:szCs w:val="14"/>
                <w:color w:val="404040"/>
                <w:w w:val="99"/>
              </w:rPr>
              <w:t>—</w:t>
            </w:r>
          </w:p>
        </w:tc>
        <w:tc>
          <w:tcPr>
            <w:tcW w:w="1520" w:type="dxa"/>
            <w:vAlign w:val="bottom"/>
            <w:vMerge w:val="restart"/>
          </w:tcPr>
          <w:p>
            <w:pPr>
              <w:ind w:left="860"/>
              <w:spacing w:after="0"/>
              <w:rPr>
                <w:sz w:val="20"/>
                <w:szCs w:val="20"/>
                <w:color w:val="auto"/>
              </w:rPr>
            </w:pPr>
            <w:r>
              <w:rPr>
                <w:rFonts w:ascii="Arial" w:cs="Arial" w:eastAsia="Arial" w:hAnsi="Arial"/>
                <w:sz w:val="14"/>
                <w:szCs w:val="14"/>
                <w:color w:val="404040"/>
              </w:rPr>
              <w:t>—</w:t>
            </w:r>
          </w:p>
        </w:tc>
        <w:tc>
          <w:tcPr>
            <w:tcW w:w="1420" w:type="dxa"/>
            <w:vAlign w:val="bottom"/>
            <w:vMerge w:val="restart"/>
          </w:tcPr>
          <w:p>
            <w:pPr>
              <w:jc w:val="center"/>
              <w:ind w:right="168"/>
              <w:spacing w:after="0"/>
              <w:rPr>
                <w:sz w:val="20"/>
                <w:szCs w:val="20"/>
                <w:color w:val="auto"/>
              </w:rPr>
            </w:pPr>
            <w:r>
              <w:rPr>
                <w:rFonts w:ascii="Arial" w:cs="Arial" w:eastAsia="Arial" w:hAnsi="Arial"/>
                <w:sz w:val="14"/>
                <w:szCs w:val="14"/>
                <w:color w:val="auto"/>
                <w:w w:val="97"/>
              </w:rPr>
              <w:t>11,161</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85,340</w:t>
            </w:r>
          </w:p>
        </w:tc>
        <w:tc>
          <w:tcPr>
            <w:tcW w:w="0" w:type="dxa"/>
            <w:vAlign w:val="bottom"/>
          </w:tcPr>
          <w:p>
            <w:pPr>
              <w:spacing w:after="0"/>
              <w:rPr>
                <w:sz w:val="1"/>
                <w:szCs w:val="1"/>
                <w:color w:val="auto"/>
              </w:rPr>
            </w:pPr>
          </w:p>
        </w:tc>
      </w:tr>
      <w:tr>
        <w:trPr>
          <w:trHeight w:val="60"/>
        </w:trPr>
        <w:tc>
          <w:tcPr>
            <w:tcW w:w="3740" w:type="dxa"/>
            <w:vAlign w:val="bottom"/>
            <w:vMerge w:val="continue"/>
          </w:tcPr>
          <w:p>
            <w:pPr>
              <w:spacing w:after="0"/>
              <w:rPr>
                <w:sz w:val="5"/>
                <w:szCs w:val="5"/>
                <w:color w:val="auto"/>
              </w:rPr>
            </w:pPr>
          </w:p>
        </w:tc>
        <w:tc>
          <w:tcPr>
            <w:tcW w:w="3520" w:type="dxa"/>
            <w:vAlign w:val="bottom"/>
            <w:vMerge w:val="continue"/>
          </w:tcPr>
          <w:p>
            <w:pPr>
              <w:spacing w:after="0"/>
              <w:rPr>
                <w:sz w:val="5"/>
                <w:szCs w:val="5"/>
                <w:color w:val="auto"/>
              </w:rPr>
            </w:pPr>
          </w:p>
        </w:tc>
        <w:tc>
          <w:tcPr>
            <w:tcW w:w="152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740" w:type="dxa"/>
            <w:vAlign w:val="bottom"/>
            <w:vMerge w:val="restart"/>
          </w:tcPr>
          <w:p>
            <w:pPr>
              <w:ind w:left="20"/>
              <w:spacing w:after="0"/>
              <w:rPr>
                <w:sz w:val="20"/>
                <w:szCs w:val="20"/>
                <w:color w:val="auto"/>
              </w:rPr>
            </w:pPr>
            <w:r>
              <w:rPr>
                <w:rFonts w:ascii="Arial" w:cs="Arial" w:eastAsia="Arial" w:hAnsi="Arial"/>
                <w:sz w:val="14"/>
                <w:szCs w:val="14"/>
                <w:b w:val="1"/>
                <w:bCs w:val="1"/>
                <w:color w:val="FF7F32"/>
              </w:rPr>
              <w:t>Jeffrey Dumbrell</w:t>
            </w:r>
          </w:p>
        </w:tc>
        <w:tc>
          <w:tcPr>
            <w:tcW w:w="3520" w:type="dxa"/>
            <w:vAlign w:val="bottom"/>
            <w:vMerge w:val="restart"/>
          </w:tcPr>
          <w:p>
            <w:pPr>
              <w:jc w:val="center"/>
              <w:ind w:left="2748"/>
              <w:spacing w:after="0"/>
              <w:rPr>
                <w:sz w:val="20"/>
                <w:szCs w:val="20"/>
                <w:color w:val="auto"/>
              </w:rPr>
            </w:pPr>
            <w:r>
              <w:rPr>
                <w:rFonts w:ascii="Arial" w:cs="Arial" w:eastAsia="Arial" w:hAnsi="Arial"/>
                <w:sz w:val="14"/>
                <w:szCs w:val="14"/>
                <w:color w:val="404040"/>
                <w:w w:val="99"/>
              </w:rPr>
              <w:t>—</w:t>
            </w:r>
          </w:p>
        </w:tc>
        <w:tc>
          <w:tcPr>
            <w:tcW w:w="1520" w:type="dxa"/>
            <w:vAlign w:val="bottom"/>
            <w:vMerge w:val="restart"/>
          </w:tcPr>
          <w:p>
            <w:pPr>
              <w:ind w:left="860"/>
              <w:spacing w:after="0"/>
              <w:rPr>
                <w:sz w:val="20"/>
                <w:szCs w:val="20"/>
                <w:color w:val="auto"/>
              </w:rPr>
            </w:pPr>
            <w:r>
              <w:rPr>
                <w:rFonts w:ascii="Arial" w:cs="Arial" w:eastAsia="Arial" w:hAnsi="Arial"/>
                <w:sz w:val="14"/>
                <w:szCs w:val="14"/>
                <w:color w:val="404040"/>
              </w:rPr>
              <w:t>—</w:t>
            </w:r>
          </w:p>
        </w:tc>
        <w:tc>
          <w:tcPr>
            <w:tcW w:w="1420" w:type="dxa"/>
            <w:vAlign w:val="bottom"/>
            <w:vMerge w:val="restart"/>
          </w:tcPr>
          <w:p>
            <w:pPr>
              <w:jc w:val="center"/>
              <w:ind w:right="148"/>
              <w:spacing w:after="0"/>
              <w:rPr>
                <w:sz w:val="20"/>
                <w:szCs w:val="20"/>
                <w:color w:val="auto"/>
              </w:rPr>
            </w:pPr>
            <w:r>
              <w:rPr>
                <w:rFonts w:ascii="Arial" w:cs="Arial" w:eastAsia="Arial" w:hAnsi="Arial"/>
                <w:sz w:val="14"/>
                <w:szCs w:val="14"/>
                <w:color w:val="auto"/>
              </w:rPr>
              <w:t>9,405</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67,007</w:t>
            </w:r>
          </w:p>
        </w:tc>
        <w:tc>
          <w:tcPr>
            <w:tcW w:w="0" w:type="dxa"/>
            <w:vAlign w:val="bottom"/>
          </w:tcPr>
          <w:p>
            <w:pPr>
              <w:spacing w:after="0"/>
              <w:rPr>
                <w:sz w:val="1"/>
                <w:szCs w:val="1"/>
                <w:color w:val="auto"/>
              </w:rPr>
            </w:pPr>
          </w:p>
        </w:tc>
      </w:tr>
      <w:tr>
        <w:trPr>
          <w:trHeight w:val="60"/>
        </w:trPr>
        <w:tc>
          <w:tcPr>
            <w:tcW w:w="3740" w:type="dxa"/>
            <w:vAlign w:val="bottom"/>
            <w:vMerge w:val="continue"/>
          </w:tcPr>
          <w:p>
            <w:pPr>
              <w:spacing w:after="0"/>
              <w:rPr>
                <w:sz w:val="5"/>
                <w:szCs w:val="5"/>
                <w:color w:val="auto"/>
              </w:rPr>
            </w:pPr>
          </w:p>
        </w:tc>
        <w:tc>
          <w:tcPr>
            <w:tcW w:w="3520" w:type="dxa"/>
            <w:vAlign w:val="bottom"/>
            <w:vMerge w:val="continue"/>
          </w:tcPr>
          <w:p>
            <w:pPr>
              <w:spacing w:after="0"/>
              <w:rPr>
                <w:sz w:val="5"/>
                <w:szCs w:val="5"/>
                <w:color w:val="auto"/>
              </w:rPr>
            </w:pPr>
          </w:p>
        </w:tc>
        <w:tc>
          <w:tcPr>
            <w:tcW w:w="152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3740" w:type="dxa"/>
            <w:vAlign w:val="bottom"/>
          </w:tcPr>
          <w:p>
            <w:pPr>
              <w:ind w:left="20"/>
              <w:spacing w:after="0"/>
              <w:rPr>
                <w:sz w:val="20"/>
                <w:szCs w:val="20"/>
                <w:color w:val="auto"/>
              </w:rPr>
            </w:pPr>
            <w:r>
              <w:rPr>
                <w:rFonts w:ascii="Arial" w:cs="Arial" w:eastAsia="Arial" w:hAnsi="Arial"/>
                <w:sz w:val="14"/>
                <w:szCs w:val="14"/>
                <w:b w:val="1"/>
                <w:bCs w:val="1"/>
                <w:color w:val="FF7F32"/>
              </w:rPr>
              <w:t>Anna Novoseletsky</w:t>
            </w:r>
          </w:p>
        </w:tc>
        <w:tc>
          <w:tcPr>
            <w:tcW w:w="3520" w:type="dxa"/>
            <w:vAlign w:val="bottom"/>
          </w:tcPr>
          <w:p>
            <w:pPr>
              <w:jc w:val="center"/>
              <w:ind w:left="2748"/>
              <w:spacing w:after="0"/>
              <w:rPr>
                <w:sz w:val="20"/>
                <w:szCs w:val="20"/>
                <w:color w:val="auto"/>
              </w:rPr>
            </w:pPr>
            <w:r>
              <w:rPr>
                <w:rFonts w:ascii="Arial" w:cs="Arial" w:eastAsia="Arial" w:hAnsi="Arial"/>
                <w:sz w:val="14"/>
                <w:szCs w:val="14"/>
                <w:color w:val="404040"/>
                <w:w w:val="99"/>
              </w:rPr>
              <w:t>—</w:t>
            </w:r>
          </w:p>
        </w:tc>
        <w:tc>
          <w:tcPr>
            <w:tcW w:w="1520" w:type="dxa"/>
            <w:vAlign w:val="bottom"/>
          </w:tcPr>
          <w:p>
            <w:pPr>
              <w:ind w:left="860"/>
              <w:spacing w:after="0"/>
              <w:rPr>
                <w:sz w:val="20"/>
                <w:szCs w:val="20"/>
                <w:color w:val="auto"/>
              </w:rPr>
            </w:pPr>
            <w:r>
              <w:rPr>
                <w:rFonts w:ascii="Arial" w:cs="Arial" w:eastAsia="Arial" w:hAnsi="Arial"/>
                <w:sz w:val="14"/>
                <w:szCs w:val="14"/>
                <w:color w:val="404040"/>
              </w:rPr>
              <w:t>—</w:t>
            </w:r>
          </w:p>
        </w:tc>
        <w:tc>
          <w:tcPr>
            <w:tcW w:w="1420" w:type="dxa"/>
            <w:vAlign w:val="bottom"/>
          </w:tcPr>
          <w:p>
            <w:pPr>
              <w:jc w:val="center"/>
              <w:ind w:right="168"/>
              <w:spacing w:after="0"/>
              <w:rPr>
                <w:sz w:val="20"/>
                <w:szCs w:val="20"/>
                <w:color w:val="auto"/>
              </w:rPr>
            </w:pPr>
            <w:r>
              <w:rPr>
                <w:rFonts w:ascii="Arial" w:cs="Arial" w:eastAsia="Arial" w:hAnsi="Arial"/>
                <w:sz w:val="14"/>
                <w:szCs w:val="14"/>
                <w:color w:val="auto"/>
                <w:w w:val="96"/>
              </w:rPr>
              <w:t>5,119</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37,983</w:t>
            </w:r>
          </w:p>
        </w:tc>
        <w:tc>
          <w:tcPr>
            <w:tcW w:w="0" w:type="dxa"/>
            <w:vAlign w:val="bottom"/>
          </w:tcPr>
          <w:p>
            <w:pPr>
              <w:spacing w:after="0"/>
              <w:rPr>
                <w:sz w:val="1"/>
                <w:szCs w:val="1"/>
                <w:color w:val="auto"/>
              </w:rPr>
            </w:pPr>
          </w:p>
        </w:tc>
      </w:tr>
      <w:tr>
        <w:trPr>
          <w:trHeight w:val="297"/>
        </w:trPr>
        <w:tc>
          <w:tcPr>
            <w:tcW w:w="3740" w:type="dxa"/>
            <w:vAlign w:val="bottom"/>
          </w:tcPr>
          <w:p>
            <w:pPr>
              <w:ind w:left="20"/>
              <w:spacing w:after="0"/>
              <w:rPr>
                <w:sz w:val="20"/>
                <w:szCs w:val="20"/>
                <w:color w:val="auto"/>
              </w:rPr>
            </w:pPr>
            <w:r>
              <w:rPr>
                <w:rFonts w:ascii="Arial" w:cs="Arial" w:eastAsia="Arial" w:hAnsi="Arial"/>
                <w:sz w:val="14"/>
                <w:szCs w:val="14"/>
                <w:b w:val="1"/>
                <w:bCs w:val="1"/>
                <w:color w:val="FF7F32"/>
              </w:rPr>
              <w:t>Gaurav Singal</w:t>
            </w:r>
          </w:p>
        </w:tc>
        <w:tc>
          <w:tcPr>
            <w:tcW w:w="3520" w:type="dxa"/>
            <w:vAlign w:val="bottom"/>
          </w:tcPr>
          <w:p>
            <w:pPr>
              <w:jc w:val="center"/>
              <w:ind w:left="2748"/>
              <w:spacing w:after="0"/>
              <w:rPr>
                <w:sz w:val="20"/>
                <w:szCs w:val="20"/>
                <w:color w:val="auto"/>
              </w:rPr>
            </w:pPr>
            <w:r>
              <w:rPr>
                <w:rFonts w:ascii="Arial" w:cs="Arial" w:eastAsia="Arial" w:hAnsi="Arial"/>
                <w:sz w:val="14"/>
                <w:szCs w:val="14"/>
                <w:color w:val="404040"/>
                <w:w w:val="99"/>
              </w:rPr>
              <w:t>—</w:t>
            </w:r>
          </w:p>
        </w:tc>
        <w:tc>
          <w:tcPr>
            <w:tcW w:w="1520" w:type="dxa"/>
            <w:vAlign w:val="bottom"/>
          </w:tcPr>
          <w:p>
            <w:pPr>
              <w:ind w:left="860"/>
              <w:spacing w:after="0"/>
              <w:rPr>
                <w:sz w:val="20"/>
                <w:szCs w:val="20"/>
                <w:color w:val="auto"/>
              </w:rPr>
            </w:pPr>
            <w:r>
              <w:rPr>
                <w:rFonts w:ascii="Arial" w:cs="Arial" w:eastAsia="Arial" w:hAnsi="Arial"/>
                <w:sz w:val="14"/>
                <w:szCs w:val="14"/>
                <w:color w:val="404040"/>
              </w:rPr>
              <w:t>—</w:t>
            </w:r>
          </w:p>
        </w:tc>
        <w:tc>
          <w:tcPr>
            <w:tcW w:w="1420" w:type="dxa"/>
            <w:vAlign w:val="bottom"/>
          </w:tcPr>
          <w:p>
            <w:pPr>
              <w:jc w:val="center"/>
              <w:ind w:right="148"/>
              <w:spacing w:after="0"/>
              <w:rPr>
                <w:sz w:val="20"/>
                <w:szCs w:val="20"/>
                <w:color w:val="auto"/>
              </w:rPr>
            </w:pPr>
            <w:r>
              <w:rPr>
                <w:rFonts w:ascii="Arial" w:cs="Arial" w:eastAsia="Arial" w:hAnsi="Arial"/>
                <w:sz w:val="14"/>
                <w:szCs w:val="14"/>
                <w:color w:val="auto"/>
              </w:rPr>
              <w:t>4,753</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35,267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32"/>
          <w:szCs w:val="32"/>
          <w:b w:val="1"/>
          <w:bCs w:val="1"/>
          <w:color w:val="202945"/>
        </w:rPr>
        <w:t>Potential Payments Upon Termination or Change of Control</w:t>
      </w:r>
    </w:p>
    <w:p>
      <w:pPr>
        <w:spacing w:after="0" w:line="256" w:lineRule="exact"/>
        <w:rPr>
          <w:sz w:val="20"/>
          <w:szCs w:val="20"/>
          <w:color w:val="auto"/>
        </w:rPr>
      </w:pPr>
    </w:p>
    <w:p>
      <w:pPr>
        <w:ind w:right="220"/>
        <w:spacing w:after="0" w:line="336" w:lineRule="auto"/>
        <w:rPr>
          <w:sz w:val="20"/>
          <w:szCs w:val="20"/>
          <w:color w:val="auto"/>
        </w:rPr>
      </w:pPr>
      <w:r>
        <w:rPr>
          <w:rFonts w:ascii="Arial" w:cs="Arial" w:eastAsia="Arial" w:hAnsi="Arial"/>
          <w:sz w:val="16"/>
          <w:szCs w:val="16"/>
          <w:color w:val="auto"/>
        </w:rPr>
        <w:t>In accordance with Item 402(t) of Regulation S-K promulgated under the Securities Act of 1933, as amended, the table below sets forth the amount of payments and benefits that each of our named executive officers would or may receive in connection with the Merger. The amounts reported below are based on various assumptions that may or may not actually occur or be accurate on the relevant date, including assumptions described in the footnotes to the table and the below:</w:t>
      </w:r>
    </w:p>
    <w:p>
      <w:pPr>
        <w:spacing w:after="0" w:line="63" w:lineRule="exact"/>
        <w:rPr>
          <w:sz w:val="20"/>
          <w:szCs w:val="20"/>
          <w:color w:val="auto"/>
        </w:rPr>
      </w:pPr>
    </w:p>
    <w:p>
      <w:pPr>
        <w:ind w:left="660" w:right="780" w:hanging="328"/>
        <w:spacing w:after="0" w:line="316" w:lineRule="auto"/>
        <w:tabs>
          <w:tab w:leader="none" w:pos="649" w:val="left"/>
        </w:tabs>
        <w:numPr>
          <w:ilvl w:val="0"/>
          <w:numId w:val="70"/>
        </w:numPr>
        <w:rPr>
          <w:rFonts w:ascii="Times New Roman" w:cs="Times New Roman" w:eastAsia="Times New Roman" w:hAnsi="Times New Roman"/>
          <w:sz w:val="16"/>
          <w:szCs w:val="16"/>
          <w:color w:val="auto"/>
        </w:rPr>
      </w:pPr>
      <w:r>
        <w:rPr>
          <w:rFonts w:ascii="Arial" w:cs="Arial" w:eastAsia="Arial" w:hAnsi="Arial"/>
          <w:sz w:val="16"/>
          <w:szCs w:val="16"/>
          <w:color w:val="auto"/>
        </w:rPr>
        <w:t>The effective time of the Merger is October 2, 2025, which is the assumed date of the closing of the Merger solely for the purposes of this disclosure;</w:t>
      </w:r>
    </w:p>
    <w:p>
      <w:pPr>
        <w:ind w:left="660" w:right="20" w:hanging="328"/>
        <w:spacing w:after="0" w:line="316" w:lineRule="auto"/>
        <w:tabs>
          <w:tab w:leader="none" w:pos="649" w:val="left"/>
        </w:tabs>
        <w:numPr>
          <w:ilvl w:val="0"/>
          <w:numId w:val="70"/>
        </w:numPr>
        <w:rPr>
          <w:rFonts w:ascii="Times New Roman" w:cs="Times New Roman" w:eastAsia="Times New Roman" w:hAnsi="Times New Roman"/>
          <w:sz w:val="16"/>
          <w:szCs w:val="16"/>
          <w:color w:val="auto"/>
        </w:rPr>
      </w:pPr>
      <w:r>
        <w:rPr>
          <w:rFonts w:ascii="Arial" w:cs="Arial" w:eastAsia="Arial" w:hAnsi="Arial"/>
          <w:sz w:val="16"/>
          <w:szCs w:val="16"/>
          <w:color w:val="auto"/>
        </w:rPr>
        <w:t>The employment of each of our named executive officers is terminated other than for “cause” or by the named executive officer for “good reason”, in either case, immediately following the assumed effective time of the Merger;</w:t>
      </w:r>
    </w:p>
    <w:p>
      <w:pPr>
        <w:ind w:left="640" w:hanging="308"/>
        <w:spacing w:after="0"/>
        <w:tabs>
          <w:tab w:leader="none" w:pos="640" w:val="left"/>
        </w:tabs>
        <w:numPr>
          <w:ilvl w:val="0"/>
          <w:numId w:val="70"/>
        </w:numPr>
        <w:rPr>
          <w:rFonts w:ascii="Times New Roman" w:cs="Times New Roman" w:eastAsia="Times New Roman" w:hAnsi="Times New Roman"/>
          <w:sz w:val="16"/>
          <w:szCs w:val="16"/>
          <w:color w:val="auto"/>
        </w:rPr>
      </w:pPr>
      <w:r>
        <w:rPr>
          <w:rFonts w:ascii="Arial" w:cs="Arial" w:eastAsia="Arial" w:hAnsi="Arial"/>
          <w:sz w:val="16"/>
          <w:szCs w:val="16"/>
          <w:color w:val="auto"/>
        </w:rPr>
        <w:t>No named executive officer enters into a rollover agreement;</w:t>
      </w:r>
    </w:p>
    <w:p>
      <w:pPr>
        <w:spacing w:after="0" w:line="5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70"/>
        </w:numPr>
        <w:rPr>
          <w:rFonts w:ascii="Times New Roman" w:cs="Times New Roman" w:eastAsia="Times New Roman" w:hAnsi="Times New Roman"/>
          <w:sz w:val="16"/>
          <w:szCs w:val="16"/>
          <w:color w:val="auto"/>
        </w:rPr>
      </w:pPr>
      <w:r>
        <w:rPr>
          <w:rFonts w:ascii="Arial" w:cs="Arial" w:eastAsia="Arial" w:hAnsi="Arial"/>
          <w:sz w:val="16"/>
          <w:szCs w:val="16"/>
          <w:color w:val="auto"/>
        </w:rPr>
        <w:t>Each named executive officer’s base salary remains unchanged from that in effect as of the date of this proxy statement;</w:t>
      </w:r>
    </w:p>
    <w:p>
      <w:pPr>
        <w:spacing w:after="0" w:line="71"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70"/>
        </w:numPr>
        <w:rPr>
          <w:rFonts w:ascii="Times New Roman" w:cs="Times New Roman" w:eastAsia="Times New Roman" w:hAnsi="Times New Roman"/>
          <w:sz w:val="16"/>
          <w:szCs w:val="16"/>
          <w:color w:val="auto"/>
        </w:rPr>
      </w:pPr>
      <w:r>
        <w:rPr>
          <w:rFonts w:ascii="Arial" w:cs="Arial" w:eastAsia="Arial" w:hAnsi="Arial"/>
          <w:sz w:val="16"/>
          <w:szCs w:val="16"/>
          <w:color w:val="auto"/>
        </w:rPr>
        <w:t>For purposes of the annual bonus payments and Cantaloupe PSUs set forth in the table, achievement is at the target levels of performance; and</w:t>
      </w:r>
    </w:p>
    <w:p>
      <w:pPr>
        <w:spacing w:after="0" w:line="5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70"/>
        </w:numPr>
        <w:rPr>
          <w:rFonts w:ascii="Times New Roman" w:cs="Times New Roman" w:eastAsia="Times New Roman" w:hAnsi="Times New Roman"/>
          <w:sz w:val="16"/>
          <w:szCs w:val="16"/>
          <w:color w:val="auto"/>
        </w:rPr>
      </w:pPr>
      <w:r>
        <w:rPr>
          <w:rFonts w:ascii="Arial" w:cs="Arial" w:eastAsia="Arial" w:hAnsi="Arial"/>
          <w:sz w:val="16"/>
          <w:szCs w:val="16"/>
          <w:color w:val="auto"/>
        </w:rPr>
        <w:t>No named executive officer has any payments or benefits that would be “excess parachute payments” pursuant Code Section 280G.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662940</wp:posOffset>
            </wp:positionV>
            <wp:extent cx="925830" cy="26543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92583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b w:val="1"/>
                <w:bCs w:val="1"/>
                <w:color w:val="FF7F32"/>
              </w:rPr>
              <w:t xml:space="preserve">2026 </w:t>
            </w:r>
            <w:r>
              <w:rPr>
                <w:rFonts w:ascii="Arial" w:cs="Arial" w:eastAsia="Arial" w:hAnsi="Arial"/>
                <w:sz w:val="13"/>
                <w:szCs w:val="13"/>
                <w:color w:val="000000"/>
              </w:rPr>
              <w:t>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auto"/>
              </w:rPr>
              <w:t>65</w:t>
            </w:r>
          </w:p>
        </w:tc>
      </w:tr>
      <w:tr>
        <w:trPr>
          <w:trHeight w:val="420"/>
        </w:trPr>
        <w:tc>
          <w:tcPr>
            <w:tcW w:w="618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3"/>
          <w:szCs w:val="13"/>
          <w:color w:val="auto"/>
        </w:rPr>
        <w:t>Executive Compensation Tables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Messrs. Venkatesan, Stewart, Dumbrell, and Singal, and Ms. Novoseletsky</w:t>
      </w:r>
    </w:p>
    <w:p>
      <w:pPr>
        <w:spacing w:after="0" w:line="165" w:lineRule="exact"/>
        <w:rPr>
          <w:sz w:val="20"/>
          <w:szCs w:val="20"/>
          <w:color w:val="auto"/>
        </w:rPr>
      </w:pPr>
    </w:p>
    <w:p>
      <w:pPr>
        <w:spacing w:after="0" w:line="326" w:lineRule="auto"/>
        <w:rPr>
          <w:sz w:val="20"/>
          <w:szCs w:val="20"/>
          <w:color w:val="auto"/>
        </w:rPr>
      </w:pPr>
      <w:r>
        <w:rPr>
          <w:rFonts w:ascii="Arial" w:cs="Arial" w:eastAsia="Arial" w:hAnsi="Arial"/>
          <w:sz w:val="16"/>
          <w:szCs w:val="16"/>
          <w:color w:val="auto"/>
        </w:rPr>
        <w:t>During fiscal year 2025, each of Messrs. Venkatesan, Stewart, Dumbrell, and Singal and Ms. Novoseletsky were entitled to certain severance payments and benefits upon a termination without “cause,” or, where applicable, a resignation for “good reason,” as further described above under “Executive Employment Agreements.” In addition, under the general terms of our equity award plans, a participating employee is entitled to “double-trigger” accelerated vesting of outstanding equity awards if such employee is terminated by us without “cause,” or, to the extent provided in the employee’s award agreement, if the employee resigns for “good reason,” in each case within 18 months following a “change of control.” The following table summarizes these potential payments and benefits, with all equity estimates based on the closing price of our Common Stock on June 30, 2025 ($11.07) and assuming that the applicable termination event or “change of control” occurred on the last day of fiscal 2025, June 30, 2025:</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2660" w:type="dxa"/>
            <w:vAlign w:val="bottom"/>
          </w:tcPr>
          <w:p>
            <w:pPr>
              <w:ind w:left="1460"/>
              <w:spacing w:after="0"/>
              <w:rPr>
                <w:sz w:val="20"/>
                <w:szCs w:val="20"/>
                <w:color w:val="auto"/>
              </w:rPr>
            </w:pPr>
            <w:r>
              <w:rPr>
                <w:rFonts w:ascii="Arial" w:cs="Arial" w:eastAsia="Arial" w:hAnsi="Arial"/>
                <w:sz w:val="14"/>
                <w:szCs w:val="14"/>
                <w:b w:val="1"/>
                <w:bCs w:val="1"/>
                <w:color w:val="auto"/>
              </w:rPr>
              <w:t>Cash</w:t>
            </w:r>
          </w:p>
        </w:tc>
        <w:tc>
          <w:tcPr>
            <w:tcW w:w="2080" w:type="dxa"/>
            <w:vAlign w:val="bottom"/>
          </w:tcPr>
          <w:p>
            <w:pPr>
              <w:ind w:left="820"/>
              <w:spacing w:after="0"/>
              <w:rPr>
                <w:sz w:val="20"/>
                <w:szCs w:val="20"/>
                <w:color w:val="auto"/>
              </w:rPr>
            </w:pPr>
            <w:r>
              <w:rPr>
                <w:rFonts w:ascii="Arial" w:cs="Arial" w:eastAsia="Arial" w:hAnsi="Arial"/>
                <w:sz w:val="14"/>
                <w:szCs w:val="14"/>
                <w:b w:val="1"/>
                <w:bCs w:val="1"/>
                <w:color w:val="auto"/>
              </w:rPr>
              <w:t>Equity</w:t>
            </w:r>
          </w:p>
        </w:tc>
        <w:tc>
          <w:tcPr>
            <w:tcW w:w="2060" w:type="dxa"/>
            <w:vAlign w:val="bottom"/>
          </w:tcPr>
          <w:p>
            <w:pPr>
              <w:ind w:left="860"/>
              <w:spacing w:after="0"/>
              <w:rPr>
                <w:sz w:val="20"/>
                <w:szCs w:val="20"/>
                <w:color w:val="auto"/>
              </w:rPr>
            </w:pPr>
            <w:r>
              <w:rPr>
                <w:rFonts w:ascii="Arial" w:cs="Arial" w:eastAsia="Arial" w:hAnsi="Arial"/>
                <w:sz w:val="14"/>
                <w:szCs w:val="14"/>
                <w:b w:val="1"/>
                <w:bCs w:val="1"/>
                <w:color w:val="auto"/>
              </w:rPr>
              <w:t>Total</w:t>
            </w:r>
          </w:p>
        </w:tc>
      </w:tr>
      <w:tr>
        <w:trPr>
          <w:trHeight w:val="214"/>
        </w:trPr>
        <w:tc>
          <w:tcPr>
            <w:tcW w:w="4440" w:type="dxa"/>
            <w:vAlign w:val="bottom"/>
            <w:tcBorders>
              <w:bottom w:val="single" w:sz="8" w:color="FF7F32"/>
            </w:tcBorders>
          </w:tcPr>
          <w:p>
            <w:pPr>
              <w:ind w:left="20"/>
              <w:spacing w:after="0"/>
              <w:rPr>
                <w:sz w:val="20"/>
                <w:szCs w:val="20"/>
                <w:color w:val="auto"/>
              </w:rPr>
            </w:pPr>
            <w:r>
              <w:rPr>
                <w:rFonts w:ascii="Arial" w:cs="Arial" w:eastAsia="Arial" w:hAnsi="Arial"/>
                <w:sz w:val="14"/>
                <w:szCs w:val="14"/>
                <w:b w:val="1"/>
                <w:bCs w:val="1"/>
                <w:color w:val="auto"/>
              </w:rPr>
              <w:t>Named Executive Officer</w:t>
            </w:r>
          </w:p>
        </w:tc>
        <w:tc>
          <w:tcPr>
            <w:tcW w:w="2660" w:type="dxa"/>
            <w:vAlign w:val="bottom"/>
            <w:tcBorders>
              <w:bottom w:val="single" w:sz="8" w:color="FF7F32"/>
            </w:tcBorders>
          </w:tcPr>
          <w:p>
            <w:pPr>
              <w:jc w:val="center"/>
              <w:ind w:left="532"/>
              <w:spacing w:after="0" w:line="214" w:lineRule="exact"/>
              <w:rPr>
                <w:sz w:val="20"/>
                <w:szCs w:val="20"/>
                <w:color w:val="auto"/>
              </w:rPr>
            </w:pPr>
            <w:r>
              <w:rPr>
                <w:rFonts w:ascii="Arial" w:cs="Arial" w:eastAsia="Arial" w:hAnsi="Arial"/>
                <w:sz w:val="24"/>
                <w:szCs w:val="24"/>
                <w:b w:val="1"/>
                <w:bCs w:val="1"/>
                <w:color w:val="auto"/>
                <w:w w:val="98"/>
                <w:vertAlign w:val="subscript"/>
              </w:rPr>
              <w:t>($)</w:t>
            </w:r>
            <w:r>
              <w:rPr>
                <w:rFonts w:ascii="Arial" w:cs="Arial" w:eastAsia="Arial" w:hAnsi="Arial"/>
                <w:sz w:val="9"/>
                <w:szCs w:val="9"/>
                <w:b w:val="1"/>
                <w:bCs w:val="1"/>
                <w:color w:val="auto"/>
                <w:w w:val="98"/>
              </w:rPr>
              <w:t>(1)</w:t>
            </w:r>
          </w:p>
        </w:tc>
        <w:tc>
          <w:tcPr>
            <w:tcW w:w="2080" w:type="dxa"/>
            <w:vAlign w:val="bottom"/>
            <w:tcBorders>
              <w:bottom w:val="single" w:sz="8" w:color="FF7F32"/>
            </w:tcBorders>
          </w:tcPr>
          <w:p>
            <w:pPr>
              <w:jc w:val="center"/>
              <w:spacing w:after="0" w:line="214" w:lineRule="exact"/>
              <w:rPr>
                <w:sz w:val="20"/>
                <w:szCs w:val="20"/>
                <w:color w:val="auto"/>
              </w:rPr>
            </w:pPr>
            <w:r>
              <w:rPr>
                <w:rFonts w:ascii="Arial" w:cs="Arial" w:eastAsia="Arial" w:hAnsi="Arial"/>
                <w:sz w:val="24"/>
                <w:szCs w:val="24"/>
                <w:b w:val="1"/>
                <w:bCs w:val="1"/>
                <w:color w:val="auto"/>
                <w:w w:val="91"/>
                <w:vertAlign w:val="subscript"/>
              </w:rPr>
              <w:t>($)</w:t>
            </w:r>
            <w:r>
              <w:rPr>
                <w:rFonts w:ascii="Arial" w:cs="Arial" w:eastAsia="Arial" w:hAnsi="Arial"/>
                <w:sz w:val="9"/>
                <w:szCs w:val="9"/>
                <w:b w:val="1"/>
                <w:bCs w:val="1"/>
                <w:color w:val="auto"/>
                <w:w w:val="91"/>
              </w:rPr>
              <w:t>(2)</w:t>
            </w:r>
          </w:p>
        </w:tc>
        <w:tc>
          <w:tcPr>
            <w:tcW w:w="2060" w:type="dxa"/>
            <w:vAlign w:val="bottom"/>
            <w:tcBorders>
              <w:bottom w:val="single" w:sz="8" w:color="FF7F32"/>
            </w:tcBorders>
          </w:tcPr>
          <w:p>
            <w:pPr>
              <w:jc w:val="center"/>
              <w:spacing w:after="0"/>
              <w:rPr>
                <w:sz w:val="20"/>
                <w:szCs w:val="20"/>
                <w:color w:val="auto"/>
              </w:rPr>
            </w:pPr>
            <w:r>
              <w:rPr>
                <w:rFonts w:ascii="Arial" w:cs="Arial" w:eastAsia="Arial" w:hAnsi="Arial"/>
                <w:sz w:val="14"/>
                <w:szCs w:val="14"/>
                <w:b w:val="1"/>
                <w:bCs w:val="1"/>
                <w:color w:val="auto"/>
              </w:rPr>
              <w:t>($)</w:t>
            </w:r>
          </w:p>
        </w:tc>
      </w:tr>
      <w:tr>
        <w:trPr>
          <w:trHeight w:val="192"/>
        </w:trPr>
        <w:tc>
          <w:tcPr>
            <w:tcW w:w="4440" w:type="dxa"/>
            <w:vAlign w:val="bottom"/>
            <w:tcBorders>
              <w:bottom w:val="single" w:sz="8" w:color="D9D9D9"/>
            </w:tcBorders>
          </w:tcPr>
          <w:p>
            <w:pPr>
              <w:jc w:val="center"/>
              <w:ind w:left="528"/>
              <w:spacing w:after="0"/>
              <w:rPr>
                <w:sz w:val="20"/>
                <w:szCs w:val="20"/>
                <w:color w:val="auto"/>
              </w:rPr>
            </w:pPr>
            <w:r>
              <w:rPr>
                <w:rFonts w:ascii="Arial" w:cs="Arial" w:eastAsia="Arial" w:hAnsi="Arial"/>
                <w:sz w:val="14"/>
                <w:szCs w:val="14"/>
                <w:color w:val="auto"/>
              </w:rPr>
              <w:t>Ravi Venkatesan</w:t>
            </w:r>
          </w:p>
        </w:tc>
        <w:tc>
          <w:tcPr>
            <w:tcW w:w="2660" w:type="dxa"/>
            <w:vAlign w:val="bottom"/>
            <w:tcBorders>
              <w:bottom w:val="single" w:sz="8" w:color="D9D9D9"/>
            </w:tcBorders>
          </w:tcPr>
          <w:p>
            <w:pPr>
              <w:jc w:val="center"/>
              <w:ind w:left="512"/>
              <w:spacing w:after="0"/>
              <w:rPr>
                <w:sz w:val="20"/>
                <w:szCs w:val="20"/>
                <w:color w:val="auto"/>
              </w:rPr>
            </w:pPr>
            <w:r>
              <w:rPr>
                <w:rFonts w:ascii="Arial" w:cs="Arial" w:eastAsia="Arial" w:hAnsi="Arial"/>
                <w:sz w:val="14"/>
                <w:szCs w:val="14"/>
                <w:color w:val="auto"/>
              </w:rPr>
              <w:t>1,350,000</w:t>
            </w:r>
          </w:p>
        </w:tc>
        <w:tc>
          <w:tcPr>
            <w:tcW w:w="2080" w:type="dxa"/>
            <w:vAlign w:val="bottom"/>
            <w:tcBorders>
              <w:bottom w:val="single" w:sz="8" w:color="D9D9D9"/>
            </w:tcBorders>
          </w:tcPr>
          <w:p>
            <w:pPr>
              <w:jc w:val="center"/>
              <w:spacing w:after="0"/>
              <w:rPr>
                <w:sz w:val="20"/>
                <w:szCs w:val="20"/>
                <w:color w:val="auto"/>
              </w:rPr>
            </w:pPr>
            <w:r>
              <w:rPr>
                <w:rFonts w:ascii="Arial" w:cs="Arial" w:eastAsia="Arial" w:hAnsi="Arial"/>
                <w:sz w:val="14"/>
                <w:szCs w:val="14"/>
                <w:color w:val="auto"/>
              </w:rPr>
              <w:t>1,866,538</w:t>
            </w:r>
          </w:p>
        </w:tc>
        <w:tc>
          <w:tcPr>
            <w:tcW w:w="2060" w:type="dxa"/>
            <w:vAlign w:val="bottom"/>
            <w:tcBorders>
              <w:bottom w:val="single" w:sz="8" w:color="D9D9D9"/>
            </w:tcBorders>
          </w:tcPr>
          <w:p>
            <w:pPr>
              <w:jc w:val="center"/>
              <w:spacing w:after="0"/>
              <w:rPr>
                <w:sz w:val="20"/>
                <w:szCs w:val="20"/>
                <w:color w:val="auto"/>
              </w:rPr>
            </w:pPr>
            <w:r>
              <w:rPr>
                <w:rFonts w:ascii="Arial" w:cs="Arial" w:eastAsia="Arial" w:hAnsi="Arial"/>
                <w:sz w:val="14"/>
                <w:szCs w:val="14"/>
                <w:color w:val="auto"/>
              </w:rPr>
              <w:t>3,216,538</w:t>
            </w:r>
          </w:p>
        </w:tc>
      </w:tr>
      <w:tr>
        <w:trPr>
          <w:trHeight w:val="196"/>
        </w:trPr>
        <w:tc>
          <w:tcPr>
            <w:tcW w:w="4440" w:type="dxa"/>
            <w:vAlign w:val="bottom"/>
            <w:tcBorders>
              <w:bottom w:val="single" w:sz="8" w:color="D9D9D9"/>
            </w:tcBorders>
          </w:tcPr>
          <w:p>
            <w:pPr>
              <w:jc w:val="center"/>
              <w:ind w:left="528"/>
              <w:spacing w:after="0"/>
              <w:rPr>
                <w:sz w:val="20"/>
                <w:szCs w:val="20"/>
                <w:color w:val="auto"/>
              </w:rPr>
            </w:pPr>
            <w:r>
              <w:rPr>
                <w:rFonts w:ascii="Arial" w:cs="Arial" w:eastAsia="Arial" w:hAnsi="Arial"/>
                <w:sz w:val="14"/>
                <w:szCs w:val="14"/>
                <w:color w:val="auto"/>
              </w:rPr>
              <w:t>Scott Stewart</w:t>
            </w:r>
          </w:p>
        </w:tc>
        <w:tc>
          <w:tcPr>
            <w:tcW w:w="2660" w:type="dxa"/>
            <w:vAlign w:val="bottom"/>
            <w:tcBorders>
              <w:bottom w:val="single" w:sz="8" w:color="D9D9D9"/>
            </w:tcBorders>
          </w:tcPr>
          <w:p>
            <w:pPr>
              <w:jc w:val="center"/>
              <w:ind w:left="512"/>
              <w:spacing w:after="0"/>
              <w:rPr>
                <w:sz w:val="20"/>
                <w:szCs w:val="20"/>
                <w:color w:val="auto"/>
              </w:rPr>
            </w:pPr>
            <w:r>
              <w:rPr>
                <w:rFonts w:ascii="Arial" w:cs="Arial" w:eastAsia="Arial" w:hAnsi="Arial"/>
                <w:sz w:val="14"/>
                <w:szCs w:val="14"/>
                <w:color w:val="auto"/>
              </w:rPr>
              <w:t>1,032,000</w:t>
            </w:r>
          </w:p>
        </w:tc>
        <w:tc>
          <w:tcPr>
            <w:tcW w:w="2080" w:type="dxa"/>
            <w:vAlign w:val="bottom"/>
            <w:tcBorders>
              <w:bottom w:val="single" w:sz="8" w:color="D9D9D9"/>
            </w:tcBorders>
          </w:tcPr>
          <w:p>
            <w:pPr>
              <w:jc w:val="center"/>
              <w:spacing w:after="0"/>
              <w:rPr>
                <w:sz w:val="20"/>
                <w:szCs w:val="20"/>
                <w:color w:val="auto"/>
              </w:rPr>
            </w:pPr>
            <w:r>
              <w:rPr>
                <w:rFonts w:ascii="Arial" w:cs="Arial" w:eastAsia="Arial" w:hAnsi="Arial"/>
                <w:sz w:val="14"/>
                <w:szCs w:val="14"/>
                <w:color w:val="auto"/>
              </w:rPr>
              <w:t>869,781</w:t>
            </w:r>
          </w:p>
        </w:tc>
        <w:tc>
          <w:tcPr>
            <w:tcW w:w="2060" w:type="dxa"/>
            <w:vAlign w:val="bottom"/>
            <w:tcBorders>
              <w:bottom w:val="single" w:sz="8" w:color="D9D9D9"/>
            </w:tcBorders>
          </w:tcPr>
          <w:p>
            <w:pPr>
              <w:jc w:val="center"/>
              <w:spacing w:after="0"/>
              <w:rPr>
                <w:sz w:val="20"/>
                <w:szCs w:val="20"/>
                <w:color w:val="auto"/>
              </w:rPr>
            </w:pPr>
            <w:r>
              <w:rPr>
                <w:rFonts w:ascii="Arial" w:cs="Arial" w:eastAsia="Arial" w:hAnsi="Arial"/>
                <w:sz w:val="14"/>
                <w:szCs w:val="14"/>
                <w:color w:val="auto"/>
              </w:rPr>
              <w:t>1,901,781</w:t>
            </w:r>
          </w:p>
        </w:tc>
      </w:tr>
      <w:tr>
        <w:trPr>
          <w:trHeight w:val="196"/>
        </w:trPr>
        <w:tc>
          <w:tcPr>
            <w:tcW w:w="4440" w:type="dxa"/>
            <w:vAlign w:val="bottom"/>
            <w:tcBorders>
              <w:bottom w:val="single" w:sz="8" w:color="D9D9D9"/>
            </w:tcBorders>
          </w:tcPr>
          <w:p>
            <w:pPr>
              <w:jc w:val="center"/>
              <w:ind w:left="528"/>
              <w:spacing w:after="0"/>
              <w:rPr>
                <w:sz w:val="20"/>
                <w:szCs w:val="20"/>
                <w:color w:val="auto"/>
              </w:rPr>
            </w:pPr>
            <w:r>
              <w:rPr>
                <w:rFonts w:ascii="Arial" w:cs="Arial" w:eastAsia="Arial" w:hAnsi="Arial"/>
                <w:sz w:val="14"/>
                <w:szCs w:val="14"/>
                <w:color w:val="auto"/>
              </w:rPr>
              <w:t>Jeffrey Dumbrell</w:t>
            </w:r>
          </w:p>
        </w:tc>
        <w:tc>
          <w:tcPr>
            <w:tcW w:w="2660" w:type="dxa"/>
            <w:vAlign w:val="bottom"/>
            <w:tcBorders>
              <w:bottom w:val="single" w:sz="8" w:color="D9D9D9"/>
            </w:tcBorders>
          </w:tcPr>
          <w:p>
            <w:pPr>
              <w:jc w:val="center"/>
              <w:ind w:left="512"/>
              <w:spacing w:after="0"/>
              <w:rPr>
                <w:sz w:val="20"/>
                <w:szCs w:val="20"/>
                <w:color w:val="auto"/>
              </w:rPr>
            </w:pPr>
            <w:r>
              <w:rPr>
                <w:rFonts w:ascii="Arial" w:cs="Arial" w:eastAsia="Arial" w:hAnsi="Arial"/>
                <w:sz w:val="14"/>
                <w:szCs w:val="14"/>
                <w:color w:val="auto"/>
              </w:rPr>
              <w:t>416,000</w:t>
            </w:r>
          </w:p>
        </w:tc>
        <w:tc>
          <w:tcPr>
            <w:tcW w:w="2080" w:type="dxa"/>
            <w:vAlign w:val="bottom"/>
            <w:tcBorders>
              <w:bottom w:val="single" w:sz="8" w:color="D9D9D9"/>
            </w:tcBorders>
          </w:tcPr>
          <w:p>
            <w:pPr>
              <w:jc w:val="center"/>
              <w:spacing w:after="0"/>
              <w:rPr>
                <w:sz w:val="20"/>
                <w:szCs w:val="20"/>
                <w:color w:val="auto"/>
              </w:rPr>
            </w:pPr>
            <w:r>
              <w:rPr>
                <w:rFonts w:ascii="Arial" w:cs="Arial" w:eastAsia="Arial" w:hAnsi="Arial"/>
                <w:sz w:val="14"/>
                <w:szCs w:val="14"/>
                <w:color w:val="auto"/>
              </w:rPr>
              <w:t>869,781</w:t>
            </w:r>
          </w:p>
        </w:tc>
        <w:tc>
          <w:tcPr>
            <w:tcW w:w="2060" w:type="dxa"/>
            <w:vAlign w:val="bottom"/>
            <w:tcBorders>
              <w:bottom w:val="single" w:sz="8" w:color="D9D9D9"/>
            </w:tcBorders>
          </w:tcPr>
          <w:p>
            <w:pPr>
              <w:jc w:val="center"/>
              <w:spacing w:after="0"/>
              <w:rPr>
                <w:sz w:val="20"/>
                <w:szCs w:val="20"/>
                <w:color w:val="auto"/>
              </w:rPr>
            </w:pPr>
            <w:r>
              <w:rPr>
                <w:rFonts w:ascii="Arial" w:cs="Arial" w:eastAsia="Arial" w:hAnsi="Arial"/>
                <w:sz w:val="14"/>
                <w:szCs w:val="14"/>
                <w:color w:val="auto"/>
              </w:rPr>
              <w:t>1,285,781</w:t>
            </w:r>
          </w:p>
        </w:tc>
      </w:tr>
      <w:tr>
        <w:trPr>
          <w:trHeight w:val="196"/>
        </w:trPr>
        <w:tc>
          <w:tcPr>
            <w:tcW w:w="4440" w:type="dxa"/>
            <w:vAlign w:val="bottom"/>
            <w:tcBorders>
              <w:bottom w:val="single" w:sz="8" w:color="D9D9D9"/>
            </w:tcBorders>
          </w:tcPr>
          <w:p>
            <w:pPr>
              <w:jc w:val="center"/>
              <w:ind w:left="528"/>
              <w:spacing w:after="0"/>
              <w:rPr>
                <w:sz w:val="20"/>
                <w:szCs w:val="20"/>
                <w:color w:val="auto"/>
              </w:rPr>
            </w:pPr>
            <w:r>
              <w:rPr>
                <w:rFonts w:ascii="Arial" w:cs="Arial" w:eastAsia="Arial" w:hAnsi="Arial"/>
                <w:sz w:val="14"/>
                <w:szCs w:val="14"/>
                <w:color w:val="auto"/>
              </w:rPr>
              <w:t>Gaurav Singal</w:t>
            </w:r>
          </w:p>
        </w:tc>
        <w:tc>
          <w:tcPr>
            <w:tcW w:w="2660" w:type="dxa"/>
            <w:vAlign w:val="bottom"/>
            <w:tcBorders>
              <w:bottom w:val="single" w:sz="8" w:color="D9D9D9"/>
            </w:tcBorders>
          </w:tcPr>
          <w:p>
            <w:pPr>
              <w:jc w:val="center"/>
              <w:ind w:left="532"/>
              <w:spacing w:after="0"/>
              <w:rPr>
                <w:sz w:val="20"/>
                <w:szCs w:val="20"/>
                <w:color w:val="auto"/>
              </w:rPr>
            </w:pPr>
            <w:r>
              <w:rPr>
                <w:rFonts w:ascii="Arial" w:cs="Arial" w:eastAsia="Arial" w:hAnsi="Arial"/>
                <w:sz w:val="14"/>
                <w:szCs w:val="14"/>
                <w:color w:val="auto"/>
                <w:w w:val="98"/>
              </w:rPr>
              <w:t>373,118</w:t>
            </w:r>
          </w:p>
        </w:tc>
        <w:tc>
          <w:tcPr>
            <w:tcW w:w="2080" w:type="dxa"/>
            <w:vAlign w:val="bottom"/>
            <w:tcBorders>
              <w:bottom w:val="single" w:sz="8" w:color="D9D9D9"/>
            </w:tcBorders>
          </w:tcPr>
          <w:p>
            <w:pPr>
              <w:jc w:val="center"/>
              <w:spacing w:after="0"/>
              <w:rPr>
                <w:sz w:val="20"/>
                <w:szCs w:val="20"/>
                <w:color w:val="auto"/>
              </w:rPr>
            </w:pPr>
            <w:r>
              <w:rPr>
                <w:rFonts w:ascii="Arial" w:cs="Arial" w:eastAsia="Arial" w:hAnsi="Arial"/>
                <w:sz w:val="14"/>
                <w:szCs w:val="14"/>
                <w:color w:val="auto"/>
              </w:rPr>
              <w:t>153,776</w:t>
            </w:r>
          </w:p>
        </w:tc>
        <w:tc>
          <w:tcPr>
            <w:tcW w:w="2060" w:type="dxa"/>
            <w:vAlign w:val="bottom"/>
            <w:tcBorders>
              <w:bottom w:val="single" w:sz="8" w:color="D9D9D9"/>
            </w:tcBorders>
          </w:tcPr>
          <w:p>
            <w:pPr>
              <w:jc w:val="center"/>
              <w:spacing w:after="0"/>
              <w:rPr>
                <w:sz w:val="20"/>
                <w:szCs w:val="20"/>
                <w:color w:val="auto"/>
              </w:rPr>
            </w:pPr>
            <w:r>
              <w:rPr>
                <w:rFonts w:ascii="Arial" w:cs="Arial" w:eastAsia="Arial" w:hAnsi="Arial"/>
                <w:sz w:val="14"/>
                <w:szCs w:val="14"/>
                <w:color w:val="auto"/>
              </w:rPr>
              <w:t>526,894</w:t>
            </w:r>
          </w:p>
        </w:tc>
      </w:tr>
      <w:tr>
        <w:trPr>
          <w:trHeight w:val="196"/>
        </w:trPr>
        <w:tc>
          <w:tcPr>
            <w:tcW w:w="4440" w:type="dxa"/>
            <w:vAlign w:val="bottom"/>
            <w:tcBorders>
              <w:bottom w:val="single" w:sz="8" w:color="FF7F32"/>
            </w:tcBorders>
          </w:tcPr>
          <w:p>
            <w:pPr>
              <w:jc w:val="center"/>
              <w:ind w:left="528"/>
              <w:spacing w:after="0"/>
              <w:rPr>
                <w:sz w:val="20"/>
                <w:szCs w:val="20"/>
                <w:color w:val="auto"/>
              </w:rPr>
            </w:pPr>
            <w:r>
              <w:rPr>
                <w:rFonts w:ascii="Arial" w:cs="Arial" w:eastAsia="Arial" w:hAnsi="Arial"/>
                <w:sz w:val="14"/>
                <w:szCs w:val="14"/>
                <w:color w:val="auto"/>
              </w:rPr>
              <w:t>Anna Novoseletsky</w:t>
            </w:r>
          </w:p>
        </w:tc>
        <w:tc>
          <w:tcPr>
            <w:tcW w:w="2660" w:type="dxa"/>
            <w:vAlign w:val="bottom"/>
            <w:tcBorders>
              <w:bottom w:val="single" w:sz="8" w:color="FF7F32"/>
            </w:tcBorders>
          </w:tcPr>
          <w:p>
            <w:pPr>
              <w:jc w:val="center"/>
              <w:ind w:left="512"/>
              <w:spacing w:after="0"/>
              <w:rPr>
                <w:sz w:val="20"/>
                <w:szCs w:val="20"/>
                <w:color w:val="auto"/>
              </w:rPr>
            </w:pPr>
            <w:r>
              <w:rPr>
                <w:rFonts w:ascii="Arial" w:cs="Arial" w:eastAsia="Arial" w:hAnsi="Arial"/>
                <w:sz w:val="14"/>
                <w:szCs w:val="14"/>
                <w:color w:val="auto"/>
              </w:rPr>
              <w:t>450,000</w:t>
            </w:r>
          </w:p>
        </w:tc>
        <w:tc>
          <w:tcPr>
            <w:tcW w:w="2080" w:type="dxa"/>
            <w:vAlign w:val="bottom"/>
            <w:tcBorders>
              <w:bottom w:val="single" w:sz="8" w:color="FF7F32"/>
            </w:tcBorders>
          </w:tcPr>
          <w:p>
            <w:pPr>
              <w:jc w:val="center"/>
              <w:spacing w:after="0"/>
              <w:rPr>
                <w:sz w:val="20"/>
                <w:szCs w:val="20"/>
                <w:color w:val="auto"/>
              </w:rPr>
            </w:pPr>
            <w:r>
              <w:rPr>
                <w:rFonts w:ascii="Arial" w:cs="Arial" w:eastAsia="Arial" w:hAnsi="Arial"/>
                <w:sz w:val="14"/>
                <w:szCs w:val="14"/>
                <w:color w:val="auto"/>
              </w:rPr>
              <w:t>340,090</w:t>
            </w:r>
          </w:p>
        </w:tc>
        <w:tc>
          <w:tcPr>
            <w:tcW w:w="2060" w:type="dxa"/>
            <w:vAlign w:val="bottom"/>
            <w:tcBorders>
              <w:bottom w:val="single" w:sz="8" w:color="FF7F32"/>
            </w:tcBorders>
          </w:tcPr>
          <w:p>
            <w:pPr>
              <w:jc w:val="center"/>
              <w:spacing w:after="0"/>
              <w:rPr>
                <w:sz w:val="20"/>
                <w:szCs w:val="20"/>
                <w:color w:val="auto"/>
              </w:rPr>
            </w:pPr>
            <w:r>
              <w:rPr>
                <w:rFonts w:ascii="Arial" w:cs="Arial" w:eastAsia="Arial" w:hAnsi="Arial"/>
                <w:sz w:val="14"/>
                <w:szCs w:val="14"/>
                <w:color w:val="auto"/>
              </w:rPr>
              <w:t>790,090</w:t>
            </w:r>
          </w:p>
        </w:tc>
      </w:tr>
    </w:tbl>
    <w:p>
      <w:pPr>
        <w:spacing w:after="0" w:line="200" w:lineRule="exact"/>
        <w:rPr>
          <w:sz w:val="20"/>
          <w:szCs w:val="20"/>
          <w:color w:val="auto"/>
        </w:rPr>
      </w:pPr>
    </w:p>
    <w:p>
      <w:pPr>
        <w:spacing w:after="0" w:line="237" w:lineRule="exact"/>
        <w:rPr>
          <w:sz w:val="20"/>
          <w:szCs w:val="20"/>
          <w:color w:val="auto"/>
        </w:rPr>
      </w:pPr>
    </w:p>
    <w:p>
      <w:pPr>
        <w:ind w:left="200" w:hanging="192"/>
        <w:spacing w:after="0"/>
        <w:tabs>
          <w:tab w:leader="none" w:pos="200" w:val="left"/>
        </w:tabs>
        <w:numPr>
          <w:ilvl w:val="0"/>
          <w:numId w:val="71"/>
        </w:numPr>
        <w:rPr>
          <w:rFonts w:ascii="Arial" w:cs="Arial" w:eastAsia="Arial" w:hAnsi="Arial"/>
          <w:sz w:val="16"/>
          <w:szCs w:val="16"/>
          <w:color w:val="202945"/>
          <w:vertAlign w:val="superscript"/>
        </w:rPr>
      </w:pPr>
      <w:r>
        <w:rPr>
          <w:rFonts w:ascii="Arial" w:cs="Arial" w:eastAsia="Arial" w:hAnsi="Arial"/>
          <w:sz w:val="13"/>
          <w:szCs w:val="13"/>
          <w:i w:val="1"/>
          <w:iCs w:val="1"/>
          <w:color w:val="202945"/>
        </w:rPr>
        <w:t>Cash</w:t>
      </w:r>
      <w:r>
        <w:rPr>
          <w:rFonts w:ascii="Arial" w:cs="Arial" w:eastAsia="Arial" w:hAnsi="Arial"/>
          <w:sz w:val="13"/>
          <w:szCs w:val="13"/>
          <w:color w:val="202945"/>
        </w:rPr>
        <w:t>. Pursuant to each named executive officer’s applicable employment agreement, the named executive officer is entitled to the following:</w:t>
      </w:r>
    </w:p>
    <w:p>
      <w:pPr>
        <w:spacing w:after="0" w:line="90" w:lineRule="exact"/>
        <w:rPr>
          <w:rFonts w:ascii="Arial" w:cs="Arial" w:eastAsia="Arial" w:hAnsi="Arial"/>
          <w:sz w:val="16"/>
          <w:szCs w:val="16"/>
          <w:color w:val="202945"/>
          <w:vertAlign w:val="superscript"/>
        </w:rPr>
      </w:pPr>
    </w:p>
    <w:p>
      <w:pPr>
        <w:ind w:left="660" w:hanging="328"/>
        <w:spacing w:after="0" w:line="302" w:lineRule="auto"/>
        <w:tabs>
          <w:tab w:leader="none" w:pos="650" w:val="left"/>
        </w:tabs>
        <w:numPr>
          <w:ilvl w:val="1"/>
          <w:numId w:val="71"/>
        </w:numPr>
        <w:rPr>
          <w:rFonts w:ascii="Times New Roman" w:cs="Times New Roman" w:eastAsia="Times New Roman" w:hAnsi="Times New Roman"/>
          <w:sz w:val="13"/>
          <w:szCs w:val="13"/>
          <w:color w:val="202945"/>
        </w:rPr>
      </w:pPr>
      <w:r>
        <w:rPr>
          <w:rFonts w:ascii="Arial" w:cs="Arial" w:eastAsia="Arial" w:hAnsi="Arial"/>
          <w:sz w:val="13"/>
          <w:szCs w:val="13"/>
          <w:color w:val="202945"/>
        </w:rPr>
        <w:t>If Mr. Venkatesan is terminated by Cantaloupe without cause or resigns for good reason and within 24 months following a “change of control”, then, subject to his execution of a release of claims and continued compliance with the covenants in his employment agreement, Mr. Venkatesan will be provided a lump sum payment equal to his base salary (without giving effect to any reduction that is the basis for any resignation for “good reason”) plus an amount equal to the last annual bonus paid in the fiscal year completed prior to such termination.</w:t>
      </w:r>
    </w:p>
    <w:p>
      <w:pPr>
        <w:spacing w:after="0" w:line="1" w:lineRule="exact"/>
        <w:rPr>
          <w:rFonts w:ascii="Times New Roman" w:cs="Times New Roman" w:eastAsia="Times New Roman" w:hAnsi="Times New Roman"/>
          <w:sz w:val="13"/>
          <w:szCs w:val="13"/>
          <w:color w:val="202945"/>
        </w:rPr>
      </w:pPr>
    </w:p>
    <w:p>
      <w:pPr>
        <w:jc w:val="both"/>
        <w:ind w:left="660" w:right="80" w:hanging="328"/>
        <w:spacing w:after="0" w:line="302" w:lineRule="auto"/>
        <w:tabs>
          <w:tab w:leader="none" w:pos="650" w:val="left"/>
        </w:tabs>
        <w:numPr>
          <w:ilvl w:val="1"/>
          <w:numId w:val="71"/>
        </w:numPr>
        <w:rPr>
          <w:rFonts w:ascii="Times New Roman" w:cs="Times New Roman" w:eastAsia="Times New Roman" w:hAnsi="Times New Roman"/>
          <w:sz w:val="13"/>
          <w:szCs w:val="13"/>
          <w:color w:val="202945"/>
        </w:rPr>
      </w:pPr>
      <w:r>
        <w:rPr>
          <w:rFonts w:ascii="Arial" w:cs="Arial" w:eastAsia="Arial" w:hAnsi="Arial"/>
          <w:sz w:val="13"/>
          <w:szCs w:val="13"/>
          <w:color w:val="202945"/>
        </w:rPr>
        <w:t>If Mr. Stewart is terminated by Cantaloupe without cause or resigns for good reason within 24 months following a “change of control”, then, subject to his execution of a release of claims and continued compliance with the covenants in his employment agreement, Mr. Stewart will be provided a lump sum payment equal to his base salary (without giving effect to any reduction that is the basis for any resignation for “good reason”) plus an amount equal to the last annual bonus paid in the fiscal year completed prior to such termination.</w:t>
      </w:r>
    </w:p>
    <w:p>
      <w:pPr>
        <w:spacing w:after="0" w:line="1" w:lineRule="exact"/>
        <w:rPr>
          <w:rFonts w:ascii="Times New Roman" w:cs="Times New Roman" w:eastAsia="Times New Roman" w:hAnsi="Times New Roman"/>
          <w:sz w:val="13"/>
          <w:szCs w:val="13"/>
          <w:color w:val="202945"/>
        </w:rPr>
      </w:pPr>
    </w:p>
    <w:p>
      <w:pPr>
        <w:ind w:left="660" w:right="220" w:hanging="328"/>
        <w:spacing w:after="0" w:line="313" w:lineRule="auto"/>
        <w:tabs>
          <w:tab w:leader="none" w:pos="650" w:val="left"/>
        </w:tabs>
        <w:numPr>
          <w:ilvl w:val="1"/>
          <w:numId w:val="71"/>
        </w:numPr>
        <w:rPr>
          <w:rFonts w:ascii="Times New Roman" w:cs="Times New Roman" w:eastAsia="Times New Roman" w:hAnsi="Times New Roman"/>
          <w:sz w:val="13"/>
          <w:szCs w:val="13"/>
          <w:color w:val="202945"/>
        </w:rPr>
      </w:pPr>
      <w:r>
        <w:rPr>
          <w:rFonts w:ascii="Arial" w:cs="Arial" w:eastAsia="Arial" w:hAnsi="Arial"/>
          <w:sz w:val="13"/>
          <w:szCs w:val="13"/>
          <w:color w:val="202945"/>
        </w:rPr>
        <w:t>If Mr. Dumbrell or Ms. Novoseletsky are terminated by Cantaloupe without cause, and subject to execution of a general release of claims and separation agreement, a severance package consisting of six months of continued base salary.</w:t>
      </w:r>
    </w:p>
    <w:p>
      <w:pPr>
        <w:ind w:left="660" w:right="80" w:hanging="328"/>
        <w:spacing w:after="0" w:line="316" w:lineRule="auto"/>
        <w:tabs>
          <w:tab w:leader="none" w:pos="650" w:val="left"/>
        </w:tabs>
        <w:numPr>
          <w:ilvl w:val="1"/>
          <w:numId w:val="71"/>
        </w:numPr>
        <w:rPr>
          <w:rFonts w:ascii="Times New Roman" w:cs="Times New Roman" w:eastAsia="Times New Roman" w:hAnsi="Times New Roman"/>
          <w:sz w:val="13"/>
          <w:szCs w:val="13"/>
          <w:color w:val="202945"/>
        </w:rPr>
      </w:pPr>
      <w:r>
        <w:rPr>
          <w:rFonts w:ascii="Arial" w:cs="Arial" w:eastAsia="Arial" w:hAnsi="Arial"/>
          <w:sz w:val="13"/>
          <w:szCs w:val="13"/>
          <w:color w:val="202945"/>
        </w:rPr>
        <w:t>If Mr. Singal was terminated by Cantaloupe without cause, and subject to execution of a general release of claims and separation agreement, a severance package consisting of six months of continued base salary. However, Mr. Singal resigned from the Company following the end of the Company’s fiscal year, effective as of October 7, 2025. Mr. Singal was ineligible to receive any severance payments in connection with his resignation.</w:t>
      </w:r>
    </w:p>
    <w:p>
      <w:pPr>
        <w:spacing w:after="0" w:line="43" w:lineRule="exact"/>
        <w:rPr>
          <w:sz w:val="20"/>
          <w:szCs w:val="20"/>
          <w:color w:val="auto"/>
        </w:rPr>
      </w:pPr>
    </w:p>
    <w:p>
      <w:pPr>
        <w:ind w:right="60"/>
        <w:spacing w:after="0" w:line="353" w:lineRule="auto"/>
        <w:rPr>
          <w:sz w:val="20"/>
          <w:szCs w:val="20"/>
          <w:color w:val="auto"/>
        </w:rPr>
      </w:pPr>
      <w:r>
        <w:rPr>
          <w:rFonts w:ascii="Arial" w:cs="Arial" w:eastAsia="Arial" w:hAnsi="Arial"/>
          <w:sz w:val="12"/>
          <w:szCs w:val="12"/>
          <w:color w:val="202945"/>
        </w:rPr>
        <w:t>Severance is “double trigger” for Mr. Venkatesan and Mr. Stewart, while the cash payments received by certain of our named executive officers in connection with the Merger, which are repayable to the Company if the Merger does not occur (the "Transaction Bonuses"), and the annual bonus payments are “single-trigger”. Severance for Mr. Dumbrell, Mr. Singal and Ms. Novoseletsky is not single or double trigger as severance is paid for these named executive officers based on a termination by Cantaloupe without cause and without respect to a change in control.</w:t>
      </w:r>
    </w:p>
    <w:p>
      <w:pPr>
        <w:spacing w:after="0" w:line="350" w:lineRule="exact"/>
        <w:rPr>
          <w:sz w:val="20"/>
          <w:szCs w:val="20"/>
          <w:color w:val="auto"/>
        </w:rPr>
      </w:pPr>
    </w:p>
    <w:p>
      <w:pPr>
        <w:spacing w:after="0"/>
        <w:rPr>
          <w:sz w:val="20"/>
          <w:szCs w:val="20"/>
          <w:color w:val="auto"/>
        </w:rPr>
      </w:pPr>
      <w:r>
        <w:rPr>
          <w:rFonts w:ascii="Arial" w:cs="Arial" w:eastAsia="Arial" w:hAnsi="Arial"/>
          <w:sz w:val="13"/>
          <w:szCs w:val="13"/>
          <w:color w:val="202945"/>
        </w:rPr>
        <w:t>The following table quantifies each separate form of cash payment included in the aggregate total reported in the “Cash” column.</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2460" w:type="dxa"/>
            <w:vAlign w:val="bottom"/>
          </w:tcPr>
          <w:p>
            <w:pPr>
              <w:ind w:left="1200"/>
              <w:spacing w:after="0"/>
              <w:rPr>
                <w:sz w:val="20"/>
                <w:szCs w:val="20"/>
                <w:color w:val="auto"/>
              </w:rPr>
            </w:pPr>
            <w:r>
              <w:rPr>
                <w:rFonts w:ascii="Arial" w:cs="Arial" w:eastAsia="Arial" w:hAnsi="Arial"/>
                <w:sz w:val="13"/>
                <w:szCs w:val="13"/>
                <w:b w:val="1"/>
                <w:bCs w:val="1"/>
                <w:color w:val="auto"/>
              </w:rPr>
              <w:t>Severance</w:t>
            </w:r>
          </w:p>
        </w:tc>
        <w:tc>
          <w:tcPr>
            <w:tcW w:w="2660" w:type="dxa"/>
            <w:vAlign w:val="bottom"/>
          </w:tcPr>
          <w:p>
            <w:pPr>
              <w:spacing w:after="0"/>
              <w:rPr>
                <w:sz w:val="14"/>
                <w:szCs w:val="14"/>
                <w:color w:val="auto"/>
              </w:rPr>
            </w:pPr>
          </w:p>
        </w:tc>
        <w:tc>
          <w:tcPr>
            <w:tcW w:w="3420" w:type="dxa"/>
            <w:vAlign w:val="bottom"/>
          </w:tcPr>
          <w:p>
            <w:pPr>
              <w:spacing w:after="0"/>
              <w:rPr>
                <w:sz w:val="14"/>
                <w:szCs w:val="14"/>
                <w:color w:val="auto"/>
              </w:rPr>
            </w:pPr>
          </w:p>
        </w:tc>
      </w:tr>
      <w:tr>
        <w:trPr>
          <w:trHeight w:val="176"/>
        </w:trPr>
        <w:tc>
          <w:tcPr>
            <w:tcW w:w="2700" w:type="dxa"/>
            <w:vAlign w:val="bottom"/>
            <w:tcBorders>
              <w:bottom w:val="single" w:sz="8" w:color="FF7F32"/>
            </w:tcBorders>
          </w:tcPr>
          <w:p>
            <w:pPr>
              <w:ind w:left="20"/>
              <w:spacing w:after="0"/>
              <w:rPr>
                <w:sz w:val="20"/>
                <w:szCs w:val="20"/>
                <w:color w:val="auto"/>
              </w:rPr>
            </w:pPr>
            <w:r>
              <w:rPr>
                <w:rFonts w:ascii="Arial" w:cs="Arial" w:eastAsia="Arial" w:hAnsi="Arial"/>
                <w:sz w:val="13"/>
                <w:szCs w:val="13"/>
                <w:b w:val="1"/>
                <w:bCs w:val="1"/>
                <w:color w:val="auto"/>
              </w:rPr>
              <w:t>Named Executive Officer</w:t>
            </w:r>
          </w:p>
        </w:tc>
        <w:tc>
          <w:tcPr>
            <w:tcW w:w="2460" w:type="dxa"/>
            <w:vAlign w:val="bottom"/>
            <w:tcBorders>
              <w:bottom w:val="single" w:sz="8" w:color="FF7F32"/>
            </w:tcBorders>
          </w:tcPr>
          <w:p>
            <w:pPr>
              <w:jc w:val="center"/>
              <w:ind w:left="517"/>
              <w:spacing w:after="0"/>
              <w:rPr>
                <w:sz w:val="20"/>
                <w:szCs w:val="20"/>
                <w:color w:val="auto"/>
              </w:rPr>
            </w:pPr>
            <w:r>
              <w:rPr>
                <w:rFonts w:ascii="Arial" w:cs="Arial" w:eastAsia="Arial" w:hAnsi="Arial"/>
                <w:sz w:val="13"/>
                <w:szCs w:val="13"/>
                <w:b w:val="1"/>
                <w:bCs w:val="1"/>
                <w:color w:val="auto"/>
              </w:rPr>
              <w:t>($)</w:t>
            </w:r>
          </w:p>
        </w:tc>
        <w:tc>
          <w:tcPr>
            <w:tcW w:w="2660" w:type="dxa"/>
            <w:vAlign w:val="bottom"/>
            <w:tcBorders>
              <w:bottom w:val="single" w:sz="8" w:color="FF7F32"/>
            </w:tcBorders>
          </w:tcPr>
          <w:p>
            <w:pPr>
              <w:ind w:left="620"/>
              <w:spacing w:after="0"/>
              <w:rPr>
                <w:sz w:val="20"/>
                <w:szCs w:val="20"/>
                <w:color w:val="auto"/>
              </w:rPr>
            </w:pPr>
            <w:r>
              <w:rPr>
                <w:rFonts w:ascii="Arial" w:cs="Arial" w:eastAsia="Arial" w:hAnsi="Arial"/>
                <w:sz w:val="13"/>
                <w:szCs w:val="13"/>
                <w:b w:val="1"/>
                <w:bCs w:val="1"/>
                <w:color w:val="auto"/>
              </w:rPr>
              <w:t>Transaction Bonus</w:t>
            </w:r>
          </w:p>
        </w:tc>
        <w:tc>
          <w:tcPr>
            <w:tcW w:w="3420" w:type="dxa"/>
            <w:vAlign w:val="bottom"/>
            <w:tcBorders>
              <w:bottom w:val="single" w:sz="8" w:color="FF7F32"/>
            </w:tcBorders>
          </w:tcPr>
          <w:p>
            <w:pPr>
              <w:ind w:left="900"/>
              <w:spacing w:after="0"/>
              <w:rPr>
                <w:sz w:val="20"/>
                <w:szCs w:val="20"/>
                <w:color w:val="auto"/>
              </w:rPr>
            </w:pPr>
            <w:r>
              <w:rPr>
                <w:rFonts w:ascii="Arial" w:cs="Arial" w:eastAsia="Arial" w:hAnsi="Arial"/>
                <w:sz w:val="13"/>
                <w:szCs w:val="13"/>
                <w:b w:val="1"/>
                <w:bCs w:val="1"/>
                <w:color w:val="auto"/>
              </w:rPr>
              <w:t>2026 Annual Bonuses ($)</w:t>
            </w:r>
          </w:p>
        </w:tc>
      </w:tr>
      <w:tr>
        <w:trPr>
          <w:trHeight w:val="168"/>
        </w:trPr>
        <w:tc>
          <w:tcPr>
            <w:tcW w:w="2700" w:type="dxa"/>
            <w:vAlign w:val="bottom"/>
            <w:tcBorders>
              <w:bottom w:val="single" w:sz="8" w:color="D9D9D9"/>
            </w:tcBorders>
          </w:tcPr>
          <w:p>
            <w:pPr>
              <w:ind w:left="20"/>
              <w:spacing w:after="0"/>
              <w:rPr>
                <w:sz w:val="20"/>
                <w:szCs w:val="20"/>
                <w:color w:val="auto"/>
              </w:rPr>
            </w:pPr>
            <w:r>
              <w:rPr>
                <w:rFonts w:ascii="Arial" w:cs="Arial" w:eastAsia="Arial" w:hAnsi="Arial"/>
                <w:sz w:val="13"/>
                <w:szCs w:val="13"/>
                <w:color w:val="auto"/>
              </w:rPr>
              <w:t>Ravi Venkatesan</w:t>
            </w:r>
          </w:p>
        </w:tc>
        <w:tc>
          <w:tcPr>
            <w:tcW w:w="2460" w:type="dxa"/>
            <w:vAlign w:val="bottom"/>
            <w:tcBorders>
              <w:bottom w:val="single" w:sz="8" w:color="D9D9D9"/>
            </w:tcBorders>
          </w:tcPr>
          <w:p>
            <w:pPr>
              <w:jc w:val="center"/>
              <w:ind w:left="517"/>
              <w:spacing w:after="0"/>
              <w:rPr>
                <w:sz w:val="20"/>
                <w:szCs w:val="20"/>
                <w:color w:val="auto"/>
              </w:rPr>
            </w:pPr>
            <w:r>
              <w:rPr>
                <w:rFonts w:ascii="Arial" w:cs="Arial" w:eastAsia="Arial" w:hAnsi="Arial"/>
                <w:sz w:val="13"/>
                <w:szCs w:val="13"/>
                <w:color w:val="auto"/>
                <w:w w:val="93"/>
              </w:rPr>
              <w:t>900,000</w:t>
            </w:r>
          </w:p>
        </w:tc>
        <w:tc>
          <w:tcPr>
            <w:tcW w:w="2660" w:type="dxa"/>
            <w:vAlign w:val="bottom"/>
            <w:tcBorders>
              <w:bottom w:val="single" w:sz="8" w:color="D9D9D9"/>
            </w:tcBorders>
          </w:tcPr>
          <w:p>
            <w:pPr>
              <w:jc w:val="center"/>
              <w:ind w:right="237"/>
              <w:spacing w:after="0"/>
              <w:rPr>
                <w:sz w:val="20"/>
                <w:szCs w:val="20"/>
                <w:color w:val="auto"/>
              </w:rPr>
            </w:pPr>
            <w:r>
              <w:rPr>
                <w:rFonts w:ascii="Arial" w:cs="Arial" w:eastAsia="Arial" w:hAnsi="Arial"/>
                <w:sz w:val="13"/>
                <w:szCs w:val="13"/>
                <w:color w:val="auto"/>
                <w:w w:val="91"/>
              </w:rPr>
              <w:t>-</w:t>
            </w:r>
          </w:p>
        </w:tc>
        <w:tc>
          <w:tcPr>
            <w:tcW w:w="3420" w:type="dxa"/>
            <w:vAlign w:val="bottom"/>
            <w:tcBorders>
              <w:bottom w:val="single" w:sz="8" w:color="D9D9D9"/>
            </w:tcBorders>
          </w:tcPr>
          <w:p>
            <w:pPr>
              <w:jc w:val="center"/>
              <w:ind w:right="57"/>
              <w:spacing w:after="0"/>
              <w:rPr>
                <w:sz w:val="20"/>
                <w:szCs w:val="20"/>
                <w:color w:val="auto"/>
              </w:rPr>
            </w:pPr>
            <w:r>
              <w:rPr>
                <w:rFonts w:ascii="Arial" w:cs="Arial" w:eastAsia="Arial" w:hAnsi="Arial"/>
                <w:sz w:val="13"/>
                <w:szCs w:val="13"/>
                <w:color w:val="auto"/>
                <w:w w:val="97"/>
              </w:rPr>
              <w:t>450,000</w:t>
            </w:r>
          </w:p>
        </w:tc>
      </w:tr>
      <w:tr>
        <w:trPr>
          <w:trHeight w:val="169"/>
        </w:trPr>
        <w:tc>
          <w:tcPr>
            <w:tcW w:w="2700" w:type="dxa"/>
            <w:vAlign w:val="bottom"/>
            <w:tcBorders>
              <w:bottom w:val="single" w:sz="8" w:color="D9D9D9"/>
            </w:tcBorders>
          </w:tcPr>
          <w:p>
            <w:pPr>
              <w:ind w:left="20"/>
              <w:spacing w:after="0"/>
              <w:rPr>
                <w:sz w:val="20"/>
                <w:szCs w:val="20"/>
                <w:color w:val="auto"/>
              </w:rPr>
            </w:pPr>
            <w:r>
              <w:rPr>
                <w:rFonts w:ascii="Arial" w:cs="Arial" w:eastAsia="Arial" w:hAnsi="Arial"/>
                <w:sz w:val="13"/>
                <w:szCs w:val="13"/>
                <w:color w:val="auto"/>
              </w:rPr>
              <w:t>Scott Stewart</w:t>
            </w:r>
          </w:p>
        </w:tc>
        <w:tc>
          <w:tcPr>
            <w:tcW w:w="2460" w:type="dxa"/>
            <w:vAlign w:val="bottom"/>
            <w:tcBorders>
              <w:bottom w:val="single" w:sz="8" w:color="D9D9D9"/>
            </w:tcBorders>
          </w:tcPr>
          <w:p>
            <w:pPr>
              <w:jc w:val="center"/>
              <w:ind w:left="517"/>
              <w:spacing w:after="0"/>
              <w:rPr>
                <w:sz w:val="20"/>
                <w:szCs w:val="20"/>
                <w:color w:val="auto"/>
              </w:rPr>
            </w:pPr>
            <w:r>
              <w:rPr>
                <w:rFonts w:ascii="Arial" w:cs="Arial" w:eastAsia="Arial" w:hAnsi="Arial"/>
                <w:sz w:val="13"/>
                <w:szCs w:val="13"/>
                <w:color w:val="auto"/>
                <w:w w:val="93"/>
              </w:rPr>
              <w:t>624,000</w:t>
            </w:r>
          </w:p>
        </w:tc>
        <w:tc>
          <w:tcPr>
            <w:tcW w:w="2660" w:type="dxa"/>
            <w:vAlign w:val="bottom"/>
            <w:tcBorders>
              <w:bottom w:val="single" w:sz="8" w:color="D9D9D9"/>
            </w:tcBorders>
          </w:tcPr>
          <w:p>
            <w:pPr>
              <w:jc w:val="center"/>
              <w:ind w:right="217"/>
              <w:spacing w:after="0"/>
              <w:rPr>
                <w:sz w:val="20"/>
                <w:szCs w:val="20"/>
                <w:color w:val="auto"/>
              </w:rPr>
            </w:pPr>
            <w:r>
              <w:rPr>
                <w:rFonts w:ascii="Arial" w:cs="Arial" w:eastAsia="Arial" w:hAnsi="Arial"/>
                <w:sz w:val="13"/>
                <w:szCs w:val="13"/>
                <w:color w:val="auto"/>
                <w:w w:val="97"/>
              </w:rPr>
              <w:t>200,000</w:t>
            </w:r>
          </w:p>
        </w:tc>
        <w:tc>
          <w:tcPr>
            <w:tcW w:w="3420" w:type="dxa"/>
            <w:vAlign w:val="bottom"/>
            <w:tcBorders>
              <w:bottom w:val="single" w:sz="8" w:color="D9D9D9"/>
            </w:tcBorders>
          </w:tcPr>
          <w:p>
            <w:pPr>
              <w:jc w:val="center"/>
              <w:ind w:right="57"/>
              <w:spacing w:after="0"/>
              <w:rPr>
                <w:sz w:val="20"/>
                <w:szCs w:val="20"/>
                <w:color w:val="auto"/>
              </w:rPr>
            </w:pPr>
            <w:r>
              <w:rPr>
                <w:rFonts w:ascii="Arial" w:cs="Arial" w:eastAsia="Arial" w:hAnsi="Arial"/>
                <w:sz w:val="13"/>
                <w:szCs w:val="13"/>
                <w:color w:val="auto"/>
                <w:w w:val="97"/>
              </w:rPr>
              <w:t>208,000</w:t>
            </w:r>
          </w:p>
        </w:tc>
      </w:tr>
      <w:tr>
        <w:trPr>
          <w:trHeight w:val="169"/>
        </w:trPr>
        <w:tc>
          <w:tcPr>
            <w:tcW w:w="2700" w:type="dxa"/>
            <w:vAlign w:val="bottom"/>
            <w:tcBorders>
              <w:bottom w:val="single" w:sz="8" w:color="D9D9D9"/>
            </w:tcBorders>
          </w:tcPr>
          <w:p>
            <w:pPr>
              <w:ind w:left="20"/>
              <w:spacing w:after="0"/>
              <w:rPr>
                <w:sz w:val="20"/>
                <w:szCs w:val="20"/>
                <w:color w:val="auto"/>
              </w:rPr>
            </w:pPr>
            <w:r>
              <w:rPr>
                <w:rFonts w:ascii="Arial" w:cs="Arial" w:eastAsia="Arial" w:hAnsi="Arial"/>
                <w:sz w:val="13"/>
                <w:szCs w:val="13"/>
                <w:color w:val="auto"/>
              </w:rPr>
              <w:t>Jeffrey Dumbrell</w:t>
            </w:r>
          </w:p>
        </w:tc>
        <w:tc>
          <w:tcPr>
            <w:tcW w:w="2460" w:type="dxa"/>
            <w:vAlign w:val="bottom"/>
            <w:tcBorders>
              <w:bottom w:val="single" w:sz="8" w:color="D9D9D9"/>
            </w:tcBorders>
          </w:tcPr>
          <w:p>
            <w:pPr>
              <w:jc w:val="center"/>
              <w:ind w:left="517"/>
              <w:spacing w:after="0"/>
              <w:rPr>
                <w:sz w:val="20"/>
                <w:szCs w:val="20"/>
                <w:color w:val="auto"/>
              </w:rPr>
            </w:pPr>
            <w:r>
              <w:rPr>
                <w:rFonts w:ascii="Arial" w:cs="Arial" w:eastAsia="Arial" w:hAnsi="Arial"/>
                <w:sz w:val="13"/>
                <w:szCs w:val="13"/>
                <w:color w:val="auto"/>
                <w:w w:val="93"/>
              </w:rPr>
              <w:t>208,000</w:t>
            </w:r>
          </w:p>
        </w:tc>
        <w:tc>
          <w:tcPr>
            <w:tcW w:w="2660" w:type="dxa"/>
            <w:vAlign w:val="bottom"/>
            <w:tcBorders>
              <w:bottom w:val="single" w:sz="8" w:color="D9D9D9"/>
            </w:tcBorders>
          </w:tcPr>
          <w:p>
            <w:pPr>
              <w:jc w:val="center"/>
              <w:ind w:right="237"/>
              <w:spacing w:after="0"/>
              <w:rPr>
                <w:sz w:val="20"/>
                <w:szCs w:val="20"/>
                <w:color w:val="auto"/>
              </w:rPr>
            </w:pPr>
            <w:r>
              <w:rPr>
                <w:rFonts w:ascii="Arial" w:cs="Arial" w:eastAsia="Arial" w:hAnsi="Arial"/>
                <w:sz w:val="13"/>
                <w:szCs w:val="13"/>
                <w:color w:val="auto"/>
                <w:w w:val="91"/>
              </w:rPr>
              <w:t>—</w:t>
            </w:r>
          </w:p>
        </w:tc>
        <w:tc>
          <w:tcPr>
            <w:tcW w:w="3420" w:type="dxa"/>
            <w:vAlign w:val="bottom"/>
            <w:tcBorders>
              <w:bottom w:val="single" w:sz="8" w:color="D9D9D9"/>
            </w:tcBorders>
          </w:tcPr>
          <w:p>
            <w:pPr>
              <w:jc w:val="center"/>
              <w:ind w:right="57"/>
              <w:spacing w:after="0"/>
              <w:rPr>
                <w:sz w:val="20"/>
                <w:szCs w:val="20"/>
                <w:color w:val="auto"/>
              </w:rPr>
            </w:pPr>
            <w:r>
              <w:rPr>
                <w:rFonts w:ascii="Arial" w:cs="Arial" w:eastAsia="Arial" w:hAnsi="Arial"/>
                <w:sz w:val="13"/>
                <w:szCs w:val="13"/>
                <w:color w:val="auto"/>
                <w:w w:val="97"/>
              </w:rPr>
              <w:t>208,000</w:t>
            </w:r>
          </w:p>
        </w:tc>
      </w:tr>
      <w:tr>
        <w:trPr>
          <w:trHeight w:val="201"/>
        </w:trPr>
        <w:tc>
          <w:tcPr>
            <w:tcW w:w="2700" w:type="dxa"/>
            <w:vAlign w:val="bottom"/>
            <w:tcBorders>
              <w:bottom w:val="single" w:sz="8" w:color="D9D9D9"/>
            </w:tcBorders>
          </w:tcPr>
          <w:p>
            <w:pPr>
              <w:ind w:left="20"/>
              <w:spacing w:after="0"/>
              <w:rPr>
                <w:sz w:val="20"/>
                <w:szCs w:val="20"/>
                <w:color w:val="auto"/>
              </w:rPr>
            </w:pPr>
            <w:r>
              <w:rPr>
                <w:rFonts w:ascii="Arial" w:cs="Arial" w:eastAsia="Arial" w:hAnsi="Arial"/>
                <w:sz w:val="13"/>
                <w:szCs w:val="13"/>
                <w:color w:val="auto"/>
              </w:rPr>
              <w:t>Gaurav Singal</w:t>
            </w:r>
            <w:r>
              <w:rPr>
                <w:rFonts w:ascii="Arial" w:cs="Arial" w:eastAsia="Arial" w:hAnsi="Arial"/>
                <w:sz w:val="16"/>
                <w:szCs w:val="16"/>
                <w:color w:val="auto"/>
                <w:vertAlign w:val="superscript"/>
              </w:rPr>
              <w:t>(3)</w:t>
            </w:r>
          </w:p>
        </w:tc>
        <w:tc>
          <w:tcPr>
            <w:tcW w:w="2460" w:type="dxa"/>
            <w:vAlign w:val="bottom"/>
            <w:tcBorders>
              <w:bottom w:val="single" w:sz="8" w:color="D9D9D9"/>
            </w:tcBorders>
          </w:tcPr>
          <w:p>
            <w:pPr>
              <w:jc w:val="center"/>
              <w:ind w:left="517"/>
              <w:spacing w:after="0"/>
              <w:rPr>
                <w:sz w:val="20"/>
                <w:szCs w:val="20"/>
                <w:color w:val="auto"/>
              </w:rPr>
            </w:pPr>
            <w:r>
              <w:rPr>
                <w:rFonts w:ascii="Arial" w:cs="Arial" w:eastAsia="Arial" w:hAnsi="Arial"/>
                <w:sz w:val="13"/>
                <w:szCs w:val="13"/>
                <w:color w:val="auto"/>
                <w:w w:val="93"/>
              </w:rPr>
              <w:t>186,559</w:t>
            </w:r>
          </w:p>
        </w:tc>
        <w:tc>
          <w:tcPr>
            <w:tcW w:w="2660" w:type="dxa"/>
            <w:vAlign w:val="bottom"/>
            <w:tcBorders>
              <w:bottom w:val="single" w:sz="8" w:color="D9D9D9"/>
            </w:tcBorders>
          </w:tcPr>
          <w:p>
            <w:pPr>
              <w:jc w:val="center"/>
              <w:ind w:right="237"/>
              <w:spacing w:after="0"/>
              <w:rPr>
                <w:sz w:val="20"/>
                <w:szCs w:val="20"/>
                <w:color w:val="auto"/>
              </w:rPr>
            </w:pPr>
            <w:r>
              <w:rPr>
                <w:rFonts w:ascii="Arial" w:cs="Arial" w:eastAsia="Arial" w:hAnsi="Arial"/>
                <w:sz w:val="13"/>
                <w:szCs w:val="13"/>
                <w:color w:val="auto"/>
                <w:w w:val="91"/>
              </w:rPr>
              <w:t>—</w:t>
            </w:r>
          </w:p>
        </w:tc>
        <w:tc>
          <w:tcPr>
            <w:tcW w:w="3420" w:type="dxa"/>
            <w:vAlign w:val="bottom"/>
            <w:tcBorders>
              <w:bottom w:val="single" w:sz="8" w:color="D9D9D9"/>
            </w:tcBorders>
          </w:tcPr>
          <w:p>
            <w:pPr>
              <w:jc w:val="center"/>
              <w:ind w:right="57"/>
              <w:spacing w:after="0"/>
              <w:rPr>
                <w:sz w:val="20"/>
                <w:szCs w:val="20"/>
                <w:color w:val="auto"/>
              </w:rPr>
            </w:pPr>
            <w:r>
              <w:rPr>
                <w:rFonts w:ascii="Arial" w:cs="Arial" w:eastAsia="Arial" w:hAnsi="Arial"/>
                <w:sz w:val="13"/>
                <w:szCs w:val="13"/>
                <w:color w:val="auto"/>
                <w:w w:val="97"/>
              </w:rPr>
              <w:t>186,559</w:t>
            </w:r>
          </w:p>
        </w:tc>
      </w:tr>
      <w:tr>
        <w:trPr>
          <w:trHeight w:val="164"/>
        </w:trPr>
        <w:tc>
          <w:tcPr>
            <w:tcW w:w="2700" w:type="dxa"/>
            <w:vAlign w:val="bottom"/>
            <w:tcBorders>
              <w:bottom w:val="single" w:sz="8" w:color="FF7F32"/>
            </w:tcBorders>
          </w:tcPr>
          <w:p>
            <w:pPr>
              <w:ind w:left="20"/>
              <w:spacing w:after="0"/>
              <w:rPr>
                <w:sz w:val="20"/>
                <w:szCs w:val="20"/>
                <w:color w:val="auto"/>
              </w:rPr>
            </w:pPr>
            <w:r>
              <w:rPr>
                <w:rFonts w:ascii="Arial" w:cs="Arial" w:eastAsia="Arial" w:hAnsi="Arial"/>
                <w:sz w:val="13"/>
                <w:szCs w:val="13"/>
                <w:color w:val="auto"/>
              </w:rPr>
              <w:t>Anna Novoseletsky</w:t>
            </w:r>
          </w:p>
        </w:tc>
        <w:tc>
          <w:tcPr>
            <w:tcW w:w="2460" w:type="dxa"/>
            <w:vAlign w:val="bottom"/>
            <w:tcBorders>
              <w:bottom w:val="single" w:sz="8" w:color="FF7F32"/>
            </w:tcBorders>
          </w:tcPr>
          <w:p>
            <w:pPr>
              <w:jc w:val="center"/>
              <w:ind w:left="517"/>
              <w:spacing w:after="0"/>
              <w:rPr>
                <w:sz w:val="20"/>
                <w:szCs w:val="20"/>
                <w:color w:val="auto"/>
              </w:rPr>
            </w:pPr>
            <w:r>
              <w:rPr>
                <w:rFonts w:ascii="Arial" w:cs="Arial" w:eastAsia="Arial" w:hAnsi="Arial"/>
                <w:sz w:val="13"/>
                <w:szCs w:val="13"/>
                <w:color w:val="auto"/>
                <w:w w:val="95"/>
              </w:rPr>
              <w:t>$175,000</w:t>
            </w:r>
          </w:p>
        </w:tc>
        <w:tc>
          <w:tcPr>
            <w:tcW w:w="2660" w:type="dxa"/>
            <w:vAlign w:val="bottom"/>
            <w:tcBorders>
              <w:bottom w:val="single" w:sz="8" w:color="FF7F32"/>
            </w:tcBorders>
          </w:tcPr>
          <w:p>
            <w:pPr>
              <w:jc w:val="center"/>
              <w:ind w:right="217"/>
              <w:spacing w:after="0"/>
              <w:rPr>
                <w:sz w:val="20"/>
                <w:szCs w:val="20"/>
                <w:color w:val="auto"/>
              </w:rPr>
            </w:pPr>
            <w:r>
              <w:rPr>
                <w:rFonts w:ascii="Arial" w:cs="Arial" w:eastAsia="Arial" w:hAnsi="Arial"/>
                <w:sz w:val="13"/>
                <w:szCs w:val="13"/>
                <w:color w:val="auto"/>
                <w:w w:val="96"/>
              </w:rPr>
              <w:t>100000</w:t>
            </w:r>
          </w:p>
        </w:tc>
        <w:tc>
          <w:tcPr>
            <w:tcW w:w="3420" w:type="dxa"/>
            <w:vAlign w:val="bottom"/>
            <w:tcBorders>
              <w:bottom w:val="single" w:sz="8" w:color="FF7F32"/>
            </w:tcBorders>
          </w:tcPr>
          <w:p>
            <w:pPr>
              <w:jc w:val="center"/>
              <w:ind w:right="57"/>
              <w:spacing w:after="0"/>
              <w:rPr>
                <w:sz w:val="20"/>
                <w:szCs w:val="20"/>
                <w:color w:val="auto"/>
              </w:rPr>
            </w:pPr>
            <w:r>
              <w:rPr>
                <w:rFonts w:ascii="Arial" w:cs="Arial" w:eastAsia="Arial" w:hAnsi="Arial"/>
                <w:sz w:val="13"/>
                <w:szCs w:val="13"/>
                <w:color w:val="auto"/>
                <w:w w:val="96"/>
              </w:rPr>
              <w:t>175000</w:t>
            </w:r>
          </w:p>
        </w:tc>
      </w:tr>
    </w:tbl>
    <w:p>
      <w:pPr>
        <w:spacing w:after="0" w:line="171" w:lineRule="exact"/>
        <w:rPr>
          <w:sz w:val="20"/>
          <w:szCs w:val="20"/>
          <w:color w:val="auto"/>
        </w:rPr>
      </w:pPr>
    </w:p>
    <w:p>
      <w:pPr>
        <w:ind w:left="200" w:right="280" w:hanging="192"/>
        <w:spacing w:after="0" w:line="274" w:lineRule="auto"/>
        <w:tabs>
          <w:tab w:leader="none" w:pos="186" w:val="left"/>
        </w:tabs>
        <w:numPr>
          <w:ilvl w:val="0"/>
          <w:numId w:val="72"/>
        </w:numPr>
        <w:rPr>
          <w:rFonts w:ascii="Arial" w:cs="Arial" w:eastAsia="Arial" w:hAnsi="Arial"/>
          <w:sz w:val="16"/>
          <w:szCs w:val="16"/>
          <w:color w:val="202945"/>
          <w:vertAlign w:val="superscript"/>
        </w:rPr>
      </w:pPr>
      <w:r>
        <w:rPr>
          <w:rFonts w:ascii="Arial" w:cs="Arial" w:eastAsia="Arial" w:hAnsi="Arial"/>
          <w:sz w:val="13"/>
          <w:szCs w:val="13"/>
          <w:i w:val="1"/>
          <w:iCs w:val="1"/>
          <w:color w:val="202945"/>
        </w:rPr>
        <w:t>Equity</w:t>
      </w:r>
      <w:r>
        <w:rPr>
          <w:rFonts w:ascii="Arial" w:cs="Arial" w:eastAsia="Arial" w:hAnsi="Arial"/>
          <w:sz w:val="13"/>
          <w:szCs w:val="13"/>
          <w:color w:val="202945"/>
        </w:rPr>
        <w:t>. Given the assumptions and treatment of Cantaloupe equity awards, these amounts reflect the cash-out of the Cantaloupe RSUs, Cantaloupe Restricted Stock Awards, Cantaloupe In-the-Money Options and Cantaloupe PSUs.</w:t>
      </w:r>
    </w:p>
    <w:p>
      <w:pPr>
        <w:spacing w:after="0" w:line="118" w:lineRule="exact"/>
        <w:rPr>
          <w:rFonts w:ascii="Arial" w:cs="Arial" w:eastAsia="Arial" w:hAnsi="Arial"/>
          <w:sz w:val="16"/>
          <w:szCs w:val="16"/>
          <w:color w:val="202945"/>
          <w:vertAlign w:val="superscript"/>
        </w:rPr>
      </w:pPr>
    </w:p>
    <w:p>
      <w:pPr>
        <w:ind w:left="200" w:right="60" w:hanging="192"/>
        <w:spacing w:after="0" w:line="274" w:lineRule="auto"/>
        <w:tabs>
          <w:tab w:leader="none" w:pos="186" w:val="left"/>
        </w:tabs>
        <w:numPr>
          <w:ilvl w:val="0"/>
          <w:numId w:val="72"/>
        </w:numPr>
        <w:rPr>
          <w:rFonts w:ascii="Arial" w:cs="Arial" w:eastAsia="Arial" w:hAnsi="Arial"/>
          <w:sz w:val="16"/>
          <w:szCs w:val="16"/>
          <w:color w:val="202945"/>
          <w:vertAlign w:val="superscript"/>
        </w:rPr>
      </w:pPr>
      <w:r>
        <w:rPr>
          <w:rFonts w:ascii="Arial" w:cs="Arial" w:eastAsia="Arial" w:hAnsi="Arial"/>
          <w:sz w:val="13"/>
          <w:szCs w:val="13"/>
          <w:color w:val="202945"/>
        </w:rPr>
        <w:t>Mr. Singal resigned from the Company following the end of the Company’s fiscal year, effective as of October 7, 2025. Mr. Singal was ineligible to receive any severance payments in connection with his resignation.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163830</wp:posOffset>
            </wp:positionV>
            <wp:extent cx="925830" cy="26543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925830" cy="26543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auto"/>
        </w:rPr>
        <w:t>66</w:t>
      </w:r>
      <w:r>
        <w:rPr>
          <w:sz w:val="20"/>
          <w:szCs w:val="20"/>
          <w:color w:val="auto"/>
        </w:rPr>
        <w:tab/>
      </w:r>
      <w:r>
        <w:rPr>
          <w:rFonts w:ascii="Arial" w:cs="Arial" w:eastAsia="Arial" w:hAnsi="Arial"/>
          <w:sz w:val="12"/>
          <w:szCs w:val="12"/>
          <w:b w:val="1"/>
          <w:bCs w:val="1"/>
          <w:color w:val="FF7F32"/>
        </w:rPr>
        <w:t xml:space="preserve">2026 </w:t>
      </w:r>
      <w:r>
        <w:rPr>
          <w:rFonts w:ascii="Arial" w:cs="Arial" w:eastAsia="Arial" w:hAnsi="Arial"/>
          <w:sz w:val="12"/>
          <w:szCs w:val="12"/>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271145</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69" w:name="page70"/>
    <w:bookmarkEnd w:id="69"/>
    <w:p>
      <w:pPr>
        <w:spacing w:after="0"/>
        <w:rPr>
          <w:sz w:val="20"/>
          <w:szCs w:val="20"/>
          <w:color w:val="auto"/>
        </w:rPr>
      </w:pPr>
      <w:r>
        <w:rPr>
          <w:rFonts w:ascii="Arial" w:cs="Arial" w:eastAsia="Arial" w:hAnsi="Arial"/>
          <w:sz w:val="13"/>
          <w:szCs w:val="13"/>
          <w:color w:val="auto"/>
        </w:rPr>
        <w:t>Executive Compensation Tables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32"/>
          <w:szCs w:val="32"/>
          <w:b w:val="1"/>
          <w:bCs w:val="1"/>
          <w:color w:val="202945"/>
        </w:rPr>
        <w:t>CEO Pay Ratio Disclosure</w:t>
      </w:r>
    </w:p>
    <w:p>
      <w:pPr>
        <w:spacing w:after="0" w:line="269" w:lineRule="exact"/>
        <w:rPr>
          <w:sz w:val="20"/>
          <w:szCs w:val="20"/>
          <w:color w:val="auto"/>
        </w:rPr>
      </w:pPr>
    </w:p>
    <w:p>
      <w:pPr>
        <w:jc w:val="both"/>
        <w:ind w:right="400"/>
        <w:spacing w:after="0" w:line="336" w:lineRule="auto"/>
        <w:rPr>
          <w:sz w:val="20"/>
          <w:szCs w:val="20"/>
          <w:color w:val="auto"/>
        </w:rPr>
      </w:pPr>
      <w:r>
        <w:rPr>
          <w:rFonts w:ascii="Arial" w:cs="Arial" w:eastAsia="Arial" w:hAnsi="Arial"/>
          <w:sz w:val="16"/>
          <w:szCs w:val="16"/>
          <w:color w:val="auto"/>
        </w:rPr>
        <w:t>As required by SEC rules, we are providing the following information about the relationship of the annualized total compensation of our Chief Executive Officer, Ravi Venkatesan, to that of our median employee. The pay ratio and annual total compensation amount disclosed in this section are reasonable estimates that have been calculated using methodologies and assumptions permitted by SEC rules.</w:t>
      </w:r>
    </w:p>
    <w:p>
      <w:pPr>
        <w:spacing w:after="0" w:line="220" w:lineRule="exact"/>
        <w:rPr>
          <w:sz w:val="20"/>
          <w:szCs w:val="20"/>
          <w:color w:val="auto"/>
        </w:rPr>
      </w:pPr>
    </w:p>
    <w:p>
      <w:pPr>
        <w:spacing w:after="0"/>
        <w:rPr>
          <w:sz w:val="20"/>
          <w:szCs w:val="20"/>
          <w:color w:val="auto"/>
        </w:rPr>
      </w:pPr>
      <w:r>
        <w:rPr>
          <w:rFonts w:ascii="Arial" w:cs="Arial" w:eastAsia="Arial" w:hAnsi="Arial"/>
          <w:sz w:val="29"/>
          <w:szCs w:val="29"/>
          <w:b w:val="1"/>
          <w:bCs w:val="1"/>
          <w:color w:val="FF7F32"/>
        </w:rPr>
        <w:t>Median Employee Determination</w:t>
      </w:r>
    </w:p>
    <w:p>
      <w:pPr>
        <w:spacing w:after="0" w:line="267" w:lineRule="exact"/>
        <w:rPr>
          <w:sz w:val="20"/>
          <w:szCs w:val="20"/>
          <w:color w:val="auto"/>
        </w:rPr>
      </w:pPr>
    </w:p>
    <w:p>
      <w:pPr>
        <w:jc w:val="both"/>
        <w:ind w:right="120"/>
        <w:spacing w:after="0" w:line="345" w:lineRule="auto"/>
        <w:rPr>
          <w:sz w:val="20"/>
          <w:szCs w:val="20"/>
          <w:color w:val="auto"/>
        </w:rPr>
      </w:pPr>
      <w:r>
        <w:rPr>
          <w:rFonts w:ascii="Arial" w:cs="Arial" w:eastAsia="Arial" w:hAnsi="Arial"/>
          <w:sz w:val="16"/>
          <w:szCs w:val="16"/>
          <w:color w:val="auto"/>
        </w:rPr>
        <w:t>We identified our median employee in fiscal 2025 by calculating the fiscal 2025 cash compensation for all of our employees, excluding our Chief Executive Officer, who were employed by us on June 30, 2025. Cash compensation included all cash salaries, wages, and bonuses paid to each employee during the fiscal year.</w:t>
      </w:r>
    </w:p>
    <w:p>
      <w:pPr>
        <w:spacing w:after="0" w:line="213" w:lineRule="exact"/>
        <w:rPr>
          <w:sz w:val="20"/>
          <w:szCs w:val="20"/>
          <w:color w:val="auto"/>
        </w:rPr>
      </w:pPr>
    </w:p>
    <w:p>
      <w:pPr>
        <w:ind w:right="160"/>
        <w:spacing w:after="0" w:line="336" w:lineRule="auto"/>
        <w:rPr>
          <w:sz w:val="20"/>
          <w:szCs w:val="20"/>
          <w:color w:val="auto"/>
        </w:rPr>
      </w:pPr>
      <w:r>
        <w:rPr>
          <w:rFonts w:ascii="Arial" w:cs="Arial" w:eastAsia="Arial" w:hAnsi="Arial"/>
          <w:sz w:val="29"/>
          <w:szCs w:val="29"/>
          <w:b w:val="1"/>
          <w:bCs w:val="1"/>
          <w:color w:val="FF7F32"/>
        </w:rPr>
        <w:t>Annual Compensation of Median Employee Using Summary Compensation Table Methodology</w:t>
      </w:r>
    </w:p>
    <w:p>
      <w:pPr>
        <w:spacing w:after="0" w:line="72" w:lineRule="exact"/>
        <w:rPr>
          <w:sz w:val="20"/>
          <w:szCs w:val="20"/>
          <w:color w:val="auto"/>
        </w:rPr>
      </w:pPr>
    </w:p>
    <w:p>
      <w:pPr>
        <w:jc w:val="both"/>
        <w:ind w:right="100"/>
        <w:spacing w:after="0" w:line="356" w:lineRule="auto"/>
        <w:rPr>
          <w:sz w:val="20"/>
          <w:szCs w:val="20"/>
          <w:color w:val="auto"/>
        </w:rPr>
      </w:pPr>
      <w:r>
        <w:rPr>
          <w:rFonts w:ascii="Arial" w:cs="Arial" w:eastAsia="Arial" w:hAnsi="Arial"/>
          <w:sz w:val="16"/>
          <w:szCs w:val="16"/>
          <w:color w:val="auto"/>
        </w:rPr>
        <w:t>After identifying the median employee as described above, we calculated annual total compensation for this employee using the same methodology we use in the Summary Compensation Table. The fiscal 2025 compensation for our median employee was $80,000, and our Chief Executive Officer was $957,707.</w:t>
      </w:r>
    </w:p>
    <w:p>
      <w:pPr>
        <w:spacing w:after="0" w:line="204" w:lineRule="exact"/>
        <w:rPr>
          <w:sz w:val="20"/>
          <w:szCs w:val="20"/>
          <w:color w:val="auto"/>
        </w:rPr>
      </w:pPr>
    </w:p>
    <w:p>
      <w:pPr>
        <w:spacing w:after="0"/>
        <w:rPr>
          <w:sz w:val="20"/>
          <w:szCs w:val="20"/>
          <w:color w:val="auto"/>
        </w:rPr>
      </w:pPr>
      <w:r>
        <w:rPr>
          <w:rFonts w:ascii="Arial" w:cs="Arial" w:eastAsia="Arial" w:hAnsi="Arial"/>
          <w:sz w:val="29"/>
          <w:szCs w:val="29"/>
          <w:b w:val="1"/>
          <w:bCs w:val="1"/>
          <w:color w:val="FF7F32"/>
        </w:rPr>
        <w:t>2025 Pay Ratio</w:t>
      </w:r>
    </w:p>
    <w:p>
      <w:pPr>
        <w:spacing w:after="0" w:line="267" w:lineRule="exact"/>
        <w:rPr>
          <w:sz w:val="20"/>
          <w:szCs w:val="20"/>
          <w:color w:val="auto"/>
        </w:rPr>
      </w:pPr>
    </w:p>
    <w:p>
      <w:pPr>
        <w:spacing w:after="0" w:line="330" w:lineRule="auto"/>
        <w:rPr>
          <w:sz w:val="20"/>
          <w:szCs w:val="20"/>
          <w:color w:val="auto"/>
        </w:rPr>
      </w:pPr>
      <w:r>
        <w:rPr>
          <w:rFonts w:ascii="Arial" w:cs="Arial" w:eastAsia="Arial" w:hAnsi="Arial"/>
          <w:sz w:val="16"/>
          <w:szCs w:val="16"/>
          <w:color w:val="auto"/>
        </w:rPr>
        <w:t>Based on the above information, the estimated ratio of the annual total compensation of our Chief Executive Officer to the median employee is 12:1. The pay ratio reported by other companies may not be comparable to the pay ratio reported above, due to variances in business mix, proportion of seasonal and part-time employees, distribution of employees across geographies, and the wide range of methodologies that the SEC rules allow companies to adopt in calculating this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146685</wp:posOffset>
            </wp:positionV>
            <wp:extent cx="925830" cy="26543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925830" cy="265430"/>
                    </a:xfrm>
                    <a:prstGeom prst="rect">
                      <a:avLst/>
                    </a:prstGeom>
                    <a:noFill/>
                  </pic:spPr>
                </pic:pic>
              </a:graphicData>
            </a:graphic>
          </wp:anchor>
        </w:drawing>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b w:val="1"/>
                <w:bCs w:val="1"/>
                <w:color w:val="FF7F32"/>
              </w:rPr>
              <w:t xml:space="preserve">2026 </w:t>
            </w:r>
            <w:r>
              <w:rPr>
                <w:rFonts w:ascii="Arial" w:cs="Arial" w:eastAsia="Arial" w:hAnsi="Arial"/>
                <w:sz w:val="13"/>
                <w:szCs w:val="13"/>
                <w:color w:val="000000"/>
              </w:rPr>
              <w:t>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auto"/>
              </w:rPr>
              <w:t>67</w:t>
            </w:r>
          </w:p>
        </w:tc>
      </w:tr>
      <w:tr>
        <w:trPr>
          <w:trHeight w:val="433"/>
        </w:trPr>
        <w:tc>
          <w:tcPr>
            <w:tcW w:w="618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3"/>
          <w:szCs w:val="13"/>
          <w:color w:val="auto"/>
        </w:rPr>
        <w:t>Executive Compensation Tables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32"/>
          <w:szCs w:val="32"/>
          <w:b w:val="1"/>
          <w:bCs w:val="1"/>
          <w:color w:val="202945"/>
        </w:rPr>
        <w:t>Pay Versus Performance</w:t>
      </w:r>
    </w:p>
    <w:p>
      <w:pPr>
        <w:spacing w:after="0" w:line="269" w:lineRule="exact"/>
        <w:rPr>
          <w:sz w:val="20"/>
          <w:szCs w:val="20"/>
          <w:color w:val="auto"/>
        </w:rPr>
      </w:pPr>
    </w:p>
    <w:p>
      <w:pPr>
        <w:ind w:right="100"/>
        <w:spacing w:after="0" w:line="330" w:lineRule="auto"/>
        <w:rPr>
          <w:sz w:val="20"/>
          <w:szCs w:val="20"/>
          <w:color w:val="auto"/>
        </w:rPr>
      </w:pPr>
      <w:r>
        <w:rPr>
          <w:rFonts w:ascii="Arial" w:cs="Arial" w:eastAsia="Arial" w:hAnsi="Arial"/>
          <w:sz w:val="16"/>
          <w:szCs w:val="16"/>
          <w:color w:val="auto"/>
        </w:rPr>
        <w:t>As required by Section 953(a) of the Dodd-Frank Wall Street Reform and Consumer Protection Act of 2010 and Item 402(v) of Regulation S-K, we are providing the following information about the relationship between executive compensation actually paid and certain financial performance of the Company. The following table sets forth information regarding compensation for Mr. Venkatesan, our principal executive officer (PEO), Mr. Feeney, our former principal executive officer, and average compensation related to our other named executive officers versus our Company performance for the past three years.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color w:val="auto"/>
              </w:rPr>
              <w:t>Average</w:t>
            </w:r>
          </w:p>
        </w:tc>
        <w:tc>
          <w:tcPr>
            <w:tcW w:w="1340" w:type="dxa"/>
            <w:vAlign w:val="bottom"/>
          </w:tcPr>
          <w:p>
            <w:pPr>
              <w:spacing w:after="0"/>
              <w:rPr>
                <w:sz w:val="14"/>
                <w:szCs w:val="14"/>
                <w:color w:val="auto"/>
              </w:rPr>
            </w:pPr>
          </w:p>
        </w:tc>
        <w:tc>
          <w:tcPr>
            <w:tcW w:w="2420" w:type="dxa"/>
            <w:vAlign w:val="bottom"/>
            <w:gridSpan w:val="2"/>
          </w:tcPr>
          <w:p>
            <w:pPr>
              <w:jc w:val="right"/>
              <w:ind w:right="308"/>
              <w:spacing w:after="0"/>
              <w:rPr>
                <w:sz w:val="20"/>
                <w:szCs w:val="20"/>
                <w:color w:val="auto"/>
              </w:rPr>
            </w:pPr>
            <w:r>
              <w:rPr>
                <w:rFonts w:ascii="Arial" w:cs="Arial" w:eastAsia="Arial" w:hAnsi="Arial"/>
                <w:sz w:val="14"/>
                <w:szCs w:val="14"/>
                <w:color w:val="auto"/>
              </w:rPr>
              <w:t>Value of Initial Fixed $100</w:t>
            </w:r>
          </w:p>
        </w:tc>
        <w:tc>
          <w:tcPr>
            <w:tcW w:w="1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340" w:type="dxa"/>
            <w:vAlign w:val="bottom"/>
          </w:tcPr>
          <w:p>
            <w:pPr>
              <w:spacing w:after="0"/>
              <w:rPr>
                <w:sz w:val="15"/>
                <w:szCs w:val="15"/>
                <w:color w:val="auto"/>
              </w:rPr>
            </w:pPr>
          </w:p>
        </w:tc>
        <w:tc>
          <w:tcPr>
            <w:tcW w:w="2420" w:type="dxa"/>
            <w:vAlign w:val="bottom"/>
            <w:gridSpan w:val="2"/>
          </w:tcPr>
          <w:p>
            <w:pPr>
              <w:jc w:val="right"/>
              <w:ind w:right="448"/>
              <w:spacing w:after="0"/>
              <w:rPr>
                <w:sz w:val="20"/>
                <w:szCs w:val="20"/>
                <w:color w:val="auto"/>
              </w:rPr>
            </w:pPr>
            <w:r>
              <w:rPr>
                <w:rFonts w:ascii="Arial" w:cs="Arial" w:eastAsia="Arial" w:hAnsi="Arial"/>
                <w:sz w:val="14"/>
                <w:szCs w:val="14"/>
                <w:color w:val="auto"/>
              </w:rPr>
              <w:t>Investment based on:</w:t>
            </w:r>
          </w:p>
        </w:tc>
        <w:tc>
          <w:tcPr>
            <w:tcW w:w="14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6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80" w:type="dxa"/>
            <w:vAlign w:val="bottom"/>
          </w:tcPr>
          <w:p>
            <w:pPr>
              <w:jc w:val="center"/>
              <w:spacing w:after="0" w:line="125" w:lineRule="exact"/>
              <w:rPr>
                <w:sz w:val="20"/>
                <w:szCs w:val="20"/>
                <w:color w:val="auto"/>
              </w:rPr>
            </w:pPr>
            <w:r>
              <w:rPr>
                <w:rFonts w:ascii="Arial" w:cs="Arial" w:eastAsia="Arial" w:hAnsi="Arial"/>
                <w:sz w:val="14"/>
                <w:szCs w:val="14"/>
                <w:color w:val="auto"/>
              </w:rPr>
              <w:t>Summary</w:t>
            </w:r>
          </w:p>
        </w:tc>
        <w:tc>
          <w:tcPr>
            <w:tcW w:w="1340" w:type="dxa"/>
            <w:vAlign w:val="bottom"/>
          </w:tcPr>
          <w:p>
            <w:pPr>
              <w:jc w:val="center"/>
              <w:spacing w:after="0" w:line="125" w:lineRule="exact"/>
              <w:rPr>
                <w:sz w:val="20"/>
                <w:szCs w:val="20"/>
                <w:color w:val="auto"/>
              </w:rPr>
            </w:pPr>
            <w:r>
              <w:rPr>
                <w:rFonts w:ascii="Arial" w:cs="Arial" w:eastAsia="Arial" w:hAnsi="Arial"/>
                <w:sz w:val="14"/>
                <w:szCs w:val="14"/>
                <w:color w:val="auto"/>
              </w:rPr>
              <w:t>Average</w:t>
            </w:r>
          </w:p>
        </w:tc>
        <w:tc>
          <w:tcPr>
            <w:tcW w:w="1200" w:type="dxa"/>
            <w:vAlign w:val="bottom"/>
            <w:tcBorders>
              <w:bottom w:val="single" w:sz="8" w:color="FF7F32"/>
            </w:tcBorders>
          </w:tcPr>
          <w:p>
            <w:pPr>
              <w:spacing w:after="0"/>
              <w:rPr>
                <w:sz w:val="12"/>
                <w:szCs w:val="12"/>
                <w:color w:val="auto"/>
              </w:rPr>
            </w:pPr>
          </w:p>
        </w:tc>
        <w:tc>
          <w:tcPr>
            <w:tcW w:w="1220" w:type="dxa"/>
            <w:vAlign w:val="bottom"/>
            <w:tcBorders>
              <w:bottom w:val="single" w:sz="8" w:color="FF7F32"/>
            </w:tcBorders>
          </w:tcPr>
          <w:p>
            <w:pPr>
              <w:spacing w:after="0"/>
              <w:rPr>
                <w:sz w:val="12"/>
                <w:szCs w:val="12"/>
                <w:color w:val="auto"/>
              </w:rPr>
            </w:pPr>
          </w:p>
        </w:tc>
        <w:tc>
          <w:tcPr>
            <w:tcW w:w="14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620" w:type="dxa"/>
            <w:vAlign w:val="bottom"/>
          </w:tcPr>
          <w:p>
            <w:pPr>
              <w:spacing w:after="0"/>
              <w:rPr>
                <w:sz w:val="16"/>
                <w:szCs w:val="16"/>
                <w:color w:val="auto"/>
              </w:rPr>
            </w:pPr>
          </w:p>
        </w:tc>
        <w:tc>
          <w:tcPr>
            <w:tcW w:w="1260" w:type="dxa"/>
            <w:vAlign w:val="bottom"/>
          </w:tcPr>
          <w:p>
            <w:pPr>
              <w:jc w:val="center"/>
              <w:ind w:right="8"/>
              <w:spacing w:after="0"/>
              <w:rPr>
                <w:sz w:val="20"/>
                <w:szCs w:val="20"/>
                <w:color w:val="auto"/>
              </w:rPr>
            </w:pPr>
            <w:r>
              <w:rPr>
                <w:rFonts w:ascii="Arial" w:cs="Arial" w:eastAsia="Arial" w:hAnsi="Arial"/>
                <w:sz w:val="14"/>
                <w:szCs w:val="14"/>
                <w:color w:val="auto"/>
              </w:rPr>
              <w:t>Summary</w:t>
            </w:r>
          </w:p>
        </w:tc>
        <w:tc>
          <w:tcPr>
            <w:tcW w:w="1320" w:type="dxa"/>
            <w:vAlign w:val="bottom"/>
          </w:tcPr>
          <w:p>
            <w:pPr>
              <w:jc w:val="center"/>
              <w:spacing w:after="0"/>
              <w:rPr>
                <w:sz w:val="20"/>
                <w:szCs w:val="20"/>
                <w:color w:val="auto"/>
              </w:rPr>
            </w:pPr>
            <w:r>
              <w:rPr>
                <w:rFonts w:ascii="Arial" w:cs="Arial" w:eastAsia="Arial" w:hAnsi="Arial"/>
                <w:sz w:val="14"/>
                <w:szCs w:val="14"/>
                <w:color w:val="auto"/>
              </w:rPr>
              <w:t>Compensation</w:t>
            </w:r>
          </w:p>
        </w:tc>
        <w:tc>
          <w:tcPr>
            <w:tcW w:w="1280" w:type="dxa"/>
            <w:vAlign w:val="bottom"/>
          </w:tcPr>
          <w:p>
            <w:pPr>
              <w:jc w:val="center"/>
              <w:spacing w:after="0"/>
              <w:rPr>
                <w:sz w:val="20"/>
                <w:szCs w:val="20"/>
                <w:color w:val="auto"/>
              </w:rPr>
            </w:pPr>
            <w:r>
              <w:rPr>
                <w:rFonts w:ascii="Arial" w:cs="Arial" w:eastAsia="Arial" w:hAnsi="Arial"/>
                <w:sz w:val="14"/>
                <w:szCs w:val="14"/>
                <w:color w:val="auto"/>
              </w:rPr>
              <w:t>Compensation</w:t>
            </w:r>
          </w:p>
        </w:tc>
        <w:tc>
          <w:tcPr>
            <w:tcW w:w="1340" w:type="dxa"/>
            <w:vAlign w:val="bottom"/>
          </w:tcPr>
          <w:p>
            <w:pPr>
              <w:jc w:val="center"/>
              <w:spacing w:after="0"/>
              <w:rPr>
                <w:sz w:val="20"/>
                <w:szCs w:val="20"/>
                <w:color w:val="auto"/>
              </w:rPr>
            </w:pPr>
            <w:r>
              <w:rPr>
                <w:rFonts w:ascii="Arial" w:cs="Arial" w:eastAsia="Arial" w:hAnsi="Arial"/>
                <w:sz w:val="14"/>
                <w:szCs w:val="14"/>
                <w:color w:val="auto"/>
              </w:rPr>
              <w:t>Compensation</w:t>
            </w:r>
          </w:p>
        </w:tc>
        <w:tc>
          <w:tcPr>
            <w:tcW w:w="12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rPr>
              <w:t>Peer Group</w:t>
            </w:r>
          </w:p>
        </w:tc>
        <w:tc>
          <w:tcPr>
            <w:tcW w:w="14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1260" w:type="dxa"/>
            <w:vAlign w:val="bottom"/>
          </w:tcPr>
          <w:p>
            <w:pPr>
              <w:jc w:val="center"/>
              <w:ind w:right="8"/>
              <w:spacing w:after="0"/>
              <w:rPr>
                <w:sz w:val="20"/>
                <w:szCs w:val="20"/>
                <w:color w:val="auto"/>
              </w:rPr>
            </w:pPr>
            <w:r>
              <w:rPr>
                <w:rFonts w:ascii="Arial" w:cs="Arial" w:eastAsia="Arial" w:hAnsi="Arial"/>
                <w:sz w:val="14"/>
                <w:szCs w:val="14"/>
                <w:color w:val="auto"/>
              </w:rPr>
              <w:t>Compensation</w:t>
            </w:r>
          </w:p>
        </w:tc>
        <w:tc>
          <w:tcPr>
            <w:tcW w:w="1320" w:type="dxa"/>
            <w:vAlign w:val="bottom"/>
          </w:tcPr>
          <w:p>
            <w:pPr>
              <w:jc w:val="center"/>
              <w:spacing w:after="0"/>
              <w:rPr>
                <w:sz w:val="20"/>
                <w:szCs w:val="20"/>
                <w:color w:val="auto"/>
              </w:rPr>
            </w:pPr>
            <w:r>
              <w:rPr>
                <w:rFonts w:ascii="Arial" w:cs="Arial" w:eastAsia="Arial" w:hAnsi="Arial"/>
                <w:sz w:val="14"/>
                <w:szCs w:val="14"/>
                <w:color w:val="auto"/>
              </w:rPr>
              <w:t>Actually</w:t>
            </w:r>
          </w:p>
        </w:tc>
        <w:tc>
          <w:tcPr>
            <w:tcW w:w="1280" w:type="dxa"/>
            <w:vAlign w:val="bottom"/>
          </w:tcPr>
          <w:p>
            <w:pPr>
              <w:jc w:val="center"/>
              <w:spacing w:after="0"/>
              <w:rPr>
                <w:sz w:val="20"/>
                <w:szCs w:val="20"/>
                <w:color w:val="auto"/>
              </w:rPr>
            </w:pPr>
            <w:r>
              <w:rPr>
                <w:rFonts w:ascii="Arial" w:cs="Arial" w:eastAsia="Arial" w:hAnsi="Arial"/>
                <w:sz w:val="14"/>
                <w:szCs w:val="14"/>
                <w:color w:val="auto"/>
                <w:w w:val="97"/>
              </w:rPr>
              <w:t>Table Total</w:t>
            </w:r>
          </w:p>
        </w:tc>
        <w:tc>
          <w:tcPr>
            <w:tcW w:w="1340" w:type="dxa"/>
            <w:vAlign w:val="bottom"/>
          </w:tcPr>
          <w:p>
            <w:pPr>
              <w:jc w:val="center"/>
              <w:spacing w:after="0"/>
              <w:rPr>
                <w:sz w:val="20"/>
                <w:szCs w:val="20"/>
                <w:color w:val="auto"/>
              </w:rPr>
            </w:pPr>
            <w:r>
              <w:rPr>
                <w:rFonts w:ascii="Arial" w:cs="Arial" w:eastAsia="Arial" w:hAnsi="Arial"/>
                <w:sz w:val="14"/>
                <w:szCs w:val="14"/>
                <w:color w:val="auto"/>
              </w:rPr>
              <w:t>Actually Paid</w:t>
            </w:r>
          </w:p>
        </w:tc>
        <w:tc>
          <w:tcPr>
            <w:tcW w:w="1200" w:type="dxa"/>
            <w:vAlign w:val="bottom"/>
          </w:tcPr>
          <w:p>
            <w:pPr>
              <w:jc w:val="center"/>
              <w:spacing w:after="0"/>
              <w:rPr>
                <w:sz w:val="20"/>
                <w:szCs w:val="20"/>
                <w:color w:val="auto"/>
              </w:rPr>
            </w:pPr>
            <w:r>
              <w:rPr>
                <w:rFonts w:ascii="Arial" w:cs="Arial" w:eastAsia="Arial" w:hAnsi="Arial"/>
                <w:sz w:val="14"/>
                <w:szCs w:val="14"/>
                <w:color w:val="auto"/>
              </w:rPr>
              <w:t>Total</w:t>
            </w:r>
          </w:p>
        </w:tc>
        <w:tc>
          <w:tcPr>
            <w:tcW w:w="1220" w:type="dxa"/>
            <w:vAlign w:val="bottom"/>
          </w:tcPr>
          <w:p>
            <w:pPr>
              <w:jc w:val="center"/>
              <w:spacing w:after="0"/>
              <w:rPr>
                <w:sz w:val="20"/>
                <w:szCs w:val="20"/>
                <w:color w:val="auto"/>
              </w:rPr>
            </w:pPr>
            <w:r>
              <w:rPr>
                <w:rFonts w:ascii="Arial" w:cs="Arial" w:eastAsia="Arial" w:hAnsi="Arial"/>
                <w:sz w:val="14"/>
                <w:szCs w:val="14"/>
                <w:color w:val="auto"/>
                <w:w w:val="96"/>
              </w:rPr>
              <w:t>Total</w:t>
            </w:r>
          </w:p>
        </w:tc>
        <w:tc>
          <w:tcPr>
            <w:tcW w:w="1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620" w:type="dxa"/>
            <w:vAlign w:val="bottom"/>
            <w:vMerge w:val="restart"/>
          </w:tcPr>
          <w:p>
            <w:pPr>
              <w:jc w:val="right"/>
              <w:ind w:right="228"/>
              <w:spacing w:after="0"/>
              <w:rPr>
                <w:sz w:val="20"/>
                <w:szCs w:val="20"/>
                <w:color w:val="auto"/>
              </w:rPr>
            </w:pPr>
            <w:r>
              <w:rPr>
                <w:rFonts w:ascii="Arial" w:cs="Arial" w:eastAsia="Arial" w:hAnsi="Arial"/>
                <w:sz w:val="14"/>
                <w:szCs w:val="14"/>
                <w:color w:val="auto"/>
              </w:rPr>
              <w:t>Year</w:t>
            </w:r>
          </w:p>
        </w:tc>
        <w:tc>
          <w:tcPr>
            <w:tcW w:w="1260" w:type="dxa"/>
            <w:vAlign w:val="bottom"/>
          </w:tcPr>
          <w:p>
            <w:pPr>
              <w:jc w:val="center"/>
              <w:ind w:right="8"/>
              <w:spacing w:after="0"/>
              <w:rPr>
                <w:sz w:val="20"/>
                <w:szCs w:val="20"/>
                <w:color w:val="auto"/>
              </w:rPr>
            </w:pPr>
            <w:r>
              <w:rPr>
                <w:rFonts w:ascii="Arial" w:cs="Arial" w:eastAsia="Arial" w:hAnsi="Arial"/>
                <w:sz w:val="14"/>
                <w:szCs w:val="14"/>
                <w:color w:val="auto"/>
                <w:w w:val="99"/>
              </w:rPr>
              <w:t>Table Total</w:t>
            </w:r>
          </w:p>
        </w:tc>
        <w:tc>
          <w:tcPr>
            <w:tcW w:w="1320" w:type="dxa"/>
            <w:vAlign w:val="bottom"/>
          </w:tcPr>
          <w:p>
            <w:pPr>
              <w:ind w:left="420"/>
              <w:spacing w:after="0"/>
              <w:rPr>
                <w:sz w:val="20"/>
                <w:szCs w:val="20"/>
                <w:color w:val="auto"/>
              </w:rPr>
            </w:pPr>
            <w:r>
              <w:rPr>
                <w:rFonts w:ascii="Arial" w:cs="Arial" w:eastAsia="Arial" w:hAnsi="Arial"/>
                <w:sz w:val="14"/>
                <w:szCs w:val="14"/>
                <w:color w:val="auto"/>
              </w:rPr>
              <w:t>Paid to</w:t>
            </w:r>
          </w:p>
        </w:tc>
        <w:tc>
          <w:tcPr>
            <w:tcW w:w="1280" w:type="dxa"/>
            <w:vAlign w:val="bottom"/>
          </w:tcPr>
          <w:p>
            <w:pPr>
              <w:jc w:val="center"/>
              <w:spacing w:after="0"/>
              <w:rPr>
                <w:sz w:val="20"/>
                <w:szCs w:val="20"/>
                <w:color w:val="auto"/>
              </w:rPr>
            </w:pPr>
            <w:r>
              <w:rPr>
                <w:rFonts w:ascii="Arial" w:cs="Arial" w:eastAsia="Arial" w:hAnsi="Arial"/>
                <w:sz w:val="14"/>
                <w:szCs w:val="14"/>
                <w:color w:val="auto"/>
              </w:rPr>
              <w:t>for Non-PEO</w:t>
            </w:r>
          </w:p>
        </w:tc>
        <w:tc>
          <w:tcPr>
            <w:tcW w:w="1340" w:type="dxa"/>
            <w:vAlign w:val="bottom"/>
          </w:tcPr>
          <w:p>
            <w:pPr>
              <w:jc w:val="center"/>
              <w:spacing w:after="0"/>
              <w:rPr>
                <w:sz w:val="20"/>
                <w:szCs w:val="20"/>
                <w:color w:val="auto"/>
              </w:rPr>
            </w:pPr>
            <w:r>
              <w:rPr>
                <w:rFonts w:ascii="Arial" w:cs="Arial" w:eastAsia="Arial" w:hAnsi="Arial"/>
                <w:sz w:val="14"/>
                <w:szCs w:val="14"/>
                <w:color w:val="auto"/>
              </w:rPr>
              <w:t>to Non-PEO</w:t>
            </w:r>
          </w:p>
        </w:tc>
        <w:tc>
          <w:tcPr>
            <w:tcW w:w="1200" w:type="dxa"/>
            <w:vAlign w:val="bottom"/>
          </w:tcPr>
          <w:p>
            <w:pPr>
              <w:jc w:val="center"/>
              <w:spacing w:after="0"/>
              <w:rPr>
                <w:sz w:val="20"/>
                <w:szCs w:val="20"/>
                <w:color w:val="auto"/>
              </w:rPr>
            </w:pPr>
            <w:r>
              <w:rPr>
                <w:rFonts w:ascii="Arial" w:cs="Arial" w:eastAsia="Arial" w:hAnsi="Arial"/>
                <w:sz w:val="14"/>
                <w:szCs w:val="14"/>
                <w:color w:val="auto"/>
              </w:rPr>
              <w:t>Shareholder</w:t>
            </w:r>
          </w:p>
        </w:tc>
        <w:tc>
          <w:tcPr>
            <w:tcW w:w="1220" w:type="dxa"/>
            <w:vAlign w:val="bottom"/>
          </w:tcPr>
          <w:p>
            <w:pPr>
              <w:jc w:val="center"/>
              <w:spacing w:after="0"/>
              <w:rPr>
                <w:sz w:val="20"/>
                <w:szCs w:val="20"/>
                <w:color w:val="auto"/>
              </w:rPr>
            </w:pPr>
            <w:r>
              <w:rPr>
                <w:rFonts w:ascii="Arial" w:cs="Arial" w:eastAsia="Arial" w:hAnsi="Arial"/>
                <w:sz w:val="14"/>
                <w:szCs w:val="14"/>
                <w:color w:val="auto"/>
              </w:rPr>
              <w:t>Shareholder</w:t>
            </w:r>
          </w:p>
        </w:tc>
        <w:tc>
          <w:tcPr>
            <w:tcW w:w="1480" w:type="dxa"/>
            <w:vAlign w:val="bottom"/>
          </w:tcPr>
          <w:p>
            <w:pPr>
              <w:jc w:val="center"/>
              <w:ind w:left="112"/>
              <w:spacing w:after="0"/>
              <w:rPr>
                <w:sz w:val="20"/>
                <w:szCs w:val="20"/>
                <w:color w:val="auto"/>
              </w:rPr>
            </w:pPr>
            <w:r>
              <w:rPr>
                <w:rFonts w:ascii="Arial" w:cs="Arial" w:eastAsia="Arial" w:hAnsi="Arial"/>
                <w:sz w:val="14"/>
                <w:szCs w:val="14"/>
                <w:color w:val="auto"/>
              </w:rPr>
              <w:t>Net Income ($)</w:t>
            </w:r>
          </w:p>
        </w:tc>
        <w:tc>
          <w:tcPr>
            <w:tcW w:w="1340" w:type="dxa"/>
            <w:vAlign w:val="bottom"/>
          </w:tcPr>
          <w:p>
            <w:pPr>
              <w:jc w:val="right"/>
              <w:ind w:right="368"/>
              <w:spacing w:after="0"/>
              <w:rPr>
                <w:sz w:val="20"/>
                <w:szCs w:val="20"/>
                <w:color w:val="auto"/>
              </w:rPr>
            </w:pPr>
            <w:r>
              <w:rPr>
                <w:rFonts w:ascii="Arial" w:cs="Arial" w:eastAsia="Arial" w:hAnsi="Arial"/>
                <w:sz w:val="14"/>
                <w:szCs w:val="14"/>
                <w:color w:val="auto"/>
              </w:rPr>
              <w:t>Adjusted</w:t>
            </w:r>
          </w:p>
        </w:tc>
        <w:tc>
          <w:tcPr>
            <w:tcW w:w="0" w:type="dxa"/>
            <w:vAlign w:val="bottom"/>
          </w:tcPr>
          <w:p>
            <w:pPr>
              <w:spacing w:after="0"/>
              <w:rPr>
                <w:sz w:val="1"/>
                <w:szCs w:val="1"/>
                <w:color w:val="auto"/>
              </w:rPr>
            </w:pPr>
          </w:p>
        </w:tc>
      </w:tr>
      <w:tr>
        <w:trPr>
          <w:trHeight w:val="175"/>
        </w:trPr>
        <w:tc>
          <w:tcPr>
            <w:tcW w:w="620" w:type="dxa"/>
            <w:vAlign w:val="bottom"/>
            <w:tcBorders>
              <w:bottom w:val="single" w:sz="8" w:color="FF7F32"/>
            </w:tcBorders>
            <w:vMerge w:val="continue"/>
          </w:tcPr>
          <w:p>
            <w:pPr>
              <w:spacing w:after="0"/>
              <w:rPr>
                <w:sz w:val="15"/>
                <w:szCs w:val="15"/>
                <w:color w:val="auto"/>
              </w:rPr>
            </w:pPr>
          </w:p>
        </w:tc>
        <w:tc>
          <w:tcPr>
            <w:tcW w:w="1260" w:type="dxa"/>
            <w:vAlign w:val="bottom"/>
            <w:tcBorders>
              <w:bottom w:val="single" w:sz="8" w:color="FF7F32"/>
            </w:tcBorders>
          </w:tcPr>
          <w:p>
            <w:pPr>
              <w:jc w:val="center"/>
              <w:ind w:right="8"/>
              <w:spacing w:after="0" w:line="176" w:lineRule="exact"/>
              <w:rPr>
                <w:sz w:val="20"/>
                <w:szCs w:val="20"/>
                <w:color w:val="auto"/>
              </w:rPr>
            </w:pPr>
            <w:r>
              <w:rPr>
                <w:rFonts w:ascii="Arial" w:cs="Arial" w:eastAsia="Arial" w:hAnsi="Arial"/>
                <w:sz w:val="14"/>
                <w:szCs w:val="14"/>
                <w:color w:val="auto"/>
              </w:rPr>
              <w:t>for PEO ($)</w:t>
            </w:r>
            <w:r>
              <w:rPr>
                <w:rFonts w:ascii="Arial" w:cs="Arial" w:eastAsia="Arial" w:hAnsi="Arial"/>
                <w:sz w:val="18"/>
                <w:szCs w:val="18"/>
                <w:color w:val="auto"/>
                <w:vertAlign w:val="superscript"/>
              </w:rPr>
              <w:t>(1)</w:t>
            </w:r>
          </w:p>
        </w:tc>
        <w:tc>
          <w:tcPr>
            <w:tcW w:w="1320" w:type="dxa"/>
            <w:vAlign w:val="bottom"/>
            <w:tcBorders>
              <w:bottom w:val="single" w:sz="8" w:color="FF7F32"/>
            </w:tcBorders>
          </w:tcPr>
          <w:p>
            <w:pPr>
              <w:jc w:val="center"/>
              <w:spacing w:after="0" w:line="176" w:lineRule="exact"/>
              <w:rPr>
                <w:sz w:val="20"/>
                <w:szCs w:val="20"/>
                <w:color w:val="auto"/>
              </w:rPr>
            </w:pPr>
            <w:r>
              <w:rPr>
                <w:rFonts w:ascii="Arial" w:cs="Arial" w:eastAsia="Arial" w:hAnsi="Arial"/>
                <w:sz w:val="14"/>
                <w:szCs w:val="14"/>
                <w:color w:val="auto"/>
                <w:w w:val="94"/>
              </w:rPr>
              <w:t>PEO ($)</w:t>
            </w:r>
            <w:r>
              <w:rPr>
                <w:rFonts w:ascii="Arial" w:cs="Arial" w:eastAsia="Arial" w:hAnsi="Arial"/>
                <w:sz w:val="18"/>
                <w:szCs w:val="18"/>
                <w:color w:val="auto"/>
                <w:w w:val="94"/>
                <w:vertAlign w:val="superscript"/>
              </w:rPr>
              <w:t>(2)</w:t>
            </w:r>
          </w:p>
        </w:tc>
        <w:tc>
          <w:tcPr>
            <w:tcW w:w="1280" w:type="dxa"/>
            <w:vAlign w:val="bottom"/>
            <w:tcBorders>
              <w:bottom w:val="single" w:sz="8" w:color="FF7F32"/>
            </w:tcBorders>
          </w:tcPr>
          <w:p>
            <w:pPr>
              <w:jc w:val="center"/>
              <w:spacing w:after="0" w:line="176" w:lineRule="exact"/>
              <w:rPr>
                <w:sz w:val="20"/>
                <w:szCs w:val="20"/>
                <w:color w:val="auto"/>
              </w:rPr>
            </w:pPr>
            <w:r>
              <w:rPr>
                <w:rFonts w:ascii="Arial" w:cs="Arial" w:eastAsia="Arial" w:hAnsi="Arial"/>
                <w:sz w:val="14"/>
                <w:szCs w:val="14"/>
                <w:color w:val="auto"/>
                <w:w w:val="98"/>
              </w:rPr>
              <w:t>NEOs ($)</w:t>
            </w:r>
            <w:r>
              <w:rPr>
                <w:rFonts w:ascii="Arial" w:cs="Arial" w:eastAsia="Arial" w:hAnsi="Arial"/>
                <w:sz w:val="18"/>
                <w:szCs w:val="18"/>
                <w:color w:val="auto"/>
                <w:w w:val="98"/>
                <w:vertAlign w:val="superscript"/>
              </w:rPr>
              <w:t>(3)</w:t>
            </w:r>
          </w:p>
        </w:tc>
        <w:tc>
          <w:tcPr>
            <w:tcW w:w="1340" w:type="dxa"/>
            <w:vAlign w:val="bottom"/>
            <w:tcBorders>
              <w:bottom w:val="single" w:sz="8" w:color="FF7F32"/>
            </w:tcBorders>
          </w:tcPr>
          <w:p>
            <w:pPr>
              <w:jc w:val="center"/>
              <w:spacing w:after="0"/>
              <w:rPr>
                <w:sz w:val="20"/>
                <w:szCs w:val="20"/>
                <w:color w:val="auto"/>
              </w:rPr>
            </w:pPr>
            <w:r>
              <w:rPr>
                <w:rFonts w:ascii="Arial" w:cs="Arial" w:eastAsia="Arial" w:hAnsi="Arial"/>
                <w:sz w:val="14"/>
                <w:szCs w:val="14"/>
                <w:color w:val="auto"/>
              </w:rPr>
              <w:t>NEOs ($)</w:t>
            </w:r>
            <w:r>
              <w:rPr>
                <w:rFonts w:ascii="Arial" w:cs="Arial" w:eastAsia="Arial" w:hAnsi="Arial"/>
                <w:sz w:val="9"/>
                <w:szCs w:val="9"/>
                <w:color w:val="auto"/>
              </w:rPr>
              <w:t>(2)(3)</w:t>
            </w:r>
          </w:p>
        </w:tc>
        <w:tc>
          <w:tcPr>
            <w:tcW w:w="1200" w:type="dxa"/>
            <w:vAlign w:val="bottom"/>
            <w:tcBorders>
              <w:bottom w:val="single" w:sz="8" w:color="FF7F32"/>
            </w:tcBorders>
          </w:tcPr>
          <w:p>
            <w:pPr>
              <w:jc w:val="center"/>
              <w:spacing w:after="0" w:line="176" w:lineRule="exact"/>
              <w:rPr>
                <w:sz w:val="20"/>
                <w:szCs w:val="20"/>
                <w:color w:val="auto"/>
              </w:rPr>
            </w:pPr>
            <w:r>
              <w:rPr>
                <w:rFonts w:ascii="Arial" w:cs="Arial" w:eastAsia="Arial" w:hAnsi="Arial"/>
                <w:sz w:val="14"/>
                <w:szCs w:val="14"/>
                <w:color w:val="auto"/>
                <w:w w:val="97"/>
              </w:rPr>
              <w:t>Return ($)</w:t>
            </w:r>
            <w:r>
              <w:rPr>
                <w:rFonts w:ascii="Arial" w:cs="Arial" w:eastAsia="Arial" w:hAnsi="Arial"/>
                <w:sz w:val="18"/>
                <w:szCs w:val="18"/>
                <w:color w:val="auto"/>
                <w:w w:val="97"/>
                <w:vertAlign w:val="superscript"/>
              </w:rPr>
              <w:t>(4)</w:t>
            </w:r>
          </w:p>
        </w:tc>
        <w:tc>
          <w:tcPr>
            <w:tcW w:w="1220" w:type="dxa"/>
            <w:vAlign w:val="bottom"/>
            <w:tcBorders>
              <w:bottom w:val="single" w:sz="8" w:color="FF7F32"/>
            </w:tcBorders>
          </w:tcPr>
          <w:p>
            <w:pPr>
              <w:jc w:val="center"/>
              <w:spacing w:after="0" w:line="176" w:lineRule="exact"/>
              <w:rPr>
                <w:sz w:val="20"/>
                <w:szCs w:val="20"/>
                <w:color w:val="auto"/>
              </w:rPr>
            </w:pPr>
            <w:r>
              <w:rPr>
                <w:rFonts w:ascii="Arial" w:cs="Arial" w:eastAsia="Arial" w:hAnsi="Arial"/>
                <w:sz w:val="14"/>
                <w:szCs w:val="14"/>
                <w:color w:val="auto"/>
                <w:w w:val="97"/>
              </w:rPr>
              <w:t>Return ($)</w:t>
            </w:r>
            <w:r>
              <w:rPr>
                <w:rFonts w:ascii="Arial" w:cs="Arial" w:eastAsia="Arial" w:hAnsi="Arial"/>
                <w:sz w:val="18"/>
                <w:szCs w:val="18"/>
                <w:color w:val="auto"/>
                <w:w w:val="97"/>
                <w:vertAlign w:val="superscript"/>
              </w:rPr>
              <w:t>(5)</w:t>
            </w:r>
          </w:p>
        </w:tc>
        <w:tc>
          <w:tcPr>
            <w:tcW w:w="1480" w:type="dxa"/>
            <w:vAlign w:val="bottom"/>
            <w:tcBorders>
              <w:bottom w:val="single" w:sz="8" w:color="FF7F32"/>
            </w:tcBorders>
          </w:tcPr>
          <w:p>
            <w:pPr>
              <w:jc w:val="center"/>
              <w:ind w:left="92"/>
              <w:spacing w:after="0"/>
              <w:rPr>
                <w:sz w:val="20"/>
                <w:szCs w:val="20"/>
                <w:color w:val="auto"/>
              </w:rPr>
            </w:pPr>
            <w:r>
              <w:rPr>
                <w:rFonts w:ascii="Arial" w:cs="Arial" w:eastAsia="Arial" w:hAnsi="Arial"/>
                <w:sz w:val="9"/>
                <w:szCs w:val="9"/>
                <w:color w:val="auto"/>
              </w:rPr>
              <w:t>(6)</w:t>
            </w:r>
          </w:p>
        </w:tc>
        <w:tc>
          <w:tcPr>
            <w:tcW w:w="1340" w:type="dxa"/>
            <w:vAlign w:val="bottom"/>
            <w:tcBorders>
              <w:bottom w:val="single" w:sz="8" w:color="FF7F32"/>
            </w:tcBorders>
          </w:tcPr>
          <w:p>
            <w:pPr>
              <w:jc w:val="right"/>
              <w:ind w:right="208"/>
              <w:spacing w:after="0" w:line="176" w:lineRule="exact"/>
              <w:rPr>
                <w:sz w:val="20"/>
                <w:szCs w:val="20"/>
                <w:color w:val="auto"/>
              </w:rPr>
            </w:pPr>
            <w:r>
              <w:rPr>
                <w:rFonts w:ascii="Arial" w:cs="Arial" w:eastAsia="Arial" w:hAnsi="Arial"/>
                <w:sz w:val="14"/>
                <w:szCs w:val="14"/>
                <w:color w:val="auto"/>
              </w:rPr>
              <w:t>EBITDA* ($)</w:t>
            </w:r>
            <w:r>
              <w:rPr>
                <w:rFonts w:ascii="Arial" w:cs="Arial" w:eastAsia="Arial" w:hAnsi="Arial"/>
                <w:sz w:val="18"/>
                <w:szCs w:val="18"/>
                <w:color w:val="auto"/>
                <w:vertAlign w:val="superscript"/>
              </w:rPr>
              <w:t>(7)</w:t>
            </w:r>
          </w:p>
        </w:tc>
        <w:tc>
          <w:tcPr>
            <w:tcW w:w="0" w:type="dxa"/>
            <w:vAlign w:val="bottom"/>
          </w:tcPr>
          <w:p>
            <w:pPr>
              <w:spacing w:after="0"/>
              <w:rPr>
                <w:sz w:val="1"/>
                <w:szCs w:val="1"/>
                <w:color w:val="auto"/>
              </w:rPr>
            </w:pPr>
          </w:p>
        </w:tc>
      </w:tr>
      <w:tr>
        <w:trPr>
          <w:trHeight w:val="192"/>
        </w:trPr>
        <w:tc>
          <w:tcPr>
            <w:tcW w:w="620" w:type="dxa"/>
            <w:vAlign w:val="bottom"/>
            <w:tcBorders>
              <w:bottom w:val="single" w:sz="8" w:color="D9D9D9"/>
            </w:tcBorders>
          </w:tcPr>
          <w:p>
            <w:pPr>
              <w:jc w:val="right"/>
              <w:ind w:right="68"/>
              <w:spacing w:after="0"/>
              <w:rPr>
                <w:sz w:val="20"/>
                <w:szCs w:val="20"/>
                <w:color w:val="auto"/>
              </w:rPr>
            </w:pPr>
            <w:r>
              <w:rPr>
                <w:rFonts w:ascii="Arial" w:cs="Arial" w:eastAsia="Arial" w:hAnsi="Arial"/>
                <w:sz w:val="14"/>
                <w:szCs w:val="14"/>
                <w:color w:val="auto"/>
              </w:rPr>
              <w:t>2025</w:t>
            </w:r>
          </w:p>
        </w:tc>
        <w:tc>
          <w:tcPr>
            <w:tcW w:w="1260" w:type="dxa"/>
            <w:vAlign w:val="bottom"/>
            <w:tcBorders>
              <w:bottom w:val="single" w:sz="8" w:color="D9D9D9"/>
            </w:tcBorders>
          </w:tcPr>
          <w:p>
            <w:pPr>
              <w:jc w:val="right"/>
              <w:ind w:right="168"/>
              <w:spacing w:after="0"/>
              <w:rPr>
                <w:sz w:val="20"/>
                <w:szCs w:val="20"/>
                <w:color w:val="auto"/>
              </w:rPr>
            </w:pPr>
            <w:r>
              <w:rPr>
                <w:rFonts w:ascii="Arial" w:cs="Arial" w:eastAsia="Arial" w:hAnsi="Arial"/>
                <w:sz w:val="14"/>
                <w:szCs w:val="14"/>
                <w:color w:val="auto"/>
              </w:rPr>
              <w:t>957,707</w:t>
            </w:r>
          </w:p>
        </w:tc>
        <w:tc>
          <w:tcPr>
            <w:tcW w:w="1320" w:type="dxa"/>
            <w:vAlign w:val="bottom"/>
            <w:tcBorders>
              <w:bottom w:val="single" w:sz="8" w:color="D9D9D9"/>
            </w:tcBorders>
          </w:tcPr>
          <w:p>
            <w:pPr>
              <w:ind w:left="440"/>
              <w:spacing w:after="0"/>
              <w:rPr>
                <w:sz w:val="20"/>
                <w:szCs w:val="20"/>
                <w:color w:val="auto"/>
              </w:rPr>
            </w:pPr>
            <w:r>
              <w:rPr>
                <w:rFonts w:ascii="Arial" w:cs="Arial" w:eastAsia="Arial" w:hAnsi="Arial"/>
                <w:sz w:val="14"/>
                <w:szCs w:val="14"/>
                <w:color w:val="auto"/>
              </w:rPr>
              <w:t>1,725,357</w:t>
            </w:r>
          </w:p>
        </w:tc>
        <w:tc>
          <w:tcPr>
            <w:tcW w:w="1280" w:type="dxa"/>
            <w:vAlign w:val="bottom"/>
            <w:tcBorders>
              <w:bottom w:val="single" w:sz="8" w:color="D9D9D9"/>
            </w:tcBorders>
          </w:tcPr>
          <w:p>
            <w:pPr>
              <w:jc w:val="right"/>
              <w:ind w:right="168"/>
              <w:spacing w:after="0"/>
              <w:rPr>
                <w:sz w:val="20"/>
                <w:szCs w:val="20"/>
                <w:color w:val="auto"/>
              </w:rPr>
            </w:pPr>
            <w:r>
              <w:rPr>
                <w:rFonts w:ascii="Arial" w:cs="Arial" w:eastAsia="Arial" w:hAnsi="Arial"/>
                <w:sz w:val="14"/>
                <w:szCs w:val="14"/>
                <w:color w:val="auto"/>
              </w:rPr>
              <w:t>975,073</w:t>
            </w:r>
          </w:p>
        </w:tc>
        <w:tc>
          <w:tcPr>
            <w:tcW w:w="1340" w:type="dxa"/>
            <w:vAlign w:val="bottom"/>
            <w:tcBorders>
              <w:bottom w:val="single" w:sz="8" w:color="D9D9D9"/>
            </w:tcBorders>
          </w:tcPr>
          <w:p>
            <w:pPr>
              <w:jc w:val="right"/>
              <w:ind w:right="168"/>
              <w:spacing w:after="0"/>
              <w:rPr>
                <w:sz w:val="20"/>
                <w:szCs w:val="20"/>
                <w:color w:val="auto"/>
              </w:rPr>
            </w:pPr>
            <w:r>
              <w:rPr>
                <w:rFonts w:ascii="Arial" w:cs="Arial" w:eastAsia="Arial" w:hAnsi="Arial"/>
                <w:sz w:val="14"/>
                <w:szCs w:val="14"/>
                <w:color w:val="auto"/>
              </w:rPr>
              <w:t>1,480,839</w:t>
            </w:r>
          </w:p>
        </w:tc>
        <w:tc>
          <w:tcPr>
            <w:tcW w:w="1200" w:type="dxa"/>
            <w:vAlign w:val="bottom"/>
            <w:tcBorders>
              <w:bottom w:val="single" w:sz="8" w:color="D9D9D9"/>
            </w:tcBorders>
          </w:tcPr>
          <w:p>
            <w:pPr>
              <w:jc w:val="right"/>
              <w:ind w:right="288"/>
              <w:spacing w:after="0"/>
              <w:rPr>
                <w:sz w:val="20"/>
                <w:szCs w:val="20"/>
                <w:color w:val="auto"/>
              </w:rPr>
            </w:pPr>
            <w:r>
              <w:rPr>
                <w:rFonts w:ascii="Arial" w:cs="Arial" w:eastAsia="Arial" w:hAnsi="Arial"/>
                <w:sz w:val="14"/>
                <w:szCs w:val="14"/>
                <w:color w:val="auto"/>
              </w:rPr>
              <w:t>56</w:t>
            </w:r>
          </w:p>
        </w:tc>
        <w:tc>
          <w:tcPr>
            <w:tcW w:w="1220" w:type="dxa"/>
            <w:vAlign w:val="bottom"/>
            <w:tcBorders>
              <w:bottom w:val="single" w:sz="8" w:color="D9D9D9"/>
            </w:tcBorders>
          </w:tcPr>
          <w:p>
            <w:pPr>
              <w:jc w:val="right"/>
              <w:ind w:right="288"/>
              <w:spacing w:after="0"/>
              <w:rPr>
                <w:sz w:val="20"/>
                <w:szCs w:val="20"/>
                <w:color w:val="auto"/>
              </w:rPr>
            </w:pPr>
            <w:r>
              <w:rPr>
                <w:rFonts w:ascii="Arial" w:cs="Arial" w:eastAsia="Arial" w:hAnsi="Arial"/>
                <w:sz w:val="14"/>
                <w:szCs w:val="14"/>
                <w:color w:val="auto"/>
              </w:rPr>
              <w:t>89</w:t>
            </w:r>
          </w:p>
        </w:tc>
        <w:tc>
          <w:tcPr>
            <w:tcW w:w="1480" w:type="dxa"/>
            <w:vAlign w:val="bottom"/>
            <w:tcBorders>
              <w:bottom w:val="single" w:sz="8" w:color="D9D9D9"/>
            </w:tcBorders>
          </w:tcPr>
          <w:p>
            <w:pPr>
              <w:jc w:val="right"/>
              <w:ind w:right="292"/>
              <w:spacing w:after="0"/>
              <w:rPr>
                <w:sz w:val="20"/>
                <w:szCs w:val="20"/>
                <w:color w:val="auto"/>
              </w:rPr>
            </w:pPr>
            <w:r>
              <w:rPr>
                <w:rFonts w:ascii="Arial" w:cs="Arial" w:eastAsia="Arial" w:hAnsi="Arial"/>
                <w:sz w:val="14"/>
                <w:szCs w:val="14"/>
                <w:color w:val="auto"/>
              </w:rPr>
              <w:t>64,533,000</w:t>
            </w:r>
          </w:p>
        </w:tc>
        <w:tc>
          <w:tcPr>
            <w:tcW w:w="1340" w:type="dxa"/>
            <w:vAlign w:val="bottom"/>
            <w:tcBorders>
              <w:bottom w:val="single" w:sz="8" w:color="D9D9D9"/>
            </w:tcBorders>
          </w:tcPr>
          <w:p>
            <w:pPr>
              <w:jc w:val="right"/>
              <w:ind w:right="168"/>
              <w:spacing w:after="0"/>
              <w:rPr>
                <w:sz w:val="20"/>
                <w:szCs w:val="20"/>
                <w:color w:val="auto"/>
              </w:rPr>
            </w:pPr>
            <w:r>
              <w:rPr>
                <w:rFonts w:ascii="Arial" w:cs="Arial" w:eastAsia="Arial" w:hAnsi="Arial"/>
                <w:sz w:val="14"/>
                <w:szCs w:val="14"/>
                <w:color w:val="auto"/>
              </w:rPr>
              <w:t>46,740,000</w:t>
            </w:r>
          </w:p>
        </w:tc>
        <w:tc>
          <w:tcPr>
            <w:tcW w:w="0" w:type="dxa"/>
            <w:vAlign w:val="bottom"/>
          </w:tcPr>
          <w:p>
            <w:pPr>
              <w:spacing w:after="0"/>
              <w:rPr>
                <w:sz w:val="1"/>
                <w:szCs w:val="1"/>
                <w:color w:val="auto"/>
              </w:rPr>
            </w:pPr>
          </w:p>
        </w:tc>
      </w:tr>
      <w:tr>
        <w:trPr>
          <w:trHeight w:val="196"/>
        </w:trPr>
        <w:tc>
          <w:tcPr>
            <w:tcW w:w="620" w:type="dxa"/>
            <w:vAlign w:val="bottom"/>
            <w:tcBorders>
              <w:bottom w:val="single" w:sz="8" w:color="D9D9D9"/>
            </w:tcBorders>
          </w:tcPr>
          <w:p>
            <w:pPr>
              <w:jc w:val="right"/>
              <w:ind w:right="68"/>
              <w:spacing w:after="0"/>
              <w:rPr>
                <w:sz w:val="20"/>
                <w:szCs w:val="20"/>
                <w:color w:val="auto"/>
              </w:rPr>
            </w:pPr>
            <w:r>
              <w:rPr>
                <w:rFonts w:ascii="Arial" w:cs="Arial" w:eastAsia="Arial" w:hAnsi="Arial"/>
                <w:sz w:val="14"/>
                <w:szCs w:val="14"/>
                <w:color w:val="auto"/>
              </w:rPr>
              <w:t>2024</w:t>
            </w:r>
          </w:p>
        </w:tc>
        <w:tc>
          <w:tcPr>
            <w:tcW w:w="1260" w:type="dxa"/>
            <w:vAlign w:val="bottom"/>
            <w:tcBorders>
              <w:bottom w:val="single" w:sz="8" w:color="D9D9D9"/>
            </w:tcBorders>
          </w:tcPr>
          <w:p>
            <w:pPr>
              <w:jc w:val="right"/>
              <w:ind w:right="168"/>
              <w:spacing w:after="0"/>
              <w:rPr>
                <w:sz w:val="20"/>
                <w:szCs w:val="20"/>
                <w:color w:val="auto"/>
              </w:rPr>
            </w:pPr>
            <w:r>
              <w:rPr>
                <w:rFonts w:ascii="Arial" w:cs="Arial" w:eastAsia="Arial" w:hAnsi="Arial"/>
                <w:sz w:val="14"/>
                <w:szCs w:val="14"/>
                <w:color w:val="auto"/>
              </w:rPr>
              <w:t>1,046,238</w:t>
            </w:r>
          </w:p>
        </w:tc>
        <w:tc>
          <w:tcPr>
            <w:tcW w:w="1320" w:type="dxa"/>
            <w:vAlign w:val="bottom"/>
            <w:tcBorders>
              <w:bottom w:val="single" w:sz="8" w:color="D9D9D9"/>
            </w:tcBorders>
          </w:tcPr>
          <w:p>
            <w:pPr>
              <w:ind w:left="440"/>
              <w:spacing w:after="0"/>
              <w:rPr>
                <w:sz w:val="20"/>
                <w:szCs w:val="20"/>
                <w:color w:val="auto"/>
              </w:rPr>
            </w:pPr>
            <w:r>
              <w:rPr>
                <w:rFonts w:ascii="Arial" w:cs="Arial" w:eastAsia="Arial" w:hAnsi="Arial"/>
                <w:sz w:val="14"/>
                <w:szCs w:val="14"/>
                <w:color w:val="auto"/>
              </w:rPr>
              <w:t>2,137,587</w:t>
            </w:r>
          </w:p>
        </w:tc>
        <w:tc>
          <w:tcPr>
            <w:tcW w:w="1280" w:type="dxa"/>
            <w:vAlign w:val="bottom"/>
            <w:tcBorders>
              <w:bottom w:val="single" w:sz="8" w:color="D9D9D9"/>
            </w:tcBorders>
          </w:tcPr>
          <w:p>
            <w:pPr>
              <w:jc w:val="right"/>
              <w:ind w:right="168"/>
              <w:spacing w:after="0"/>
              <w:rPr>
                <w:sz w:val="20"/>
                <w:szCs w:val="20"/>
                <w:color w:val="auto"/>
              </w:rPr>
            </w:pPr>
            <w:r>
              <w:rPr>
                <w:rFonts w:ascii="Arial" w:cs="Arial" w:eastAsia="Arial" w:hAnsi="Arial"/>
                <w:sz w:val="14"/>
                <w:szCs w:val="14"/>
                <w:color w:val="auto"/>
              </w:rPr>
              <w:t>643,599</w:t>
            </w:r>
          </w:p>
        </w:tc>
        <w:tc>
          <w:tcPr>
            <w:tcW w:w="1340" w:type="dxa"/>
            <w:vAlign w:val="bottom"/>
            <w:tcBorders>
              <w:bottom w:val="single" w:sz="8" w:color="D9D9D9"/>
            </w:tcBorders>
          </w:tcPr>
          <w:p>
            <w:pPr>
              <w:jc w:val="right"/>
              <w:ind w:right="168"/>
              <w:spacing w:after="0"/>
              <w:rPr>
                <w:sz w:val="20"/>
                <w:szCs w:val="20"/>
                <w:color w:val="auto"/>
              </w:rPr>
            </w:pPr>
            <w:r>
              <w:rPr>
                <w:rFonts w:ascii="Arial" w:cs="Arial" w:eastAsia="Arial" w:hAnsi="Arial"/>
                <w:sz w:val="14"/>
                <w:szCs w:val="14"/>
                <w:color w:val="auto"/>
              </w:rPr>
              <w:t>1,046,244</w:t>
            </w:r>
          </w:p>
        </w:tc>
        <w:tc>
          <w:tcPr>
            <w:tcW w:w="1200" w:type="dxa"/>
            <w:vAlign w:val="bottom"/>
            <w:tcBorders>
              <w:bottom w:val="single" w:sz="8" w:color="D9D9D9"/>
            </w:tcBorders>
          </w:tcPr>
          <w:p>
            <w:pPr>
              <w:jc w:val="right"/>
              <w:ind w:right="288"/>
              <w:spacing w:after="0"/>
              <w:rPr>
                <w:sz w:val="20"/>
                <w:szCs w:val="20"/>
                <w:color w:val="auto"/>
              </w:rPr>
            </w:pPr>
            <w:r>
              <w:rPr>
                <w:rFonts w:ascii="Arial" w:cs="Arial" w:eastAsia="Arial" w:hAnsi="Arial"/>
                <w:sz w:val="14"/>
                <w:szCs w:val="14"/>
                <w:color w:val="auto"/>
              </w:rPr>
              <w:t>56</w:t>
            </w:r>
          </w:p>
        </w:tc>
        <w:tc>
          <w:tcPr>
            <w:tcW w:w="1220" w:type="dxa"/>
            <w:vAlign w:val="bottom"/>
            <w:tcBorders>
              <w:bottom w:val="single" w:sz="8" w:color="D9D9D9"/>
            </w:tcBorders>
          </w:tcPr>
          <w:p>
            <w:pPr>
              <w:jc w:val="right"/>
              <w:ind w:right="288"/>
              <w:spacing w:after="0"/>
              <w:rPr>
                <w:sz w:val="20"/>
                <w:szCs w:val="20"/>
                <w:color w:val="auto"/>
              </w:rPr>
            </w:pPr>
            <w:r>
              <w:rPr>
                <w:rFonts w:ascii="Arial" w:cs="Arial" w:eastAsia="Arial" w:hAnsi="Arial"/>
                <w:sz w:val="14"/>
                <w:szCs w:val="14"/>
                <w:color w:val="auto"/>
              </w:rPr>
              <w:t>89</w:t>
            </w:r>
          </w:p>
        </w:tc>
        <w:tc>
          <w:tcPr>
            <w:tcW w:w="1480" w:type="dxa"/>
            <w:vAlign w:val="bottom"/>
            <w:tcBorders>
              <w:bottom w:val="single" w:sz="8" w:color="D9D9D9"/>
            </w:tcBorders>
          </w:tcPr>
          <w:p>
            <w:pPr>
              <w:jc w:val="right"/>
              <w:ind w:right="272"/>
              <w:spacing w:after="0"/>
              <w:rPr>
                <w:sz w:val="20"/>
                <w:szCs w:val="20"/>
                <w:color w:val="auto"/>
              </w:rPr>
            </w:pPr>
            <w:r>
              <w:rPr>
                <w:rFonts w:ascii="Arial" w:cs="Arial" w:eastAsia="Arial" w:hAnsi="Arial"/>
                <w:sz w:val="14"/>
                <w:szCs w:val="14"/>
                <w:color w:val="auto"/>
              </w:rPr>
              <w:t>11,993,000</w:t>
            </w:r>
          </w:p>
        </w:tc>
        <w:tc>
          <w:tcPr>
            <w:tcW w:w="1340" w:type="dxa"/>
            <w:vAlign w:val="bottom"/>
            <w:tcBorders>
              <w:bottom w:val="single" w:sz="8" w:color="D9D9D9"/>
            </w:tcBorders>
          </w:tcPr>
          <w:p>
            <w:pPr>
              <w:jc w:val="right"/>
              <w:ind w:right="148"/>
              <w:spacing w:after="0"/>
              <w:rPr>
                <w:sz w:val="20"/>
                <w:szCs w:val="20"/>
                <w:color w:val="auto"/>
              </w:rPr>
            </w:pPr>
            <w:r>
              <w:rPr>
                <w:rFonts w:ascii="Arial" w:cs="Arial" w:eastAsia="Arial" w:hAnsi="Arial"/>
                <w:sz w:val="14"/>
                <w:szCs w:val="14"/>
                <w:color w:val="auto"/>
              </w:rPr>
              <w:t>33,960,000</w:t>
            </w:r>
          </w:p>
        </w:tc>
        <w:tc>
          <w:tcPr>
            <w:tcW w:w="0" w:type="dxa"/>
            <w:vAlign w:val="bottom"/>
          </w:tcPr>
          <w:p>
            <w:pPr>
              <w:spacing w:after="0"/>
              <w:rPr>
                <w:sz w:val="1"/>
                <w:szCs w:val="1"/>
                <w:color w:val="auto"/>
              </w:rPr>
            </w:pPr>
          </w:p>
        </w:tc>
      </w:tr>
      <w:tr>
        <w:trPr>
          <w:trHeight w:val="196"/>
        </w:trPr>
        <w:tc>
          <w:tcPr>
            <w:tcW w:w="620" w:type="dxa"/>
            <w:vAlign w:val="bottom"/>
            <w:tcBorders>
              <w:bottom w:val="single" w:sz="8" w:color="D9D9D9"/>
            </w:tcBorders>
          </w:tcPr>
          <w:p>
            <w:pPr>
              <w:jc w:val="right"/>
              <w:ind w:right="68"/>
              <w:spacing w:after="0"/>
              <w:rPr>
                <w:sz w:val="20"/>
                <w:szCs w:val="20"/>
                <w:color w:val="auto"/>
              </w:rPr>
            </w:pPr>
            <w:r>
              <w:rPr>
                <w:rFonts w:ascii="Arial" w:cs="Arial" w:eastAsia="Arial" w:hAnsi="Arial"/>
                <w:sz w:val="14"/>
                <w:szCs w:val="14"/>
                <w:color w:val="auto"/>
              </w:rPr>
              <w:t>2023</w:t>
            </w:r>
          </w:p>
        </w:tc>
        <w:tc>
          <w:tcPr>
            <w:tcW w:w="1260" w:type="dxa"/>
            <w:vAlign w:val="bottom"/>
            <w:tcBorders>
              <w:bottom w:val="single" w:sz="8" w:color="D9D9D9"/>
            </w:tcBorders>
          </w:tcPr>
          <w:p>
            <w:pPr>
              <w:jc w:val="right"/>
              <w:ind w:right="168"/>
              <w:spacing w:after="0"/>
              <w:rPr>
                <w:sz w:val="20"/>
                <w:szCs w:val="20"/>
                <w:color w:val="auto"/>
              </w:rPr>
            </w:pPr>
            <w:r>
              <w:rPr>
                <w:rFonts w:ascii="Arial" w:cs="Arial" w:eastAsia="Arial" w:hAnsi="Arial"/>
                <w:sz w:val="14"/>
                <w:szCs w:val="14"/>
                <w:color w:val="auto"/>
              </w:rPr>
              <w:t>2,802,535</w:t>
            </w:r>
          </w:p>
        </w:tc>
        <w:tc>
          <w:tcPr>
            <w:tcW w:w="1320" w:type="dxa"/>
            <w:vAlign w:val="bottom"/>
            <w:tcBorders>
              <w:bottom w:val="single" w:sz="8" w:color="D9D9D9"/>
            </w:tcBorders>
          </w:tcPr>
          <w:p>
            <w:pPr>
              <w:ind w:left="440"/>
              <w:spacing w:after="0"/>
              <w:rPr>
                <w:sz w:val="20"/>
                <w:szCs w:val="20"/>
                <w:color w:val="auto"/>
              </w:rPr>
            </w:pPr>
            <w:r>
              <w:rPr>
                <w:rFonts w:ascii="Arial" w:cs="Arial" w:eastAsia="Arial" w:hAnsi="Arial"/>
                <w:sz w:val="14"/>
                <w:szCs w:val="14"/>
                <w:color w:val="auto"/>
              </w:rPr>
              <w:t>3,627,663</w:t>
            </w:r>
          </w:p>
        </w:tc>
        <w:tc>
          <w:tcPr>
            <w:tcW w:w="1280" w:type="dxa"/>
            <w:vAlign w:val="bottom"/>
            <w:tcBorders>
              <w:bottom w:val="single" w:sz="8" w:color="D9D9D9"/>
            </w:tcBorders>
          </w:tcPr>
          <w:p>
            <w:pPr>
              <w:jc w:val="right"/>
              <w:ind w:right="168"/>
              <w:spacing w:after="0"/>
              <w:rPr>
                <w:sz w:val="20"/>
                <w:szCs w:val="20"/>
                <w:color w:val="auto"/>
              </w:rPr>
            </w:pPr>
            <w:r>
              <w:rPr>
                <w:rFonts w:ascii="Arial" w:cs="Arial" w:eastAsia="Arial" w:hAnsi="Arial"/>
                <w:sz w:val="14"/>
                <w:szCs w:val="14"/>
                <w:color w:val="auto"/>
              </w:rPr>
              <w:t>1,131,882</w:t>
            </w:r>
          </w:p>
        </w:tc>
        <w:tc>
          <w:tcPr>
            <w:tcW w:w="1340" w:type="dxa"/>
            <w:vAlign w:val="bottom"/>
            <w:tcBorders>
              <w:bottom w:val="single" w:sz="8" w:color="D9D9D9"/>
            </w:tcBorders>
          </w:tcPr>
          <w:p>
            <w:pPr>
              <w:jc w:val="right"/>
              <w:ind w:right="168"/>
              <w:spacing w:after="0"/>
              <w:rPr>
                <w:sz w:val="20"/>
                <w:szCs w:val="20"/>
                <w:color w:val="auto"/>
              </w:rPr>
            </w:pPr>
            <w:r>
              <w:rPr>
                <w:rFonts w:ascii="Arial" w:cs="Arial" w:eastAsia="Arial" w:hAnsi="Arial"/>
                <w:sz w:val="14"/>
                <w:szCs w:val="14"/>
                <w:color w:val="auto"/>
              </w:rPr>
              <w:t>1,422,254</w:t>
            </w:r>
          </w:p>
        </w:tc>
        <w:tc>
          <w:tcPr>
            <w:tcW w:w="1200" w:type="dxa"/>
            <w:vAlign w:val="bottom"/>
            <w:tcBorders>
              <w:bottom w:val="single" w:sz="8" w:color="D9D9D9"/>
            </w:tcBorders>
          </w:tcPr>
          <w:p>
            <w:pPr>
              <w:jc w:val="right"/>
              <w:ind w:right="288"/>
              <w:spacing w:after="0"/>
              <w:rPr>
                <w:sz w:val="20"/>
                <w:szCs w:val="20"/>
                <w:color w:val="auto"/>
              </w:rPr>
            </w:pPr>
            <w:r>
              <w:rPr>
                <w:rFonts w:ascii="Arial" w:cs="Arial" w:eastAsia="Arial" w:hAnsi="Arial"/>
                <w:sz w:val="14"/>
                <w:szCs w:val="14"/>
                <w:color w:val="auto"/>
              </w:rPr>
              <w:t>114</w:t>
            </w:r>
          </w:p>
        </w:tc>
        <w:tc>
          <w:tcPr>
            <w:tcW w:w="1220" w:type="dxa"/>
            <w:vAlign w:val="bottom"/>
            <w:tcBorders>
              <w:bottom w:val="single" w:sz="8" w:color="D9D9D9"/>
            </w:tcBorders>
          </w:tcPr>
          <w:p>
            <w:pPr>
              <w:jc w:val="right"/>
              <w:ind w:right="288"/>
              <w:spacing w:after="0"/>
              <w:rPr>
                <w:sz w:val="20"/>
                <w:szCs w:val="20"/>
                <w:color w:val="auto"/>
              </w:rPr>
            </w:pPr>
            <w:r>
              <w:rPr>
                <w:rFonts w:ascii="Arial" w:cs="Arial" w:eastAsia="Arial" w:hAnsi="Arial"/>
                <w:sz w:val="14"/>
                <w:szCs w:val="14"/>
                <w:color w:val="auto"/>
              </w:rPr>
              <w:t>131</w:t>
            </w:r>
          </w:p>
        </w:tc>
        <w:tc>
          <w:tcPr>
            <w:tcW w:w="1480" w:type="dxa"/>
            <w:vAlign w:val="bottom"/>
            <w:tcBorders>
              <w:bottom w:val="single" w:sz="8" w:color="D9D9D9"/>
            </w:tcBorders>
          </w:tcPr>
          <w:p>
            <w:pPr>
              <w:jc w:val="right"/>
              <w:ind w:right="272"/>
              <w:spacing w:after="0"/>
              <w:rPr>
                <w:sz w:val="20"/>
                <w:szCs w:val="20"/>
                <w:color w:val="auto"/>
              </w:rPr>
            </w:pPr>
            <w:r>
              <w:rPr>
                <w:rFonts w:ascii="Arial" w:cs="Arial" w:eastAsia="Arial" w:hAnsi="Arial"/>
                <w:sz w:val="14"/>
                <w:szCs w:val="14"/>
                <w:color w:val="auto"/>
              </w:rPr>
              <w:t>633,000</w:t>
            </w:r>
          </w:p>
        </w:tc>
        <w:tc>
          <w:tcPr>
            <w:tcW w:w="1340" w:type="dxa"/>
            <w:vAlign w:val="bottom"/>
            <w:tcBorders>
              <w:bottom w:val="single" w:sz="8" w:color="D9D9D9"/>
            </w:tcBorders>
          </w:tcPr>
          <w:p>
            <w:pPr>
              <w:jc w:val="right"/>
              <w:ind w:right="148"/>
              <w:spacing w:after="0"/>
              <w:rPr>
                <w:sz w:val="20"/>
                <w:szCs w:val="20"/>
                <w:color w:val="auto"/>
              </w:rPr>
            </w:pPr>
            <w:r>
              <w:rPr>
                <w:rFonts w:ascii="Arial" w:cs="Arial" w:eastAsia="Arial" w:hAnsi="Arial"/>
                <w:sz w:val="14"/>
                <w:szCs w:val="14"/>
                <w:color w:val="auto"/>
              </w:rPr>
              <w:t>17,794,000</w:t>
            </w:r>
          </w:p>
        </w:tc>
        <w:tc>
          <w:tcPr>
            <w:tcW w:w="0" w:type="dxa"/>
            <w:vAlign w:val="bottom"/>
          </w:tcPr>
          <w:p>
            <w:pPr>
              <w:spacing w:after="0"/>
              <w:rPr>
                <w:sz w:val="1"/>
                <w:szCs w:val="1"/>
                <w:color w:val="auto"/>
              </w:rPr>
            </w:pPr>
          </w:p>
        </w:tc>
      </w:tr>
      <w:tr>
        <w:trPr>
          <w:trHeight w:val="196"/>
        </w:trPr>
        <w:tc>
          <w:tcPr>
            <w:tcW w:w="620" w:type="dxa"/>
            <w:vAlign w:val="bottom"/>
            <w:tcBorders>
              <w:bottom w:val="single" w:sz="8" w:color="D9D9D9"/>
            </w:tcBorders>
          </w:tcPr>
          <w:p>
            <w:pPr>
              <w:jc w:val="right"/>
              <w:ind w:right="68"/>
              <w:spacing w:after="0"/>
              <w:rPr>
                <w:sz w:val="20"/>
                <w:szCs w:val="20"/>
                <w:color w:val="auto"/>
              </w:rPr>
            </w:pPr>
            <w:r>
              <w:rPr>
                <w:rFonts w:ascii="Arial" w:cs="Arial" w:eastAsia="Arial" w:hAnsi="Arial"/>
                <w:sz w:val="14"/>
                <w:szCs w:val="14"/>
                <w:color w:val="auto"/>
              </w:rPr>
              <w:t>2022</w:t>
            </w:r>
          </w:p>
        </w:tc>
        <w:tc>
          <w:tcPr>
            <w:tcW w:w="1260" w:type="dxa"/>
            <w:vAlign w:val="bottom"/>
            <w:tcBorders>
              <w:bottom w:val="single" w:sz="8" w:color="D9D9D9"/>
            </w:tcBorders>
          </w:tcPr>
          <w:p>
            <w:pPr>
              <w:jc w:val="right"/>
              <w:ind w:right="168"/>
              <w:spacing w:after="0"/>
              <w:rPr>
                <w:sz w:val="20"/>
                <w:szCs w:val="20"/>
                <w:color w:val="auto"/>
              </w:rPr>
            </w:pPr>
            <w:r>
              <w:rPr>
                <w:rFonts w:ascii="Arial" w:cs="Arial" w:eastAsia="Arial" w:hAnsi="Arial"/>
                <w:sz w:val="14"/>
                <w:szCs w:val="14"/>
                <w:color w:val="auto"/>
              </w:rPr>
              <w:t>990,474</w:t>
            </w:r>
          </w:p>
        </w:tc>
        <w:tc>
          <w:tcPr>
            <w:tcW w:w="1320" w:type="dxa"/>
            <w:vAlign w:val="bottom"/>
            <w:tcBorders>
              <w:bottom w:val="single" w:sz="8" w:color="D9D9D9"/>
            </w:tcBorders>
          </w:tcPr>
          <w:p>
            <w:pPr>
              <w:ind w:left="420"/>
              <w:spacing w:after="0"/>
              <w:rPr>
                <w:sz w:val="20"/>
                <w:szCs w:val="20"/>
                <w:color w:val="auto"/>
              </w:rPr>
            </w:pPr>
            <w:r>
              <w:rPr>
                <w:rFonts w:ascii="Arial" w:cs="Arial" w:eastAsia="Arial" w:hAnsi="Arial"/>
                <w:sz w:val="14"/>
                <w:szCs w:val="14"/>
                <w:color w:val="auto"/>
              </w:rPr>
              <w:t>(1,989,647)</w:t>
            </w:r>
          </w:p>
        </w:tc>
        <w:tc>
          <w:tcPr>
            <w:tcW w:w="1280" w:type="dxa"/>
            <w:vAlign w:val="bottom"/>
            <w:tcBorders>
              <w:bottom w:val="single" w:sz="8" w:color="D9D9D9"/>
            </w:tcBorders>
          </w:tcPr>
          <w:p>
            <w:pPr>
              <w:jc w:val="right"/>
              <w:ind w:right="168"/>
              <w:spacing w:after="0"/>
              <w:rPr>
                <w:sz w:val="20"/>
                <w:szCs w:val="20"/>
                <w:color w:val="auto"/>
              </w:rPr>
            </w:pPr>
            <w:r>
              <w:rPr>
                <w:rFonts w:ascii="Arial" w:cs="Arial" w:eastAsia="Arial" w:hAnsi="Arial"/>
                <w:sz w:val="14"/>
                <w:szCs w:val="14"/>
                <w:color w:val="auto"/>
              </w:rPr>
              <w:t>1,086,222</w:t>
            </w:r>
          </w:p>
        </w:tc>
        <w:tc>
          <w:tcPr>
            <w:tcW w:w="1340" w:type="dxa"/>
            <w:vAlign w:val="bottom"/>
            <w:tcBorders>
              <w:bottom w:val="single" w:sz="8" w:color="D9D9D9"/>
            </w:tcBorders>
          </w:tcPr>
          <w:p>
            <w:pPr>
              <w:jc w:val="right"/>
              <w:ind w:right="168"/>
              <w:spacing w:after="0"/>
              <w:rPr>
                <w:sz w:val="20"/>
                <w:szCs w:val="20"/>
                <w:color w:val="auto"/>
              </w:rPr>
            </w:pPr>
            <w:r>
              <w:rPr>
                <w:rFonts w:ascii="Arial" w:cs="Arial" w:eastAsia="Arial" w:hAnsi="Arial"/>
                <w:sz w:val="14"/>
                <w:szCs w:val="14"/>
                <w:color w:val="auto"/>
              </w:rPr>
              <w:t>1,326,797</w:t>
            </w:r>
          </w:p>
        </w:tc>
        <w:tc>
          <w:tcPr>
            <w:tcW w:w="1200" w:type="dxa"/>
            <w:vAlign w:val="bottom"/>
            <w:tcBorders>
              <w:bottom w:val="single" w:sz="8" w:color="D9D9D9"/>
            </w:tcBorders>
          </w:tcPr>
          <w:p>
            <w:pPr>
              <w:jc w:val="right"/>
              <w:ind w:right="288"/>
              <w:spacing w:after="0"/>
              <w:rPr>
                <w:sz w:val="20"/>
                <w:szCs w:val="20"/>
                <w:color w:val="auto"/>
              </w:rPr>
            </w:pPr>
            <w:r>
              <w:rPr>
                <w:rFonts w:ascii="Arial" w:cs="Arial" w:eastAsia="Arial" w:hAnsi="Arial"/>
                <w:sz w:val="14"/>
                <w:szCs w:val="14"/>
                <w:color w:val="auto"/>
              </w:rPr>
              <w:t>80</w:t>
            </w:r>
          </w:p>
        </w:tc>
        <w:tc>
          <w:tcPr>
            <w:tcW w:w="1220" w:type="dxa"/>
            <w:vAlign w:val="bottom"/>
            <w:tcBorders>
              <w:bottom w:val="single" w:sz="8" w:color="D9D9D9"/>
            </w:tcBorders>
          </w:tcPr>
          <w:p>
            <w:pPr>
              <w:jc w:val="right"/>
              <w:ind w:right="288"/>
              <w:spacing w:after="0"/>
              <w:rPr>
                <w:sz w:val="20"/>
                <w:szCs w:val="20"/>
                <w:color w:val="auto"/>
              </w:rPr>
            </w:pPr>
            <w:r>
              <w:rPr>
                <w:rFonts w:ascii="Arial" w:cs="Arial" w:eastAsia="Arial" w:hAnsi="Arial"/>
                <w:sz w:val="14"/>
                <w:szCs w:val="14"/>
                <w:color w:val="auto"/>
              </w:rPr>
              <w:t>119</w:t>
            </w:r>
          </w:p>
        </w:tc>
        <w:tc>
          <w:tcPr>
            <w:tcW w:w="1480" w:type="dxa"/>
            <w:vAlign w:val="bottom"/>
            <w:tcBorders>
              <w:bottom w:val="single" w:sz="8" w:color="D9D9D9"/>
            </w:tcBorders>
          </w:tcPr>
          <w:p>
            <w:pPr>
              <w:jc w:val="center"/>
              <w:ind w:left="112"/>
              <w:spacing w:after="0"/>
              <w:rPr>
                <w:sz w:val="20"/>
                <w:szCs w:val="20"/>
                <w:color w:val="auto"/>
              </w:rPr>
            </w:pPr>
            <w:r>
              <w:rPr>
                <w:rFonts w:ascii="Arial" w:cs="Arial" w:eastAsia="Arial" w:hAnsi="Arial"/>
                <w:sz w:val="14"/>
                <w:szCs w:val="14"/>
                <w:color w:val="auto"/>
              </w:rPr>
              <w:t>(1,703,000)</w:t>
            </w:r>
          </w:p>
        </w:tc>
        <w:tc>
          <w:tcPr>
            <w:tcW w:w="1340" w:type="dxa"/>
            <w:vAlign w:val="bottom"/>
            <w:tcBorders>
              <w:bottom w:val="single" w:sz="8" w:color="D9D9D9"/>
            </w:tcBorders>
          </w:tcPr>
          <w:p>
            <w:pPr>
              <w:jc w:val="right"/>
              <w:ind w:right="148"/>
              <w:spacing w:after="0"/>
              <w:rPr>
                <w:sz w:val="20"/>
                <w:szCs w:val="20"/>
                <w:color w:val="auto"/>
              </w:rPr>
            </w:pPr>
            <w:r>
              <w:rPr>
                <w:rFonts w:ascii="Arial" w:cs="Arial" w:eastAsia="Arial" w:hAnsi="Arial"/>
                <w:sz w:val="14"/>
                <w:szCs w:val="14"/>
                <w:color w:val="auto"/>
              </w:rPr>
              <w:t>9,892,000</w:t>
            </w:r>
          </w:p>
        </w:tc>
        <w:tc>
          <w:tcPr>
            <w:tcW w:w="0" w:type="dxa"/>
            <w:vAlign w:val="bottom"/>
          </w:tcPr>
          <w:p>
            <w:pPr>
              <w:spacing w:after="0"/>
              <w:rPr>
                <w:sz w:val="1"/>
                <w:szCs w:val="1"/>
                <w:color w:val="auto"/>
              </w:rPr>
            </w:pPr>
          </w:p>
        </w:tc>
      </w:tr>
    </w:tbl>
    <w:p>
      <w:pPr>
        <w:spacing w:after="0" w:line="212" w:lineRule="exact"/>
        <w:rPr>
          <w:sz w:val="20"/>
          <w:szCs w:val="20"/>
          <w:color w:val="auto"/>
        </w:rPr>
      </w:pPr>
    </w:p>
    <w:p>
      <w:pPr>
        <w:spacing w:after="0"/>
        <w:rPr>
          <w:sz w:val="20"/>
          <w:szCs w:val="20"/>
          <w:color w:val="auto"/>
        </w:rPr>
      </w:pPr>
      <w:r>
        <w:rPr>
          <w:rFonts w:ascii="Arial" w:cs="Arial" w:eastAsia="Arial" w:hAnsi="Arial"/>
          <w:sz w:val="13"/>
          <w:szCs w:val="13"/>
          <w:color w:val="202945"/>
        </w:rPr>
        <w:t>Adjusted EBITDA is a non-GAAP financial measure, Please see Appendix A at the end of this Proxy Statement for a reconciliation of Adjusted EBITDA</w:t>
      </w:r>
    </w:p>
    <w:p>
      <w:pPr>
        <w:spacing w:after="0" w:line="107" w:lineRule="exact"/>
        <w:rPr>
          <w:sz w:val="20"/>
          <w:szCs w:val="20"/>
          <w:color w:val="auto"/>
        </w:rPr>
      </w:pPr>
    </w:p>
    <w:p>
      <w:pPr>
        <w:jc w:val="both"/>
        <w:ind w:left="200" w:right="80" w:hanging="192"/>
        <w:spacing w:after="0" w:line="283" w:lineRule="auto"/>
        <w:tabs>
          <w:tab w:leader="none" w:pos="200" w:val="left"/>
        </w:tabs>
        <w:numPr>
          <w:ilvl w:val="0"/>
          <w:numId w:val="73"/>
        </w:numPr>
        <w:rPr>
          <w:rFonts w:ascii="Arial" w:cs="Arial" w:eastAsia="Arial" w:hAnsi="Arial"/>
          <w:sz w:val="16"/>
          <w:szCs w:val="16"/>
          <w:color w:val="202945"/>
          <w:vertAlign w:val="superscript"/>
        </w:rPr>
      </w:pPr>
      <w:r>
        <w:rPr>
          <w:rFonts w:ascii="Arial" w:cs="Arial" w:eastAsia="Arial" w:hAnsi="Arial"/>
          <w:sz w:val="13"/>
          <w:szCs w:val="13"/>
          <w:color w:val="202945"/>
        </w:rPr>
        <w:t>The dollar amounts reported in the column reflect the amounts of total compensation reported for Mr. Venkatesan and Mr. Feeney, as applicable, for each corresponding year in the “Total” column of the Summary Compensation Table. Mr. Venkatesan was our principal executive officer for the fiscal year ended June 30, 2024 and June 30, 2023, and Mr. Feeney was our principal executive officer for the fiscal year ended June 30, 2022.</w:t>
      </w:r>
    </w:p>
    <w:p>
      <w:pPr>
        <w:spacing w:after="0" w:line="78" w:lineRule="exact"/>
        <w:rPr>
          <w:rFonts w:ascii="Arial" w:cs="Arial" w:eastAsia="Arial" w:hAnsi="Arial"/>
          <w:sz w:val="16"/>
          <w:szCs w:val="16"/>
          <w:color w:val="202945"/>
          <w:vertAlign w:val="superscript"/>
        </w:rPr>
      </w:pPr>
    </w:p>
    <w:p>
      <w:pPr>
        <w:ind w:left="200" w:right="560" w:hanging="192"/>
        <w:spacing w:after="0" w:line="274" w:lineRule="auto"/>
        <w:tabs>
          <w:tab w:leader="none" w:pos="186" w:val="left"/>
        </w:tabs>
        <w:numPr>
          <w:ilvl w:val="0"/>
          <w:numId w:val="73"/>
        </w:numPr>
        <w:rPr>
          <w:rFonts w:ascii="Arial" w:cs="Arial" w:eastAsia="Arial" w:hAnsi="Arial"/>
          <w:sz w:val="16"/>
          <w:szCs w:val="16"/>
          <w:color w:val="202945"/>
          <w:vertAlign w:val="superscript"/>
        </w:rPr>
      </w:pPr>
      <w:r>
        <w:rPr>
          <w:rFonts w:ascii="Arial" w:cs="Arial" w:eastAsia="Arial" w:hAnsi="Arial"/>
          <w:sz w:val="13"/>
          <w:szCs w:val="13"/>
          <w:color w:val="202945"/>
        </w:rPr>
        <w:t>Amounts are calculated in accordance with Item 402(v) and do not reflect actual amounts of compensation paid to the PEO and other Non-PEO NEOs. See table below for detail of amounts deducted and added to the Summary Compensation Table figure to calculate compensation actually paid.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920" w:type="dxa"/>
            <w:vAlign w:val="bottom"/>
          </w:tcPr>
          <w:p>
            <w:pPr>
              <w:spacing w:after="0"/>
              <w:rPr>
                <w:sz w:val="15"/>
                <w:szCs w:val="15"/>
                <w:color w:val="auto"/>
              </w:rPr>
            </w:pPr>
          </w:p>
        </w:tc>
        <w:tc>
          <w:tcPr>
            <w:tcW w:w="780" w:type="dxa"/>
            <w:vAlign w:val="bottom"/>
            <w:tcBorders>
              <w:bottom w:val="single" w:sz="8" w:color="FF7F32"/>
            </w:tcBorders>
          </w:tcPr>
          <w:p>
            <w:pPr>
              <w:spacing w:after="0"/>
              <w:rPr>
                <w:sz w:val="15"/>
                <w:szCs w:val="15"/>
                <w:color w:val="auto"/>
              </w:rPr>
            </w:pPr>
          </w:p>
        </w:tc>
        <w:tc>
          <w:tcPr>
            <w:tcW w:w="1200" w:type="dxa"/>
            <w:vAlign w:val="bottom"/>
            <w:tcBorders>
              <w:bottom w:val="single" w:sz="8" w:color="FF7F32"/>
            </w:tcBorders>
          </w:tcPr>
          <w:p>
            <w:pPr>
              <w:jc w:val="right"/>
              <w:ind w:right="794"/>
              <w:spacing w:after="0"/>
              <w:rPr>
                <w:sz w:val="20"/>
                <w:szCs w:val="20"/>
                <w:color w:val="auto"/>
              </w:rPr>
            </w:pPr>
            <w:r>
              <w:rPr>
                <w:rFonts w:ascii="Arial" w:cs="Arial" w:eastAsia="Arial" w:hAnsi="Arial"/>
                <w:sz w:val="13"/>
                <w:szCs w:val="13"/>
                <w:b w:val="1"/>
                <w:bCs w:val="1"/>
                <w:color w:val="auto"/>
              </w:rPr>
              <w:t>2025</w:t>
            </w:r>
          </w:p>
        </w:tc>
        <w:tc>
          <w:tcPr>
            <w:tcW w:w="280" w:type="dxa"/>
            <w:vAlign w:val="bottom"/>
          </w:tcPr>
          <w:p>
            <w:pPr>
              <w:spacing w:after="0"/>
              <w:rPr>
                <w:sz w:val="15"/>
                <w:szCs w:val="15"/>
                <w:color w:val="auto"/>
              </w:rPr>
            </w:pPr>
          </w:p>
        </w:tc>
        <w:tc>
          <w:tcPr>
            <w:tcW w:w="880" w:type="dxa"/>
            <w:vAlign w:val="bottom"/>
            <w:tcBorders>
              <w:bottom w:val="single" w:sz="8" w:color="FF7F32"/>
            </w:tcBorders>
          </w:tcPr>
          <w:p>
            <w:pPr>
              <w:spacing w:after="0"/>
              <w:rPr>
                <w:sz w:val="15"/>
                <w:szCs w:val="15"/>
                <w:color w:val="auto"/>
              </w:rPr>
            </w:pPr>
          </w:p>
        </w:tc>
        <w:tc>
          <w:tcPr>
            <w:tcW w:w="1240" w:type="dxa"/>
            <w:vAlign w:val="bottom"/>
            <w:tcBorders>
              <w:bottom w:val="single" w:sz="8" w:color="FF7F32"/>
            </w:tcBorders>
          </w:tcPr>
          <w:p>
            <w:pPr>
              <w:jc w:val="right"/>
              <w:ind w:right="854"/>
              <w:spacing w:after="0"/>
              <w:rPr>
                <w:sz w:val="20"/>
                <w:szCs w:val="20"/>
                <w:color w:val="auto"/>
              </w:rPr>
            </w:pPr>
            <w:r>
              <w:rPr>
                <w:rFonts w:ascii="Arial" w:cs="Arial" w:eastAsia="Arial" w:hAnsi="Arial"/>
                <w:sz w:val="13"/>
                <w:szCs w:val="13"/>
                <w:b w:val="1"/>
                <w:bCs w:val="1"/>
                <w:color w:val="auto"/>
              </w:rPr>
              <w:t>2024</w:t>
            </w:r>
          </w:p>
        </w:tc>
        <w:tc>
          <w:tcPr>
            <w:tcW w:w="280" w:type="dxa"/>
            <w:vAlign w:val="bottom"/>
          </w:tcPr>
          <w:p>
            <w:pPr>
              <w:spacing w:after="0"/>
              <w:rPr>
                <w:sz w:val="15"/>
                <w:szCs w:val="15"/>
                <w:color w:val="auto"/>
              </w:rPr>
            </w:pPr>
          </w:p>
        </w:tc>
        <w:tc>
          <w:tcPr>
            <w:tcW w:w="880" w:type="dxa"/>
            <w:vAlign w:val="bottom"/>
            <w:tcBorders>
              <w:bottom w:val="single" w:sz="8" w:color="FF7F32"/>
            </w:tcBorders>
          </w:tcPr>
          <w:p>
            <w:pPr>
              <w:spacing w:after="0"/>
              <w:rPr>
                <w:sz w:val="15"/>
                <w:szCs w:val="15"/>
                <w:color w:val="auto"/>
              </w:rPr>
            </w:pPr>
          </w:p>
        </w:tc>
        <w:tc>
          <w:tcPr>
            <w:tcW w:w="1260" w:type="dxa"/>
            <w:vAlign w:val="bottom"/>
            <w:tcBorders>
              <w:bottom w:val="single" w:sz="8" w:color="FF7F32"/>
            </w:tcBorders>
          </w:tcPr>
          <w:p>
            <w:pPr>
              <w:jc w:val="right"/>
              <w:ind w:right="874"/>
              <w:spacing w:after="0"/>
              <w:rPr>
                <w:sz w:val="20"/>
                <w:szCs w:val="20"/>
                <w:color w:val="auto"/>
              </w:rPr>
            </w:pPr>
            <w:r>
              <w:rPr>
                <w:rFonts w:ascii="Arial" w:cs="Arial" w:eastAsia="Arial" w:hAnsi="Arial"/>
                <w:sz w:val="13"/>
                <w:szCs w:val="13"/>
                <w:b w:val="1"/>
                <w:bCs w:val="1"/>
                <w:color w:val="auto"/>
              </w:rPr>
              <w:t>2023</w:t>
            </w:r>
          </w:p>
        </w:tc>
        <w:tc>
          <w:tcPr>
            <w:tcW w:w="280" w:type="dxa"/>
            <w:vAlign w:val="bottom"/>
          </w:tcPr>
          <w:p>
            <w:pPr>
              <w:spacing w:after="0"/>
              <w:rPr>
                <w:sz w:val="15"/>
                <w:szCs w:val="15"/>
                <w:color w:val="auto"/>
              </w:rPr>
            </w:pPr>
          </w:p>
        </w:tc>
        <w:tc>
          <w:tcPr>
            <w:tcW w:w="900" w:type="dxa"/>
            <w:vAlign w:val="bottom"/>
            <w:tcBorders>
              <w:bottom w:val="single" w:sz="8" w:color="FF7F32"/>
            </w:tcBorders>
          </w:tcPr>
          <w:p>
            <w:pPr>
              <w:spacing w:after="0"/>
              <w:rPr>
                <w:sz w:val="15"/>
                <w:szCs w:val="15"/>
                <w:color w:val="auto"/>
              </w:rPr>
            </w:pPr>
          </w:p>
        </w:tc>
        <w:tc>
          <w:tcPr>
            <w:tcW w:w="1340" w:type="dxa"/>
            <w:vAlign w:val="bottom"/>
            <w:tcBorders>
              <w:bottom w:val="single" w:sz="8" w:color="FF7F32"/>
            </w:tcBorders>
          </w:tcPr>
          <w:p>
            <w:pPr>
              <w:jc w:val="right"/>
              <w:ind w:right="914"/>
              <w:spacing w:after="0"/>
              <w:rPr>
                <w:sz w:val="20"/>
                <w:szCs w:val="20"/>
                <w:color w:val="auto"/>
              </w:rPr>
            </w:pPr>
            <w:r>
              <w:rPr>
                <w:rFonts w:ascii="Arial" w:cs="Arial" w:eastAsia="Arial" w:hAnsi="Arial"/>
                <w:sz w:val="13"/>
                <w:szCs w:val="13"/>
                <w:b w:val="1"/>
                <w:bCs w:val="1"/>
                <w:color w:val="auto"/>
              </w:rPr>
              <w:t>2022</w:t>
            </w:r>
          </w:p>
        </w:tc>
      </w:tr>
      <w:tr>
        <w:trPr>
          <w:trHeight w:val="119"/>
        </w:trPr>
        <w:tc>
          <w:tcPr>
            <w:tcW w:w="19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0" w:type="dxa"/>
            <w:vAlign w:val="bottom"/>
          </w:tcPr>
          <w:p>
            <w:pPr>
              <w:jc w:val="right"/>
              <w:spacing w:after="0" w:line="119" w:lineRule="exact"/>
              <w:rPr>
                <w:sz w:val="20"/>
                <w:szCs w:val="20"/>
                <w:color w:val="auto"/>
              </w:rPr>
            </w:pPr>
            <w:r>
              <w:rPr>
                <w:rFonts w:ascii="Arial" w:cs="Arial" w:eastAsia="Arial" w:hAnsi="Arial"/>
                <w:sz w:val="13"/>
                <w:szCs w:val="13"/>
                <w:color w:val="auto"/>
              </w:rPr>
              <w:t>Average of Non-</w:t>
            </w: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40" w:type="dxa"/>
            <w:vAlign w:val="bottom"/>
          </w:tcPr>
          <w:p>
            <w:pPr>
              <w:jc w:val="right"/>
              <w:spacing w:after="0" w:line="119" w:lineRule="exact"/>
              <w:rPr>
                <w:sz w:val="20"/>
                <w:szCs w:val="20"/>
                <w:color w:val="auto"/>
              </w:rPr>
            </w:pPr>
            <w:r>
              <w:rPr>
                <w:rFonts w:ascii="Arial" w:cs="Arial" w:eastAsia="Arial" w:hAnsi="Arial"/>
                <w:sz w:val="13"/>
                <w:szCs w:val="13"/>
                <w:color w:val="auto"/>
              </w:rPr>
              <w:t>Average of Non-</w:t>
            </w: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60" w:type="dxa"/>
            <w:vAlign w:val="bottom"/>
          </w:tcPr>
          <w:p>
            <w:pPr>
              <w:jc w:val="right"/>
              <w:spacing w:after="0" w:line="119" w:lineRule="exact"/>
              <w:rPr>
                <w:sz w:val="20"/>
                <w:szCs w:val="20"/>
                <w:color w:val="auto"/>
              </w:rPr>
            </w:pPr>
            <w:r>
              <w:rPr>
                <w:rFonts w:ascii="Arial" w:cs="Arial" w:eastAsia="Arial" w:hAnsi="Arial"/>
                <w:sz w:val="13"/>
                <w:szCs w:val="13"/>
                <w:color w:val="auto"/>
              </w:rPr>
              <w:t>Average of Non-</w:t>
            </w: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40" w:type="dxa"/>
            <w:vAlign w:val="bottom"/>
          </w:tcPr>
          <w:p>
            <w:pPr>
              <w:jc w:val="right"/>
              <w:ind w:right="74"/>
              <w:spacing w:after="0" w:line="119" w:lineRule="exact"/>
              <w:rPr>
                <w:sz w:val="20"/>
                <w:szCs w:val="20"/>
                <w:color w:val="auto"/>
              </w:rPr>
            </w:pPr>
            <w:r>
              <w:rPr>
                <w:rFonts w:ascii="Arial" w:cs="Arial" w:eastAsia="Arial" w:hAnsi="Arial"/>
                <w:sz w:val="13"/>
                <w:szCs w:val="13"/>
                <w:color w:val="auto"/>
              </w:rPr>
              <w:t>Average of Non-</w:t>
            </w:r>
          </w:p>
        </w:tc>
      </w:tr>
      <w:tr>
        <w:trPr>
          <w:trHeight w:val="183"/>
        </w:trPr>
        <w:tc>
          <w:tcPr>
            <w:tcW w:w="1920" w:type="dxa"/>
            <w:vAlign w:val="bottom"/>
            <w:tcBorders>
              <w:bottom w:val="single" w:sz="8" w:color="FF7F32"/>
            </w:tcBorders>
          </w:tcPr>
          <w:p>
            <w:pPr>
              <w:spacing w:after="0"/>
              <w:rPr>
                <w:sz w:val="15"/>
                <w:szCs w:val="15"/>
                <w:color w:val="auto"/>
              </w:rPr>
            </w:pPr>
          </w:p>
        </w:tc>
        <w:tc>
          <w:tcPr>
            <w:tcW w:w="780" w:type="dxa"/>
            <w:vAlign w:val="bottom"/>
            <w:tcBorders>
              <w:bottom w:val="single" w:sz="8" w:color="FF7F32"/>
            </w:tcBorders>
          </w:tcPr>
          <w:p>
            <w:pPr>
              <w:jc w:val="right"/>
              <w:ind w:right="53"/>
              <w:spacing w:after="0"/>
              <w:rPr>
                <w:sz w:val="20"/>
                <w:szCs w:val="20"/>
                <w:color w:val="auto"/>
              </w:rPr>
            </w:pPr>
            <w:r>
              <w:rPr>
                <w:rFonts w:ascii="Arial" w:cs="Arial" w:eastAsia="Arial" w:hAnsi="Arial"/>
                <w:sz w:val="13"/>
                <w:szCs w:val="13"/>
                <w:color w:val="auto"/>
              </w:rPr>
              <w:t>PEO($)</w:t>
            </w:r>
          </w:p>
        </w:tc>
        <w:tc>
          <w:tcPr>
            <w:tcW w:w="1480" w:type="dxa"/>
            <w:vAlign w:val="bottom"/>
            <w:tcBorders>
              <w:bottom w:val="single" w:sz="8" w:color="FF7F32"/>
            </w:tcBorders>
            <w:gridSpan w:val="2"/>
          </w:tcPr>
          <w:p>
            <w:pPr>
              <w:jc w:val="right"/>
              <w:ind w:right="300"/>
              <w:spacing w:after="0"/>
              <w:rPr>
                <w:sz w:val="20"/>
                <w:szCs w:val="20"/>
                <w:color w:val="auto"/>
              </w:rPr>
            </w:pPr>
            <w:r>
              <w:rPr>
                <w:rFonts w:ascii="Arial" w:cs="Arial" w:eastAsia="Arial" w:hAnsi="Arial"/>
                <w:sz w:val="13"/>
                <w:szCs w:val="13"/>
                <w:color w:val="auto"/>
              </w:rPr>
              <w:t>PEO NEOs($)</w:t>
            </w:r>
          </w:p>
        </w:tc>
        <w:tc>
          <w:tcPr>
            <w:tcW w:w="880" w:type="dxa"/>
            <w:vAlign w:val="bottom"/>
            <w:tcBorders>
              <w:bottom w:val="single" w:sz="8" w:color="FF7F32"/>
            </w:tcBorders>
          </w:tcPr>
          <w:p>
            <w:pPr>
              <w:jc w:val="right"/>
              <w:ind w:right="73"/>
              <w:spacing w:after="0"/>
              <w:rPr>
                <w:sz w:val="20"/>
                <w:szCs w:val="20"/>
                <w:color w:val="auto"/>
              </w:rPr>
            </w:pPr>
            <w:r>
              <w:rPr>
                <w:rFonts w:ascii="Arial" w:cs="Arial" w:eastAsia="Arial" w:hAnsi="Arial"/>
                <w:sz w:val="13"/>
                <w:szCs w:val="13"/>
                <w:color w:val="auto"/>
              </w:rPr>
              <w:t>PEO($)</w:t>
            </w:r>
          </w:p>
        </w:tc>
        <w:tc>
          <w:tcPr>
            <w:tcW w:w="1520" w:type="dxa"/>
            <w:vAlign w:val="bottom"/>
            <w:tcBorders>
              <w:bottom w:val="single" w:sz="8" w:color="FF7F32"/>
            </w:tcBorders>
            <w:gridSpan w:val="2"/>
          </w:tcPr>
          <w:p>
            <w:pPr>
              <w:jc w:val="right"/>
              <w:ind w:right="300"/>
              <w:spacing w:after="0"/>
              <w:rPr>
                <w:sz w:val="20"/>
                <w:szCs w:val="20"/>
                <w:color w:val="auto"/>
              </w:rPr>
            </w:pPr>
            <w:r>
              <w:rPr>
                <w:rFonts w:ascii="Arial" w:cs="Arial" w:eastAsia="Arial" w:hAnsi="Arial"/>
                <w:sz w:val="13"/>
                <w:szCs w:val="13"/>
                <w:color w:val="auto"/>
              </w:rPr>
              <w:t>PEO NEOs($)</w:t>
            </w:r>
          </w:p>
        </w:tc>
        <w:tc>
          <w:tcPr>
            <w:tcW w:w="880" w:type="dxa"/>
            <w:vAlign w:val="bottom"/>
            <w:tcBorders>
              <w:bottom w:val="single" w:sz="8" w:color="FF7F32"/>
            </w:tcBorders>
          </w:tcPr>
          <w:p>
            <w:pPr>
              <w:jc w:val="right"/>
              <w:ind w:right="93"/>
              <w:spacing w:after="0"/>
              <w:rPr>
                <w:sz w:val="20"/>
                <w:szCs w:val="20"/>
                <w:color w:val="auto"/>
              </w:rPr>
            </w:pPr>
            <w:r>
              <w:rPr>
                <w:rFonts w:ascii="Arial" w:cs="Arial" w:eastAsia="Arial" w:hAnsi="Arial"/>
                <w:sz w:val="13"/>
                <w:szCs w:val="13"/>
                <w:color w:val="auto"/>
              </w:rPr>
              <w:t>PEO($)</w:t>
            </w:r>
          </w:p>
        </w:tc>
        <w:tc>
          <w:tcPr>
            <w:tcW w:w="1540" w:type="dxa"/>
            <w:vAlign w:val="bottom"/>
            <w:tcBorders>
              <w:bottom w:val="single" w:sz="8" w:color="FF7F32"/>
            </w:tcBorders>
            <w:gridSpan w:val="2"/>
          </w:tcPr>
          <w:p>
            <w:pPr>
              <w:jc w:val="right"/>
              <w:ind w:right="300"/>
              <w:spacing w:after="0"/>
              <w:rPr>
                <w:sz w:val="20"/>
                <w:szCs w:val="20"/>
                <w:color w:val="auto"/>
              </w:rPr>
            </w:pPr>
            <w:r>
              <w:rPr>
                <w:rFonts w:ascii="Arial" w:cs="Arial" w:eastAsia="Arial" w:hAnsi="Arial"/>
                <w:sz w:val="13"/>
                <w:szCs w:val="13"/>
                <w:color w:val="auto"/>
              </w:rPr>
              <w:t>PEO NEOs($)</w:t>
            </w:r>
          </w:p>
        </w:tc>
        <w:tc>
          <w:tcPr>
            <w:tcW w:w="900" w:type="dxa"/>
            <w:vAlign w:val="bottom"/>
            <w:tcBorders>
              <w:bottom w:val="single" w:sz="8" w:color="FF7F32"/>
            </w:tcBorders>
          </w:tcPr>
          <w:p>
            <w:pPr>
              <w:jc w:val="right"/>
              <w:ind w:right="93"/>
              <w:spacing w:after="0"/>
              <w:rPr>
                <w:sz w:val="20"/>
                <w:szCs w:val="20"/>
                <w:color w:val="auto"/>
              </w:rPr>
            </w:pPr>
            <w:r>
              <w:rPr>
                <w:rFonts w:ascii="Arial" w:cs="Arial" w:eastAsia="Arial" w:hAnsi="Arial"/>
                <w:sz w:val="13"/>
                <w:szCs w:val="13"/>
                <w:color w:val="auto"/>
              </w:rPr>
              <w:t>PEO($)</w:t>
            </w:r>
          </w:p>
        </w:tc>
        <w:tc>
          <w:tcPr>
            <w:tcW w:w="1340" w:type="dxa"/>
            <w:vAlign w:val="bottom"/>
            <w:tcBorders>
              <w:bottom w:val="single" w:sz="8" w:color="FF7F32"/>
            </w:tcBorders>
          </w:tcPr>
          <w:p>
            <w:pPr>
              <w:ind w:left="360"/>
              <w:spacing w:after="0"/>
              <w:rPr>
                <w:sz w:val="20"/>
                <w:szCs w:val="20"/>
                <w:color w:val="auto"/>
              </w:rPr>
            </w:pPr>
            <w:r>
              <w:rPr>
                <w:rFonts w:ascii="Arial" w:cs="Arial" w:eastAsia="Arial" w:hAnsi="Arial"/>
                <w:sz w:val="13"/>
                <w:szCs w:val="13"/>
                <w:color w:val="auto"/>
              </w:rPr>
              <w:t>PEO NEOs($)</w:t>
            </w:r>
          </w:p>
        </w:tc>
      </w:tr>
      <w:tr>
        <w:trPr>
          <w:trHeight w:val="136"/>
        </w:trPr>
        <w:tc>
          <w:tcPr>
            <w:tcW w:w="1920" w:type="dxa"/>
            <w:vAlign w:val="bottom"/>
          </w:tcPr>
          <w:p>
            <w:pPr>
              <w:ind w:left="20"/>
              <w:spacing w:after="0" w:line="136" w:lineRule="exact"/>
              <w:rPr>
                <w:sz w:val="20"/>
                <w:szCs w:val="20"/>
                <w:color w:val="auto"/>
              </w:rPr>
            </w:pPr>
            <w:r>
              <w:rPr>
                <w:rFonts w:ascii="Arial" w:cs="Arial" w:eastAsia="Arial" w:hAnsi="Arial"/>
                <w:sz w:val="13"/>
                <w:szCs w:val="13"/>
                <w:color w:val="auto"/>
              </w:rPr>
              <w:t>Total Compensation as</w:t>
            </w:r>
          </w:p>
        </w:tc>
        <w:tc>
          <w:tcPr>
            <w:tcW w:w="780" w:type="dxa"/>
            <w:vAlign w:val="bottom"/>
          </w:tcPr>
          <w:p>
            <w:pPr>
              <w:jc w:val="right"/>
              <w:ind w:right="33"/>
              <w:spacing w:after="0" w:line="136" w:lineRule="exact"/>
              <w:rPr>
                <w:sz w:val="20"/>
                <w:szCs w:val="20"/>
                <w:color w:val="auto"/>
              </w:rPr>
            </w:pPr>
            <w:r>
              <w:rPr>
                <w:rFonts w:ascii="Arial" w:cs="Arial" w:eastAsia="Arial" w:hAnsi="Arial"/>
                <w:sz w:val="13"/>
                <w:szCs w:val="13"/>
                <w:color w:val="auto"/>
              </w:rPr>
              <w:t>957,707</w:t>
            </w:r>
          </w:p>
        </w:tc>
        <w:tc>
          <w:tcPr>
            <w:tcW w:w="1200" w:type="dxa"/>
            <w:vAlign w:val="bottom"/>
          </w:tcPr>
          <w:p>
            <w:pPr>
              <w:jc w:val="right"/>
              <w:ind w:right="254"/>
              <w:spacing w:after="0" w:line="136" w:lineRule="exact"/>
              <w:rPr>
                <w:sz w:val="20"/>
                <w:szCs w:val="20"/>
                <w:color w:val="auto"/>
              </w:rPr>
            </w:pPr>
            <w:r>
              <w:rPr>
                <w:rFonts w:ascii="Arial" w:cs="Arial" w:eastAsia="Arial" w:hAnsi="Arial"/>
                <w:sz w:val="13"/>
                <w:szCs w:val="13"/>
                <w:color w:val="auto"/>
              </w:rPr>
              <w:t>975,073</w:t>
            </w:r>
          </w:p>
        </w:tc>
        <w:tc>
          <w:tcPr>
            <w:tcW w:w="280" w:type="dxa"/>
            <w:vAlign w:val="bottom"/>
          </w:tcPr>
          <w:p>
            <w:pPr>
              <w:spacing w:after="0"/>
              <w:rPr>
                <w:sz w:val="11"/>
                <w:szCs w:val="11"/>
                <w:color w:val="auto"/>
              </w:rPr>
            </w:pPr>
          </w:p>
        </w:tc>
        <w:tc>
          <w:tcPr>
            <w:tcW w:w="880" w:type="dxa"/>
            <w:vAlign w:val="bottom"/>
          </w:tcPr>
          <w:p>
            <w:pPr>
              <w:jc w:val="right"/>
              <w:ind w:right="13"/>
              <w:spacing w:after="0" w:line="136" w:lineRule="exact"/>
              <w:rPr>
                <w:sz w:val="20"/>
                <w:szCs w:val="20"/>
                <w:color w:val="auto"/>
              </w:rPr>
            </w:pPr>
            <w:r>
              <w:rPr>
                <w:rFonts w:ascii="Arial" w:cs="Arial" w:eastAsia="Arial" w:hAnsi="Arial"/>
                <w:sz w:val="13"/>
                <w:szCs w:val="13"/>
                <w:color w:val="auto"/>
              </w:rPr>
              <w:t>1,046,238</w:t>
            </w:r>
          </w:p>
        </w:tc>
        <w:tc>
          <w:tcPr>
            <w:tcW w:w="1240" w:type="dxa"/>
            <w:vAlign w:val="bottom"/>
          </w:tcPr>
          <w:p>
            <w:pPr>
              <w:jc w:val="right"/>
              <w:ind w:right="254"/>
              <w:spacing w:after="0" w:line="136" w:lineRule="exact"/>
              <w:rPr>
                <w:sz w:val="20"/>
                <w:szCs w:val="20"/>
                <w:color w:val="auto"/>
              </w:rPr>
            </w:pPr>
            <w:r>
              <w:rPr>
                <w:rFonts w:ascii="Arial" w:cs="Arial" w:eastAsia="Arial" w:hAnsi="Arial"/>
                <w:sz w:val="13"/>
                <w:szCs w:val="13"/>
                <w:color w:val="auto"/>
              </w:rPr>
              <w:t>643,599</w:t>
            </w:r>
          </w:p>
        </w:tc>
        <w:tc>
          <w:tcPr>
            <w:tcW w:w="280" w:type="dxa"/>
            <w:vAlign w:val="bottom"/>
          </w:tcPr>
          <w:p>
            <w:pPr>
              <w:spacing w:after="0"/>
              <w:rPr>
                <w:sz w:val="11"/>
                <w:szCs w:val="11"/>
                <w:color w:val="auto"/>
              </w:rPr>
            </w:pPr>
          </w:p>
        </w:tc>
        <w:tc>
          <w:tcPr>
            <w:tcW w:w="880" w:type="dxa"/>
            <w:vAlign w:val="bottom"/>
          </w:tcPr>
          <w:p>
            <w:pPr>
              <w:jc w:val="right"/>
              <w:ind w:right="13"/>
              <w:spacing w:after="0" w:line="136" w:lineRule="exact"/>
              <w:rPr>
                <w:sz w:val="20"/>
                <w:szCs w:val="20"/>
                <w:color w:val="auto"/>
              </w:rPr>
            </w:pPr>
            <w:r>
              <w:rPr>
                <w:rFonts w:ascii="Arial" w:cs="Arial" w:eastAsia="Arial" w:hAnsi="Arial"/>
                <w:sz w:val="13"/>
                <w:szCs w:val="13"/>
                <w:color w:val="auto"/>
              </w:rPr>
              <w:t>2,802,535</w:t>
            </w:r>
          </w:p>
        </w:tc>
        <w:tc>
          <w:tcPr>
            <w:tcW w:w="1260" w:type="dxa"/>
            <w:vAlign w:val="bottom"/>
          </w:tcPr>
          <w:p>
            <w:pPr>
              <w:jc w:val="right"/>
              <w:ind w:right="254"/>
              <w:spacing w:after="0" w:line="136" w:lineRule="exact"/>
              <w:rPr>
                <w:sz w:val="20"/>
                <w:szCs w:val="20"/>
                <w:color w:val="auto"/>
              </w:rPr>
            </w:pPr>
            <w:r>
              <w:rPr>
                <w:rFonts w:ascii="Arial" w:cs="Arial" w:eastAsia="Arial" w:hAnsi="Arial"/>
                <w:sz w:val="13"/>
                <w:szCs w:val="13"/>
                <w:color w:val="auto"/>
              </w:rPr>
              <w:t>1,131,882</w:t>
            </w:r>
          </w:p>
        </w:tc>
        <w:tc>
          <w:tcPr>
            <w:tcW w:w="280" w:type="dxa"/>
            <w:vAlign w:val="bottom"/>
          </w:tcPr>
          <w:p>
            <w:pPr>
              <w:spacing w:after="0"/>
              <w:rPr>
                <w:sz w:val="11"/>
                <w:szCs w:val="11"/>
                <w:color w:val="auto"/>
              </w:rPr>
            </w:pPr>
          </w:p>
        </w:tc>
        <w:tc>
          <w:tcPr>
            <w:tcW w:w="900" w:type="dxa"/>
            <w:vAlign w:val="bottom"/>
          </w:tcPr>
          <w:p>
            <w:pPr>
              <w:jc w:val="right"/>
              <w:ind w:right="33"/>
              <w:spacing w:after="0" w:line="136" w:lineRule="exact"/>
              <w:rPr>
                <w:sz w:val="20"/>
                <w:szCs w:val="20"/>
                <w:color w:val="auto"/>
              </w:rPr>
            </w:pPr>
            <w:r>
              <w:rPr>
                <w:rFonts w:ascii="Arial" w:cs="Arial" w:eastAsia="Arial" w:hAnsi="Arial"/>
                <w:sz w:val="13"/>
                <w:szCs w:val="13"/>
                <w:color w:val="auto"/>
              </w:rPr>
              <w:t>990,474</w:t>
            </w:r>
          </w:p>
        </w:tc>
        <w:tc>
          <w:tcPr>
            <w:tcW w:w="1340" w:type="dxa"/>
            <w:vAlign w:val="bottom"/>
          </w:tcPr>
          <w:p>
            <w:pPr>
              <w:jc w:val="right"/>
              <w:ind w:right="374"/>
              <w:spacing w:after="0" w:line="136" w:lineRule="exact"/>
              <w:rPr>
                <w:sz w:val="20"/>
                <w:szCs w:val="20"/>
                <w:color w:val="auto"/>
              </w:rPr>
            </w:pPr>
            <w:r>
              <w:rPr>
                <w:rFonts w:ascii="Arial" w:cs="Arial" w:eastAsia="Arial" w:hAnsi="Arial"/>
                <w:sz w:val="13"/>
                <w:szCs w:val="13"/>
                <w:color w:val="auto"/>
              </w:rPr>
              <w:t>1,086,222</w:t>
            </w:r>
          </w:p>
        </w:tc>
      </w:tr>
      <w:tr>
        <w:trPr>
          <w:trHeight w:val="135"/>
        </w:trPr>
        <w:tc>
          <w:tcPr>
            <w:tcW w:w="1920" w:type="dxa"/>
            <w:vAlign w:val="bottom"/>
          </w:tcPr>
          <w:p>
            <w:pPr>
              <w:ind w:left="20"/>
              <w:spacing w:after="0" w:line="135" w:lineRule="exact"/>
              <w:rPr>
                <w:sz w:val="20"/>
                <w:szCs w:val="20"/>
                <w:color w:val="auto"/>
              </w:rPr>
            </w:pPr>
            <w:r>
              <w:rPr>
                <w:rFonts w:ascii="Arial" w:cs="Arial" w:eastAsia="Arial" w:hAnsi="Arial"/>
                <w:sz w:val="13"/>
                <w:szCs w:val="13"/>
                <w:color w:val="auto"/>
              </w:rPr>
              <w:t>reported on Summary</w:t>
            </w: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82"/>
        </w:trPr>
        <w:tc>
          <w:tcPr>
            <w:tcW w:w="1920" w:type="dxa"/>
            <w:vAlign w:val="bottom"/>
            <w:tcBorders>
              <w:bottom w:val="single" w:sz="8" w:color="D9D9D9"/>
            </w:tcBorders>
          </w:tcPr>
          <w:p>
            <w:pPr>
              <w:ind w:left="20"/>
              <w:spacing w:after="0"/>
              <w:rPr>
                <w:sz w:val="20"/>
                <w:szCs w:val="20"/>
                <w:color w:val="auto"/>
              </w:rPr>
            </w:pPr>
            <w:r>
              <w:rPr>
                <w:rFonts w:ascii="Arial" w:cs="Arial" w:eastAsia="Arial" w:hAnsi="Arial"/>
                <w:sz w:val="13"/>
                <w:szCs w:val="13"/>
                <w:color w:val="auto"/>
              </w:rPr>
              <w:t>Compensation Table</w:t>
            </w:r>
          </w:p>
        </w:tc>
        <w:tc>
          <w:tcPr>
            <w:tcW w:w="780" w:type="dxa"/>
            <w:vAlign w:val="bottom"/>
            <w:tcBorders>
              <w:bottom w:val="single" w:sz="8" w:color="D9D9D9"/>
            </w:tcBorders>
          </w:tcPr>
          <w:p>
            <w:pPr>
              <w:spacing w:after="0"/>
              <w:rPr>
                <w:sz w:val="15"/>
                <w:szCs w:val="15"/>
                <w:color w:val="auto"/>
              </w:rPr>
            </w:pPr>
          </w:p>
        </w:tc>
        <w:tc>
          <w:tcPr>
            <w:tcW w:w="1200" w:type="dxa"/>
            <w:vAlign w:val="bottom"/>
            <w:tcBorders>
              <w:bottom w:val="single" w:sz="8" w:color="D9D9D9"/>
            </w:tcBorders>
          </w:tcPr>
          <w:p>
            <w:pPr>
              <w:spacing w:after="0"/>
              <w:rPr>
                <w:sz w:val="15"/>
                <w:szCs w:val="15"/>
                <w:color w:val="auto"/>
              </w:rPr>
            </w:pPr>
          </w:p>
        </w:tc>
        <w:tc>
          <w:tcPr>
            <w:tcW w:w="280" w:type="dxa"/>
            <w:vAlign w:val="bottom"/>
            <w:tcBorders>
              <w:bottom w:val="single" w:sz="8" w:color="D9D9D9"/>
            </w:tcBorders>
          </w:tcPr>
          <w:p>
            <w:pPr>
              <w:spacing w:after="0"/>
              <w:rPr>
                <w:sz w:val="15"/>
                <w:szCs w:val="15"/>
                <w:color w:val="auto"/>
              </w:rPr>
            </w:pPr>
          </w:p>
        </w:tc>
        <w:tc>
          <w:tcPr>
            <w:tcW w:w="880" w:type="dxa"/>
            <w:vAlign w:val="bottom"/>
            <w:tcBorders>
              <w:bottom w:val="single" w:sz="8" w:color="D9D9D9"/>
            </w:tcBorders>
          </w:tcPr>
          <w:p>
            <w:pPr>
              <w:spacing w:after="0"/>
              <w:rPr>
                <w:sz w:val="15"/>
                <w:szCs w:val="15"/>
                <w:color w:val="auto"/>
              </w:rPr>
            </w:pPr>
          </w:p>
        </w:tc>
        <w:tc>
          <w:tcPr>
            <w:tcW w:w="1240" w:type="dxa"/>
            <w:vAlign w:val="bottom"/>
            <w:tcBorders>
              <w:bottom w:val="single" w:sz="8" w:color="D9D9D9"/>
            </w:tcBorders>
          </w:tcPr>
          <w:p>
            <w:pPr>
              <w:spacing w:after="0"/>
              <w:rPr>
                <w:sz w:val="15"/>
                <w:szCs w:val="15"/>
                <w:color w:val="auto"/>
              </w:rPr>
            </w:pPr>
          </w:p>
        </w:tc>
        <w:tc>
          <w:tcPr>
            <w:tcW w:w="280" w:type="dxa"/>
            <w:vAlign w:val="bottom"/>
            <w:tcBorders>
              <w:bottom w:val="single" w:sz="8" w:color="D9D9D9"/>
            </w:tcBorders>
          </w:tcPr>
          <w:p>
            <w:pPr>
              <w:spacing w:after="0"/>
              <w:rPr>
                <w:sz w:val="15"/>
                <w:szCs w:val="15"/>
                <w:color w:val="auto"/>
              </w:rPr>
            </w:pPr>
          </w:p>
        </w:tc>
        <w:tc>
          <w:tcPr>
            <w:tcW w:w="880" w:type="dxa"/>
            <w:vAlign w:val="bottom"/>
            <w:tcBorders>
              <w:bottom w:val="single" w:sz="8" w:color="D9D9D9"/>
            </w:tcBorders>
          </w:tcPr>
          <w:p>
            <w:pPr>
              <w:spacing w:after="0"/>
              <w:rPr>
                <w:sz w:val="15"/>
                <w:szCs w:val="15"/>
                <w:color w:val="auto"/>
              </w:rPr>
            </w:pPr>
          </w:p>
        </w:tc>
        <w:tc>
          <w:tcPr>
            <w:tcW w:w="1260" w:type="dxa"/>
            <w:vAlign w:val="bottom"/>
            <w:tcBorders>
              <w:bottom w:val="single" w:sz="8" w:color="D9D9D9"/>
            </w:tcBorders>
          </w:tcPr>
          <w:p>
            <w:pPr>
              <w:spacing w:after="0"/>
              <w:rPr>
                <w:sz w:val="15"/>
                <w:szCs w:val="15"/>
                <w:color w:val="auto"/>
              </w:rPr>
            </w:pPr>
          </w:p>
        </w:tc>
        <w:tc>
          <w:tcPr>
            <w:tcW w:w="280" w:type="dxa"/>
            <w:vAlign w:val="bottom"/>
            <w:tcBorders>
              <w:bottom w:val="single" w:sz="8" w:color="D9D9D9"/>
            </w:tcBorders>
          </w:tcPr>
          <w:p>
            <w:pPr>
              <w:spacing w:after="0"/>
              <w:rPr>
                <w:sz w:val="15"/>
                <w:szCs w:val="15"/>
                <w:color w:val="auto"/>
              </w:rPr>
            </w:pPr>
          </w:p>
        </w:tc>
        <w:tc>
          <w:tcPr>
            <w:tcW w:w="900" w:type="dxa"/>
            <w:vAlign w:val="bottom"/>
            <w:tcBorders>
              <w:bottom w:val="single" w:sz="8" w:color="D9D9D9"/>
            </w:tcBorders>
          </w:tcPr>
          <w:p>
            <w:pPr>
              <w:spacing w:after="0"/>
              <w:rPr>
                <w:sz w:val="15"/>
                <w:szCs w:val="15"/>
                <w:color w:val="auto"/>
              </w:rPr>
            </w:pPr>
          </w:p>
        </w:tc>
        <w:tc>
          <w:tcPr>
            <w:tcW w:w="1340" w:type="dxa"/>
            <w:vAlign w:val="bottom"/>
            <w:tcBorders>
              <w:bottom w:val="single" w:sz="8" w:color="D9D9D9"/>
            </w:tcBorders>
          </w:tcPr>
          <w:p>
            <w:pPr>
              <w:spacing w:after="0"/>
              <w:rPr>
                <w:sz w:val="15"/>
                <w:szCs w:val="15"/>
                <w:color w:val="auto"/>
              </w:rPr>
            </w:pPr>
          </w:p>
        </w:tc>
      </w:tr>
      <w:tr>
        <w:trPr>
          <w:trHeight w:val="135"/>
        </w:trPr>
        <w:tc>
          <w:tcPr>
            <w:tcW w:w="1920" w:type="dxa"/>
            <w:vAlign w:val="bottom"/>
          </w:tcPr>
          <w:p>
            <w:pPr>
              <w:ind w:left="20"/>
              <w:spacing w:after="0" w:line="136" w:lineRule="exact"/>
              <w:rPr>
                <w:sz w:val="20"/>
                <w:szCs w:val="20"/>
                <w:color w:val="auto"/>
              </w:rPr>
            </w:pPr>
            <w:r>
              <w:rPr>
                <w:rFonts w:ascii="Arial" w:cs="Arial" w:eastAsia="Arial" w:hAnsi="Arial"/>
                <w:sz w:val="13"/>
                <w:szCs w:val="13"/>
                <w:color w:val="auto"/>
              </w:rPr>
              <w:t>Fair value of stock awards</w:t>
            </w:r>
          </w:p>
        </w:tc>
        <w:tc>
          <w:tcPr>
            <w:tcW w:w="780" w:type="dxa"/>
            <w:vAlign w:val="bottom"/>
          </w:tcPr>
          <w:p>
            <w:pPr>
              <w:jc w:val="right"/>
              <w:spacing w:after="0" w:line="136" w:lineRule="exact"/>
              <w:rPr>
                <w:sz w:val="20"/>
                <w:szCs w:val="20"/>
                <w:color w:val="auto"/>
              </w:rPr>
            </w:pPr>
            <w:r>
              <w:rPr>
                <w:rFonts w:ascii="Arial" w:cs="Arial" w:eastAsia="Arial" w:hAnsi="Arial"/>
                <w:sz w:val="13"/>
                <w:szCs w:val="13"/>
                <w:color w:val="auto"/>
              </w:rPr>
              <w:t>(172,238)</w:t>
            </w:r>
          </w:p>
        </w:tc>
        <w:tc>
          <w:tcPr>
            <w:tcW w:w="1200" w:type="dxa"/>
            <w:vAlign w:val="bottom"/>
          </w:tcPr>
          <w:p>
            <w:pPr>
              <w:jc w:val="right"/>
              <w:ind w:right="214"/>
              <w:spacing w:after="0" w:line="136" w:lineRule="exact"/>
              <w:rPr>
                <w:sz w:val="20"/>
                <w:szCs w:val="20"/>
                <w:color w:val="auto"/>
              </w:rPr>
            </w:pPr>
            <w:r>
              <w:rPr>
                <w:rFonts w:ascii="Arial" w:cs="Arial" w:eastAsia="Arial" w:hAnsi="Arial"/>
                <w:sz w:val="13"/>
                <w:szCs w:val="13"/>
                <w:color w:val="auto"/>
              </w:rPr>
              <w:t>(355,011)</w:t>
            </w:r>
          </w:p>
        </w:tc>
        <w:tc>
          <w:tcPr>
            <w:tcW w:w="280" w:type="dxa"/>
            <w:vAlign w:val="bottom"/>
          </w:tcPr>
          <w:p>
            <w:pPr>
              <w:spacing w:after="0"/>
              <w:rPr>
                <w:sz w:val="11"/>
                <w:szCs w:val="11"/>
                <w:color w:val="auto"/>
              </w:rPr>
            </w:pPr>
          </w:p>
        </w:tc>
        <w:tc>
          <w:tcPr>
            <w:tcW w:w="880" w:type="dxa"/>
            <w:vAlign w:val="bottom"/>
          </w:tcPr>
          <w:p>
            <w:pPr>
              <w:jc w:val="right"/>
              <w:spacing w:after="0" w:line="136" w:lineRule="exact"/>
              <w:rPr>
                <w:sz w:val="20"/>
                <w:szCs w:val="20"/>
                <w:color w:val="auto"/>
              </w:rPr>
            </w:pPr>
            <w:r>
              <w:rPr>
                <w:rFonts w:ascii="Arial" w:cs="Arial" w:eastAsia="Arial" w:hAnsi="Arial"/>
                <w:sz w:val="13"/>
                <w:szCs w:val="13"/>
                <w:color w:val="auto"/>
              </w:rPr>
              <w:t>(244,148)</w:t>
            </w:r>
          </w:p>
        </w:tc>
        <w:tc>
          <w:tcPr>
            <w:tcW w:w="1240" w:type="dxa"/>
            <w:vAlign w:val="bottom"/>
          </w:tcPr>
          <w:p>
            <w:pPr>
              <w:jc w:val="right"/>
              <w:ind w:right="214"/>
              <w:spacing w:after="0" w:line="136" w:lineRule="exact"/>
              <w:rPr>
                <w:sz w:val="20"/>
                <w:szCs w:val="20"/>
                <w:color w:val="auto"/>
              </w:rPr>
            </w:pPr>
            <w:r>
              <w:rPr>
                <w:rFonts w:ascii="Arial" w:cs="Arial" w:eastAsia="Arial" w:hAnsi="Arial"/>
                <w:sz w:val="13"/>
                <w:szCs w:val="13"/>
                <w:color w:val="auto"/>
              </w:rPr>
              <w:t>(117,824)</w:t>
            </w:r>
          </w:p>
        </w:tc>
        <w:tc>
          <w:tcPr>
            <w:tcW w:w="280" w:type="dxa"/>
            <w:vAlign w:val="bottom"/>
          </w:tcPr>
          <w:p>
            <w:pPr>
              <w:spacing w:after="0"/>
              <w:rPr>
                <w:sz w:val="11"/>
                <w:szCs w:val="11"/>
                <w:color w:val="auto"/>
              </w:rPr>
            </w:pPr>
          </w:p>
        </w:tc>
        <w:tc>
          <w:tcPr>
            <w:tcW w:w="880" w:type="dxa"/>
            <w:vAlign w:val="bottom"/>
          </w:tcPr>
          <w:p>
            <w:pPr>
              <w:jc w:val="right"/>
              <w:spacing w:after="0" w:line="136" w:lineRule="exact"/>
              <w:rPr>
                <w:sz w:val="20"/>
                <w:szCs w:val="20"/>
                <w:color w:val="auto"/>
              </w:rPr>
            </w:pPr>
            <w:r>
              <w:rPr>
                <w:rFonts w:ascii="Arial" w:cs="Arial" w:eastAsia="Arial" w:hAnsi="Arial"/>
                <w:sz w:val="13"/>
                <w:szCs w:val="13"/>
                <w:color w:val="auto"/>
              </w:rPr>
              <w:t>(1,936,233)</w:t>
            </w:r>
          </w:p>
        </w:tc>
        <w:tc>
          <w:tcPr>
            <w:tcW w:w="1260" w:type="dxa"/>
            <w:vAlign w:val="bottom"/>
          </w:tcPr>
          <w:p>
            <w:pPr>
              <w:jc w:val="right"/>
              <w:ind w:right="214"/>
              <w:spacing w:after="0" w:line="136" w:lineRule="exact"/>
              <w:rPr>
                <w:sz w:val="20"/>
                <w:szCs w:val="20"/>
                <w:color w:val="auto"/>
              </w:rPr>
            </w:pPr>
            <w:r>
              <w:rPr>
                <w:rFonts w:ascii="Arial" w:cs="Arial" w:eastAsia="Arial" w:hAnsi="Arial"/>
                <w:sz w:val="13"/>
                <w:szCs w:val="13"/>
                <w:color w:val="auto"/>
              </w:rPr>
              <w:t>(669,484)</w:t>
            </w:r>
          </w:p>
        </w:tc>
        <w:tc>
          <w:tcPr>
            <w:tcW w:w="280" w:type="dxa"/>
            <w:vAlign w:val="bottom"/>
          </w:tcPr>
          <w:p>
            <w:pPr>
              <w:spacing w:after="0"/>
              <w:rPr>
                <w:sz w:val="11"/>
                <w:szCs w:val="11"/>
                <w:color w:val="auto"/>
              </w:rPr>
            </w:pPr>
          </w:p>
        </w:tc>
        <w:tc>
          <w:tcPr>
            <w:tcW w:w="900" w:type="dxa"/>
            <w:vAlign w:val="bottom"/>
          </w:tcPr>
          <w:p>
            <w:pPr>
              <w:jc w:val="right"/>
              <w:spacing w:after="0" w:line="136" w:lineRule="exact"/>
              <w:rPr>
                <w:sz w:val="20"/>
                <w:szCs w:val="20"/>
                <w:color w:val="auto"/>
              </w:rPr>
            </w:pPr>
            <w:r>
              <w:rPr>
                <w:rFonts w:ascii="Arial" w:cs="Arial" w:eastAsia="Arial" w:hAnsi="Arial"/>
                <w:sz w:val="13"/>
                <w:szCs w:val="13"/>
                <w:color w:val="auto"/>
              </w:rPr>
              <w:t>(225,000)</w:t>
            </w:r>
          </w:p>
        </w:tc>
        <w:tc>
          <w:tcPr>
            <w:tcW w:w="1340" w:type="dxa"/>
            <w:vAlign w:val="bottom"/>
          </w:tcPr>
          <w:p>
            <w:pPr>
              <w:ind w:left="360"/>
              <w:spacing w:after="0" w:line="136" w:lineRule="exact"/>
              <w:rPr>
                <w:sz w:val="20"/>
                <w:szCs w:val="20"/>
                <w:color w:val="auto"/>
              </w:rPr>
            </w:pPr>
            <w:r>
              <w:rPr>
                <w:rFonts w:ascii="Arial" w:cs="Arial" w:eastAsia="Arial" w:hAnsi="Arial"/>
                <w:sz w:val="13"/>
                <w:szCs w:val="13"/>
                <w:color w:val="auto"/>
              </w:rPr>
              <w:t>(708,513)</w:t>
            </w:r>
          </w:p>
        </w:tc>
      </w:tr>
      <w:tr>
        <w:trPr>
          <w:trHeight w:val="135"/>
        </w:trPr>
        <w:tc>
          <w:tcPr>
            <w:tcW w:w="1920" w:type="dxa"/>
            <w:vAlign w:val="bottom"/>
          </w:tcPr>
          <w:p>
            <w:pPr>
              <w:ind w:left="20"/>
              <w:spacing w:after="0" w:line="135" w:lineRule="exact"/>
              <w:rPr>
                <w:sz w:val="20"/>
                <w:szCs w:val="20"/>
                <w:color w:val="auto"/>
              </w:rPr>
            </w:pPr>
            <w:r>
              <w:rPr>
                <w:rFonts w:ascii="Arial" w:cs="Arial" w:eastAsia="Arial" w:hAnsi="Arial"/>
                <w:sz w:val="13"/>
                <w:szCs w:val="13"/>
                <w:color w:val="auto"/>
              </w:rPr>
              <w:t>reported in Summary</w:t>
            </w: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82"/>
        </w:trPr>
        <w:tc>
          <w:tcPr>
            <w:tcW w:w="1920" w:type="dxa"/>
            <w:vAlign w:val="bottom"/>
            <w:tcBorders>
              <w:bottom w:val="single" w:sz="8" w:color="D9D9D9"/>
            </w:tcBorders>
          </w:tcPr>
          <w:p>
            <w:pPr>
              <w:ind w:left="20"/>
              <w:spacing w:after="0"/>
              <w:rPr>
                <w:sz w:val="20"/>
                <w:szCs w:val="20"/>
                <w:color w:val="auto"/>
              </w:rPr>
            </w:pPr>
            <w:r>
              <w:rPr>
                <w:rFonts w:ascii="Arial" w:cs="Arial" w:eastAsia="Arial" w:hAnsi="Arial"/>
                <w:sz w:val="13"/>
                <w:szCs w:val="13"/>
                <w:color w:val="auto"/>
              </w:rPr>
              <w:t>Compensation Table</w:t>
            </w:r>
          </w:p>
        </w:tc>
        <w:tc>
          <w:tcPr>
            <w:tcW w:w="780" w:type="dxa"/>
            <w:vAlign w:val="bottom"/>
            <w:tcBorders>
              <w:bottom w:val="single" w:sz="8" w:color="D9D9D9"/>
            </w:tcBorders>
          </w:tcPr>
          <w:p>
            <w:pPr>
              <w:spacing w:after="0"/>
              <w:rPr>
                <w:sz w:val="15"/>
                <w:szCs w:val="15"/>
                <w:color w:val="auto"/>
              </w:rPr>
            </w:pPr>
          </w:p>
        </w:tc>
        <w:tc>
          <w:tcPr>
            <w:tcW w:w="1200" w:type="dxa"/>
            <w:vAlign w:val="bottom"/>
            <w:tcBorders>
              <w:bottom w:val="single" w:sz="8" w:color="D9D9D9"/>
            </w:tcBorders>
          </w:tcPr>
          <w:p>
            <w:pPr>
              <w:spacing w:after="0"/>
              <w:rPr>
                <w:sz w:val="15"/>
                <w:szCs w:val="15"/>
                <w:color w:val="auto"/>
              </w:rPr>
            </w:pPr>
          </w:p>
        </w:tc>
        <w:tc>
          <w:tcPr>
            <w:tcW w:w="280" w:type="dxa"/>
            <w:vAlign w:val="bottom"/>
            <w:tcBorders>
              <w:bottom w:val="single" w:sz="8" w:color="D9D9D9"/>
            </w:tcBorders>
          </w:tcPr>
          <w:p>
            <w:pPr>
              <w:spacing w:after="0"/>
              <w:rPr>
                <w:sz w:val="15"/>
                <w:szCs w:val="15"/>
                <w:color w:val="auto"/>
              </w:rPr>
            </w:pPr>
          </w:p>
        </w:tc>
        <w:tc>
          <w:tcPr>
            <w:tcW w:w="880" w:type="dxa"/>
            <w:vAlign w:val="bottom"/>
            <w:tcBorders>
              <w:bottom w:val="single" w:sz="8" w:color="D9D9D9"/>
            </w:tcBorders>
          </w:tcPr>
          <w:p>
            <w:pPr>
              <w:spacing w:after="0"/>
              <w:rPr>
                <w:sz w:val="15"/>
                <w:szCs w:val="15"/>
                <w:color w:val="auto"/>
              </w:rPr>
            </w:pPr>
          </w:p>
        </w:tc>
        <w:tc>
          <w:tcPr>
            <w:tcW w:w="1240" w:type="dxa"/>
            <w:vAlign w:val="bottom"/>
            <w:tcBorders>
              <w:bottom w:val="single" w:sz="8" w:color="D9D9D9"/>
            </w:tcBorders>
          </w:tcPr>
          <w:p>
            <w:pPr>
              <w:spacing w:after="0"/>
              <w:rPr>
                <w:sz w:val="15"/>
                <w:szCs w:val="15"/>
                <w:color w:val="auto"/>
              </w:rPr>
            </w:pPr>
          </w:p>
        </w:tc>
        <w:tc>
          <w:tcPr>
            <w:tcW w:w="280" w:type="dxa"/>
            <w:vAlign w:val="bottom"/>
            <w:tcBorders>
              <w:bottom w:val="single" w:sz="8" w:color="D9D9D9"/>
            </w:tcBorders>
          </w:tcPr>
          <w:p>
            <w:pPr>
              <w:spacing w:after="0"/>
              <w:rPr>
                <w:sz w:val="15"/>
                <w:szCs w:val="15"/>
                <w:color w:val="auto"/>
              </w:rPr>
            </w:pPr>
          </w:p>
        </w:tc>
        <w:tc>
          <w:tcPr>
            <w:tcW w:w="880" w:type="dxa"/>
            <w:vAlign w:val="bottom"/>
            <w:tcBorders>
              <w:bottom w:val="single" w:sz="8" w:color="D9D9D9"/>
            </w:tcBorders>
          </w:tcPr>
          <w:p>
            <w:pPr>
              <w:spacing w:after="0"/>
              <w:rPr>
                <w:sz w:val="15"/>
                <w:szCs w:val="15"/>
                <w:color w:val="auto"/>
              </w:rPr>
            </w:pPr>
          </w:p>
        </w:tc>
        <w:tc>
          <w:tcPr>
            <w:tcW w:w="1260" w:type="dxa"/>
            <w:vAlign w:val="bottom"/>
            <w:tcBorders>
              <w:bottom w:val="single" w:sz="8" w:color="D9D9D9"/>
            </w:tcBorders>
          </w:tcPr>
          <w:p>
            <w:pPr>
              <w:spacing w:after="0"/>
              <w:rPr>
                <w:sz w:val="15"/>
                <w:szCs w:val="15"/>
                <w:color w:val="auto"/>
              </w:rPr>
            </w:pPr>
          </w:p>
        </w:tc>
        <w:tc>
          <w:tcPr>
            <w:tcW w:w="280" w:type="dxa"/>
            <w:vAlign w:val="bottom"/>
            <w:tcBorders>
              <w:bottom w:val="single" w:sz="8" w:color="D9D9D9"/>
            </w:tcBorders>
          </w:tcPr>
          <w:p>
            <w:pPr>
              <w:spacing w:after="0"/>
              <w:rPr>
                <w:sz w:val="15"/>
                <w:szCs w:val="15"/>
                <w:color w:val="auto"/>
              </w:rPr>
            </w:pPr>
          </w:p>
        </w:tc>
        <w:tc>
          <w:tcPr>
            <w:tcW w:w="900" w:type="dxa"/>
            <w:vAlign w:val="bottom"/>
            <w:tcBorders>
              <w:bottom w:val="single" w:sz="8" w:color="D9D9D9"/>
            </w:tcBorders>
          </w:tcPr>
          <w:p>
            <w:pPr>
              <w:spacing w:after="0"/>
              <w:rPr>
                <w:sz w:val="15"/>
                <w:szCs w:val="15"/>
                <w:color w:val="auto"/>
              </w:rPr>
            </w:pPr>
          </w:p>
        </w:tc>
        <w:tc>
          <w:tcPr>
            <w:tcW w:w="1340" w:type="dxa"/>
            <w:vAlign w:val="bottom"/>
            <w:tcBorders>
              <w:bottom w:val="single" w:sz="8" w:color="D9D9D9"/>
            </w:tcBorders>
          </w:tcPr>
          <w:p>
            <w:pPr>
              <w:spacing w:after="0"/>
              <w:rPr>
                <w:sz w:val="15"/>
                <w:szCs w:val="15"/>
                <w:color w:val="auto"/>
              </w:rPr>
            </w:pPr>
          </w:p>
        </w:tc>
      </w:tr>
      <w:tr>
        <w:trPr>
          <w:trHeight w:val="135"/>
        </w:trPr>
        <w:tc>
          <w:tcPr>
            <w:tcW w:w="1920" w:type="dxa"/>
            <w:vAlign w:val="bottom"/>
          </w:tcPr>
          <w:p>
            <w:pPr>
              <w:ind w:left="20"/>
              <w:spacing w:after="0" w:line="136" w:lineRule="exact"/>
              <w:rPr>
                <w:sz w:val="20"/>
                <w:szCs w:val="20"/>
                <w:color w:val="auto"/>
              </w:rPr>
            </w:pPr>
            <w:r>
              <w:rPr>
                <w:rFonts w:ascii="Arial" w:cs="Arial" w:eastAsia="Arial" w:hAnsi="Arial"/>
                <w:sz w:val="13"/>
                <w:szCs w:val="13"/>
                <w:color w:val="auto"/>
              </w:rPr>
              <w:t>Fair value of equity</w:t>
            </w:r>
          </w:p>
        </w:tc>
        <w:tc>
          <w:tcPr>
            <w:tcW w:w="780" w:type="dxa"/>
            <w:vAlign w:val="bottom"/>
          </w:tcPr>
          <w:p>
            <w:pPr>
              <w:jc w:val="right"/>
              <w:ind w:right="33"/>
              <w:spacing w:after="0" w:line="136" w:lineRule="exact"/>
              <w:rPr>
                <w:sz w:val="20"/>
                <w:szCs w:val="20"/>
                <w:color w:val="auto"/>
              </w:rPr>
            </w:pPr>
            <w:r>
              <w:rPr>
                <w:rFonts w:ascii="Arial" w:cs="Arial" w:eastAsia="Arial" w:hAnsi="Arial"/>
                <w:sz w:val="13"/>
                <w:szCs w:val="13"/>
                <w:color w:val="auto"/>
              </w:rPr>
              <w:t>293,660</w:t>
            </w:r>
          </w:p>
        </w:tc>
        <w:tc>
          <w:tcPr>
            <w:tcW w:w="1200" w:type="dxa"/>
            <w:vAlign w:val="bottom"/>
          </w:tcPr>
          <w:p>
            <w:pPr>
              <w:jc w:val="right"/>
              <w:ind w:right="254"/>
              <w:spacing w:after="0" w:line="136" w:lineRule="exact"/>
              <w:rPr>
                <w:sz w:val="20"/>
                <w:szCs w:val="20"/>
                <w:color w:val="auto"/>
              </w:rPr>
            </w:pPr>
            <w:r>
              <w:rPr>
                <w:rFonts w:ascii="Arial" w:cs="Arial" w:eastAsia="Arial" w:hAnsi="Arial"/>
                <w:sz w:val="13"/>
                <w:szCs w:val="13"/>
                <w:color w:val="auto"/>
              </w:rPr>
              <w:t>557,331</w:t>
            </w:r>
          </w:p>
        </w:tc>
        <w:tc>
          <w:tcPr>
            <w:tcW w:w="280" w:type="dxa"/>
            <w:vAlign w:val="bottom"/>
          </w:tcPr>
          <w:p>
            <w:pPr>
              <w:spacing w:after="0"/>
              <w:rPr>
                <w:sz w:val="11"/>
                <w:szCs w:val="11"/>
                <w:color w:val="auto"/>
              </w:rPr>
            </w:pPr>
          </w:p>
        </w:tc>
        <w:tc>
          <w:tcPr>
            <w:tcW w:w="880" w:type="dxa"/>
            <w:vAlign w:val="bottom"/>
          </w:tcPr>
          <w:p>
            <w:pPr>
              <w:jc w:val="right"/>
              <w:ind w:right="13"/>
              <w:spacing w:after="0" w:line="136" w:lineRule="exact"/>
              <w:rPr>
                <w:sz w:val="20"/>
                <w:szCs w:val="20"/>
                <w:color w:val="auto"/>
              </w:rPr>
            </w:pPr>
            <w:r>
              <w:rPr>
                <w:rFonts w:ascii="Arial" w:cs="Arial" w:eastAsia="Arial" w:hAnsi="Arial"/>
                <w:sz w:val="13"/>
                <w:szCs w:val="13"/>
                <w:color w:val="auto"/>
              </w:rPr>
              <w:t>217,166</w:t>
            </w:r>
          </w:p>
        </w:tc>
        <w:tc>
          <w:tcPr>
            <w:tcW w:w="1240" w:type="dxa"/>
            <w:vAlign w:val="bottom"/>
          </w:tcPr>
          <w:p>
            <w:pPr>
              <w:jc w:val="right"/>
              <w:ind w:right="254"/>
              <w:spacing w:after="0" w:line="136" w:lineRule="exact"/>
              <w:rPr>
                <w:sz w:val="20"/>
                <w:szCs w:val="20"/>
                <w:color w:val="auto"/>
              </w:rPr>
            </w:pPr>
            <w:r>
              <w:rPr>
                <w:rFonts w:ascii="Arial" w:cs="Arial" w:eastAsia="Arial" w:hAnsi="Arial"/>
                <w:sz w:val="13"/>
                <w:szCs w:val="13"/>
                <w:color w:val="auto"/>
              </w:rPr>
              <w:t>104,803</w:t>
            </w:r>
          </w:p>
        </w:tc>
        <w:tc>
          <w:tcPr>
            <w:tcW w:w="280" w:type="dxa"/>
            <w:vAlign w:val="bottom"/>
          </w:tcPr>
          <w:p>
            <w:pPr>
              <w:spacing w:after="0"/>
              <w:rPr>
                <w:sz w:val="11"/>
                <w:szCs w:val="11"/>
                <w:color w:val="auto"/>
              </w:rPr>
            </w:pPr>
          </w:p>
        </w:tc>
        <w:tc>
          <w:tcPr>
            <w:tcW w:w="880" w:type="dxa"/>
            <w:vAlign w:val="bottom"/>
          </w:tcPr>
          <w:p>
            <w:pPr>
              <w:jc w:val="right"/>
              <w:ind w:right="13"/>
              <w:spacing w:after="0" w:line="136" w:lineRule="exact"/>
              <w:rPr>
                <w:sz w:val="20"/>
                <w:szCs w:val="20"/>
                <w:color w:val="auto"/>
              </w:rPr>
            </w:pPr>
            <w:r>
              <w:rPr>
                <w:rFonts w:ascii="Arial" w:cs="Arial" w:eastAsia="Arial" w:hAnsi="Arial"/>
                <w:sz w:val="13"/>
                <w:szCs w:val="13"/>
                <w:color w:val="auto"/>
              </w:rPr>
              <w:t>1,951,608</w:t>
            </w:r>
          </w:p>
        </w:tc>
        <w:tc>
          <w:tcPr>
            <w:tcW w:w="1260" w:type="dxa"/>
            <w:vAlign w:val="bottom"/>
          </w:tcPr>
          <w:p>
            <w:pPr>
              <w:jc w:val="right"/>
              <w:ind w:right="254"/>
              <w:spacing w:after="0" w:line="136" w:lineRule="exact"/>
              <w:rPr>
                <w:sz w:val="20"/>
                <w:szCs w:val="20"/>
                <w:color w:val="auto"/>
              </w:rPr>
            </w:pPr>
            <w:r>
              <w:rPr>
                <w:rFonts w:ascii="Arial" w:cs="Arial" w:eastAsia="Arial" w:hAnsi="Arial"/>
                <w:sz w:val="13"/>
                <w:szCs w:val="13"/>
                <w:color w:val="auto"/>
              </w:rPr>
              <w:t>676,690</w:t>
            </w:r>
          </w:p>
        </w:tc>
        <w:tc>
          <w:tcPr>
            <w:tcW w:w="280" w:type="dxa"/>
            <w:vAlign w:val="bottom"/>
          </w:tcPr>
          <w:p>
            <w:pPr>
              <w:spacing w:after="0"/>
              <w:rPr>
                <w:sz w:val="11"/>
                <w:szCs w:val="11"/>
                <w:color w:val="auto"/>
              </w:rPr>
            </w:pPr>
          </w:p>
        </w:tc>
        <w:tc>
          <w:tcPr>
            <w:tcW w:w="900" w:type="dxa"/>
            <w:vAlign w:val="bottom"/>
          </w:tcPr>
          <w:p>
            <w:pPr>
              <w:jc w:val="right"/>
              <w:ind w:right="33"/>
              <w:spacing w:after="0" w:line="136" w:lineRule="exact"/>
              <w:rPr>
                <w:sz w:val="20"/>
                <w:szCs w:val="20"/>
                <w:color w:val="auto"/>
              </w:rPr>
            </w:pPr>
            <w:r>
              <w:rPr>
                <w:rFonts w:ascii="Arial" w:cs="Arial" w:eastAsia="Arial" w:hAnsi="Arial"/>
                <w:sz w:val="13"/>
                <w:szCs w:val="13"/>
                <w:color w:val="auto"/>
              </w:rPr>
              <w:t>120,691</w:t>
            </w:r>
          </w:p>
        </w:tc>
        <w:tc>
          <w:tcPr>
            <w:tcW w:w="1340" w:type="dxa"/>
            <w:vAlign w:val="bottom"/>
          </w:tcPr>
          <w:p>
            <w:pPr>
              <w:jc w:val="right"/>
              <w:ind w:right="374"/>
              <w:spacing w:after="0" w:line="136" w:lineRule="exact"/>
              <w:rPr>
                <w:sz w:val="20"/>
                <w:szCs w:val="20"/>
                <w:color w:val="auto"/>
              </w:rPr>
            </w:pPr>
            <w:r>
              <w:rPr>
                <w:rFonts w:ascii="Arial" w:cs="Arial" w:eastAsia="Arial" w:hAnsi="Arial"/>
                <w:sz w:val="13"/>
                <w:szCs w:val="13"/>
                <w:color w:val="auto"/>
              </w:rPr>
              <w:t>364,374</w:t>
            </w:r>
          </w:p>
        </w:tc>
      </w:tr>
      <w:tr>
        <w:trPr>
          <w:trHeight w:val="135"/>
        </w:trPr>
        <w:tc>
          <w:tcPr>
            <w:tcW w:w="1920" w:type="dxa"/>
            <w:vAlign w:val="bottom"/>
          </w:tcPr>
          <w:p>
            <w:pPr>
              <w:ind w:left="20"/>
              <w:spacing w:after="0" w:line="135" w:lineRule="exact"/>
              <w:rPr>
                <w:sz w:val="20"/>
                <w:szCs w:val="20"/>
                <w:color w:val="auto"/>
              </w:rPr>
            </w:pPr>
            <w:r>
              <w:rPr>
                <w:rFonts w:ascii="Arial" w:cs="Arial" w:eastAsia="Arial" w:hAnsi="Arial"/>
                <w:sz w:val="13"/>
                <w:szCs w:val="13"/>
                <w:color w:val="auto"/>
              </w:rPr>
              <w:t>compensation granted in</w:t>
            </w: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35"/>
        </w:trPr>
        <w:tc>
          <w:tcPr>
            <w:tcW w:w="1920" w:type="dxa"/>
            <w:vAlign w:val="bottom"/>
          </w:tcPr>
          <w:p>
            <w:pPr>
              <w:ind w:left="20"/>
              <w:spacing w:after="0" w:line="135" w:lineRule="exact"/>
              <w:rPr>
                <w:sz w:val="20"/>
                <w:szCs w:val="20"/>
                <w:color w:val="auto"/>
              </w:rPr>
            </w:pPr>
            <w:r>
              <w:rPr>
                <w:rFonts w:ascii="Arial" w:cs="Arial" w:eastAsia="Arial" w:hAnsi="Arial"/>
                <w:sz w:val="13"/>
                <w:szCs w:val="13"/>
                <w:color w:val="auto"/>
              </w:rPr>
              <w:t>current year - value at year-</w:t>
            </w: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82"/>
        </w:trPr>
        <w:tc>
          <w:tcPr>
            <w:tcW w:w="1920" w:type="dxa"/>
            <w:vAlign w:val="bottom"/>
            <w:tcBorders>
              <w:bottom w:val="single" w:sz="8" w:color="D9D9D9"/>
            </w:tcBorders>
          </w:tcPr>
          <w:p>
            <w:pPr>
              <w:ind w:left="20"/>
              <w:spacing w:after="0"/>
              <w:rPr>
                <w:sz w:val="20"/>
                <w:szCs w:val="20"/>
                <w:color w:val="auto"/>
              </w:rPr>
            </w:pPr>
            <w:r>
              <w:rPr>
                <w:rFonts w:ascii="Arial" w:cs="Arial" w:eastAsia="Arial" w:hAnsi="Arial"/>
                <w:sz w:val="13"/>
                <w:szCs w:val="13"/>
                <w:color w:val="auto"/>
              </w:rPr>
              <w:t>end</w:t>
            </w:r>
          </w:p>
        </w:tc>
        <w:tc>
          <w:tcPr>
            <w:tcW w:w="780" w:type="dxa"/>
            <w:vAlign w:val="bottom"/>
            <w:tcBorders>
              <w:bottom w:val="single" w:sz="8" w:color="D9D9D9"/>
            </w:tcBorders>
          </w:tcPr>
          <w:p>
            <w:pPr>
              <w:spacing w:after="0"/>
              <w:rPr>
                <w:sz w:val="15"/>
                <w:szCs w:val="15"/>
                <w:color w:val="auto"/>
              </w:rPr>
            </w:pPr>
          </w:p>
        </w:tc>
        <w:tc>
          <w:tcPr>
            <w:tcW w:w="1200" w:type="dxa"/>
            <w:vAlign w:val="bottom"/>
            <w:tcBorders>
              <w:bottom w:val="single" w:sz="8" w:color="D9D9D9"/>
            </w:tcBorders>
          </w:tcPr>
          <w:p>
            <w:pPr>
              <w:spacing w:after="0"/>
              <w:rPr>
                <w:sz w:val="15"/>
                <w:szCs w:val="15"/>
                <w:color w:val="auto"/>
              </w:rPr>
            </w:pPr>
          </w:p>
        </w:tc>
        <w:tc>
          <w:tcPr>
            <w:tcW w:w="280" w:type="dxa"/>
            <w:vAlign w:val="bottom"/>
            <w:tcBorders>
              <w:bottom w:val="single" w:sz="8" w:color="D9D9D9"/>
            </w:tcBorders>
          </w:tcPr>
          <w:p>
            <w:pPr>
              <w:spacing w:after="0"/>
              <w:rPr>
                <w:sz w:val="15"/>
                <w:szCs w:val="15"/>
                <w:color w:val="auto"/>
              </w:rPr>
            </w:pPr>
          </w:p>
        </w:tc>
        <w:tc>
          <w:tcPr>
            <w:tcW w:w="880" w:type="dxa"/>
            <w:vAlign w:val="bottom"/>
            <w:tcBorders>
              <w:bottom w:val="single" w:sz="8" w:color="D9D9D9"/>
            </w:tcBorders>
          </w:tcPr>
          <w:p>
            <w:pPr>
              <w:spacing w:after="0"/>
              <w:rPr>
                <w:sz w:val="15"/>
                <w:szCs w:val="15"/>
                <w:color w:val="auto"/>
              </w:rPr>
            </w:pPr>
          </w:p>
        </w:tc>
        <w:tc>
          <w:tcPr>
            <w:tcW w:w="1240" w:type="dxa"/>
            <w:vAlign w:val="bottom"/>
            <w:tcBorders>
              <w:bottom w:val="single" w:sz="8" w:color="D9D9D9"/>
            </w:tcBorders>
          </w:tcPr>
          <w:p>
            <w:pPr>
              <w:spacing w:after="0"/>
              <w:rPr>
                <w:sz w:val="15"/>
                <w:szCs w:val="15"/>
                <w:color w:val="auto"/>
              </w:rPr>
            </w:pPr>
          </w:p>
        </w:tc>
        <w:tc>
          <w:tcPr>
            <w:tcW w:w="280" w:type="dxa"/>
            <w:vAlign w:val="bottom"/>
            <w:tcBorders>
              <w:bottom w:val="single" w:sz="8" w:color="D9D9D9"/>
            </w:tcBorders>
          </w:tcPr>
          <w:p>
            <w:pPr>
              <w:spacing w:after="0"/>
              <w:rPr>
                <w:sz w:val="15"/>
                <w:szCs w:val="15"/>
                <w:color w:val="auto"/>
              </w:rPr>
            </w:pPr>
          </w:p>
        </w:tc>
        <w:tc>
          <w:tcPr>
            <w:tcW w:w="880" w:type="dxa"/>
            <w:vAlign w:val="bottom"/>
            <w:tcBorders>
              <w:bottom w:val="single" w:sz="8" w:color="D9D9D9"/>
            </w:tcBorders>
          </w:tcPr>
          <w:p>
            <w:pPr>
              <w:spacing w:after="0"/>
              <w:rPr>
                <w:sz w:val="15"/>
                <w:szCs w:val="15"/>
                <w:color w:val="auto"/>
              </w:rPr>
            </w:pPr>
          </w:p>
        </w:tc>
        <w:tc>
          <w:tcPr>
            <w:tcW w:w="1260" w:type="dxa"/>
            <w:vAlign w:val="bottom"/>
            <w:tcBorders>
              <w:bottom w:val="single" w:sz="8" w:color="D9D9D9"/>
            </w:tcBorders>
          </w:tcPr>
          <w:p>
            <w:pPr>
              <w:spacing w:after="0"/>
              <w:rPr>
                <w:sz w:val="15"/>
                <w:szCs w:val="15"/>
                <w:color w:val="auto"/>
              </w:rPr>
            </w:pPr>
          </w:p>
        </w:tc>
        <w:tc>
          <w:tcPr>
            <w:tcW w:w="280" w:type="dxa"/>
            <w:vAlign w:val="bottom"/>
            <w:tcBorders>
              <w:bottom w:val="single" w:sz="8" w:color="D9D9D9"/>
            </w:tcBorders>
          </w:tcPr>
          <w:p>
            <w:pPr>
              <w:spacing w:after="0"/>
              <w:rPr>
                <w:sz w:val="15"/>
                <w:szCs w:val="15"/>
                <w:color w:val="auto"/>
              </w:rPr>
            </w:pPr>
          </w:p>
        </w:tc>
        <w:tc>
          <w:tcPr>
            <w:tcW w:w="900" w:type="dxa"/>
            <w:vAlign w:val="bottom"/>
            <w:tcBorders>
              <w:bottom w:val="single" w:sz="8" w:color="D9D9D9"/>
            </w:tcBorders>
          </w:tcPr>
          <w:p>
            <w:pPr>
              <w:spacing w:after="0"/>
              <w:rPr>
                <w:sz w:val="15"/>
                <w:szCs w:val="15"/>
                <w:color w:val="auto"/>
              </w:rPr>
            </w:pPr>
          </w:p>
        </w:tc>
        <w:tc>
          <w:tcPr>
            <w:tcW w:w="1340" w:type="dxa"/>
            <w:vAlign w:val="bottom"/>
            <w:tcBorders>
              <w:bottom w:val="single" w:sz="8" w:color="D9D9D9"/>
            </w:tcBorders>
          </w:tcPr>
          <w:p>
            <w:pPr>
              <w:spacing w:after="0"/>
              <w:rPr>
                <w:sz w:val="15"/>
                <w:szCs w:val="15"/>
                <w:color w:val="auto"/>
              </w:rPr>
            </w:pPr>
          </w:p>
        </w:tc>
      </w:tr>
      <w:tr>
        <w:trPr>
          <w:trHeight w:val="135"/>
        </w:trPr>
        <w:tc>
          <w:tcPr>
            <w:tcW w:w="1920" w:type="dxa"/>
            <w:vAlign w:val="bottom"/>
          </w:tcPr>
          <w:p>
            <w:pPr>
              <w:ind w:left="20"/>
              <w:spacing w:after="0" w:line="136" w:lineRule="exact"/>
              <w:rPr>
                <w:sz w:val="20"/>
                <w:szCs w:val="20"/>
                <w:color w:val="auto"/>
              </w:rPr>
            </w:pPr>
            <w:r>
              <w:rPr>
                <w:rFonts w:ascii="Arial" w:cs="Arial" w:eastAsia="Arial" w:hAnsi="Arial"/>
                <w:sz w:val="13"/>
                <w:szCs w:val="13"/>
                <w:color w:val="auto"/>
              </w:rPr>
              <w:t>Change in fair value from end</w:t>
            </w:r>
          </w:p>
        </w:tc>
        <w:tc>
          <w:tcPr>
            <w:tcW w:w="780" w:type="dxa"/>
            <w:vAlign w:val="bottom"/>
          </w:tcPr>
          <w:p>
            <w:pPr>
              <w:jc w:val="right"/>
              <w:ind w:right="33"/>
              <w:spacing w:after="0" w:line="136" w:lineRule="exact"/>
              <w:rPr>
                <w:sz w:val="20"/>
                <w:szCs w:val="20"/>
                <w:color w:val="auto"/>
              </w:rPr>
            </w:pPr>
            <w:r>
              <w:rPr>
                <w:rFonts w:ascii="Arial" w:cs="Arial" w:eastAsia="Arial" w:hAnsi="Arial"/>
                <w:sz w:val="13"/>
                <w:szCs w:val="13"/>
                <w:color w:val="auto"/>
              </w:rPr>
              <w:t>445,041</w:t>
            </w:r>
          </w:p>
        </w:tc>
        <w:tc>
          <w:tcPr>
            <w:tcW w:w="1200" w:type="dxa"/>
            <w:vAlign w:val="bottom"/>
          </w:tcPr>
          <w:p>
            <w:pPr>
              <w:jc w:val="right"/>
              <w:ind w:right="254"/>
              <w:spacing w:after="0" w:line="136" w:lineRule="exact"/>
              <w:rPr>
                <w:sz w:val="20"/>
                <w:szCs w:val="20"/>
                <w:color w:val="auto"/>
              </w:rPr>
            </w:pPr>
            <w:r>
              <w:rPr>
                <w:rFonts w:ascii="Arial" w:cs="Arial" w:eastAsia="Arial" w:hAnsi="Arial"/>
                <w:sz w:val="13"/>
                <w:szCs w:val="13"/>
                <w:color w:val="auto"/>
              </w:rPr>
              <w:t>219,894</w:t>
            </w:r>
          </w:p>
        </w:tc>
        <w:tc>
          <w:tcPr>
            <w:tcW w:w="280" w:type="dxa"/>
            <w:vAlign w:val="bottom"/>
          </w:tcPr>
          <w:p>
            <w:pPr>
              <w:spacing w:after="0"/>
              <w:rPr>
                <w:sz w:val="11"/>
                <w:szCs w:val="11"/>
                <w:color w:val="auto"/>
              </w:rPr>
            </w:pPr>
          </w:p>
        </w:tc>
        <w:tc>
          <w:tcPr>
            <w:tcW w:w="880" w:type="dxa"/>
            <w:vAlign w:val="bottom"/>
          </w:tcPr>
          <w:p>
            <w:pPr>
              <w:jc w:val="right"/>
              <w:ind w:right="13"/>
              <w:spacing w:after="0" w:line="136" w:lineRule="exact"/>
              <w:rPr>
                <w:sz w:val="20"/>
                <w:szCs w:val="20"/>
                <w:color w:val="auto"/>
              </w:rPr>
            </w:pPr>
            <w:r>
              <w:rPr>
                <w:rFonts w:ascii="Arial" w:cs="Arial" w:eastAsia="Arial" w:hAnsi="Arial"/>
                <w:sz w:val="13"/>
                <w:szCs w:val="13"/>
                <w:color w:val="auto"/>
              </w:rPr>
              <w:t>590,771</w:t>
            </w:r>
          </w:p>
        </w:tc>
        <w:tc>
          <w:tcPr>
            <w:tcW w:w="1240" w:type="dxa"/>
            <w:vAlign w:val="bottom"/>
          </w:tcPr>
          <w:p>
            <w:pPr>
              <w:jc w:val="right"/>
              <w:ind w:right="254"/>
              <w:spacing w:after="0" w:line="136" w:lineRule="exact"/>
              <w:rPr>
                <w:sz w:val="20"/>
                <w:szCs w:val="20"/>
                <w:color w:val="auto"/>
              </w:rPr>
            </w:pPr>
            <w:r>
              <w:rPr>
                <w:rFonts w:ascii="Arial" w:cs="Arial" w:eastAsia="Arial" w:hAnsi="Arial"/>
                <w:sz w:val="13"/>
                <w:szCs w:val="13"/>
                <w:color w:val="auto"/>
              </w:rPr>
              <w:t>174,033</w:t>
            </w:r>
          </w:p>
        </w:tc>
        <w:tc>
          <w:tcPr>
            <w:tcW w:w="280" w:type="dxa"/>
            <w:vAlign w:val="bottom"/>
          </w:tcPr>
          <w:p>
            <w:pPr>
              <w:spacing w:after="0"/>
              <w:rPr>
                <w:sz w:val="11"/>
                <w:szCs w:val="11"/>
                <w:color w:val="auto"/>
              </w:rPr>
            </w:pPr>
          </w:p>
        </w:tc>
        <w:tc>
          <w:tcPr>
            <w:tcW w:w="880" w:type="dxa"/>
            <w:vAlign w:val="bottom"/>
          </w:tcPr>
          <w:p>
            <w:pPr>
              <w:jc w:val="right"/>
              <w:ind w:right="13"/>
              <w:spacing w:after="0" w:line="136" w:lineRule="exact"/>
              <w:rPr>
                <w:sz w:val="20"/>
                <w:szCs w:val="20"/>
                <w:color w:val="auto"/>
              </w:rPr>
            </w:pPr>
            <w:r>
              <w:rPr>
                <w:rFonts w:ascii="Arial" w:cs="Arial" w:eastAsia="Arial" w:hAnsi="Arial"/>
                <w:sz w:val="13"/>
                <w:szCs w:val="13"/>
                <w:color w:val="auto"/>
              </w:rPr>
              <w:t>644,231</w:t>
            </w:r>
          </w:p>
        </w:tc>
        <w:tc>
          <w:tcPr>
            <w:tcW w:w="1260" w:type="dxa"/>
            <w:vAlign w:val="bottom"/>
          </w:tcPr>
          <w:p>
            <w:pPr>
              <w:jc w:val="right"/>
              <w:ind w:right="254"/>
              <w:spacing w:after="0" w:line="136" w:lineRule="exact"/>
              <w:rPr>
                <w:sz w:val="20"/>
                <w:szCs w:val="20"/>
                <w:color w:val="auto"/>
              </w:rPr>
            </w:pPr>
            <w:r>
              <w:rPr>
                <w:rFonts w:ascii="Arial" w:cs="Arial" w:eastAsia="Arial" w:hAnsi="Arial"/>
                <w:sz w:val="13"/>
                <w:szCs w:val="13"/>
                <w:color w:val="auto"/>
              </w:rPr>
              <w:t>94,484</w:t>
            </w:r>
          </w:p>
        </w:tc>
        <w:tc>
          <w:tcPr>
            <w:tcW w:w="280" w:type="dxa"/>
            <w:vAlign w:val="bottom"/>
          </w:tcPr>
          <w:p>
            <w:pPr>
              <w:spacing w:after="0"/>
              <w:rPr>
                <w:sz w:val="11"/>
                <w:szCs w:val="11"/>
                <w:color w:val="auto"/>
              </w:rPr>
            </w:pPr>
          </w:p>
        </w:tc>
        <w:tc>
          <w:tcPr>
            <w:tcW w:w="900" w:type="dxa"/>
            <w:vAlign w:val="bottom"/>
          </w:tcPr>
          <w:p>
            <w:pPr>
              <w:jc w:val="right"/>
              <w:spacing w:after="0" w:line="136" w:lineRule="exact"/>
              <w:rPr>
                <w:sz w:val="20"/>
                <w:szCs w:val="20"/>
                <w:color w:val="auto"/>
              </w:rPr>
            </w:pPr>
            <w:r>
              <w:rPr>
                <w:rFonts w:ascii="Arial" w:cs="Arial" w:eastAsia="Arial" w:hAnsi="Arial"/>
                <w:sz w:val="13"/>
                <w:szCs w:val="13"/>
                <w:color w:val="auto"/>
              </w:rPr>
              <w:t>(2,633,750)</w:t>
            </w:r>
          </w:p>
        </w:tc>
        <w:tc>
          <w:tcPr>
            <w:tcW w:w="1340" w:type="dxa"/>
            <w:vAlign w:val="bottom"/>
          </w:tcPr>
          <w:p>
            <w:pPr>
              <w:jc w:val="right"/>
              <w:ind w:right="374"/>
              <w:spacing w:after="0" w:line="136" w:lineRule="exact"/>
              <w:rPr>
                <w:sz w:val="20"/>
                <w:szCs w:val="20"/>
                <w:color w:val="auto"/>
              </w:rPr>
            </w:pPr>
            <w:r>
              <w:rPr>
                <w:rFonts w:ascii="Arial" w:cs="Arial" w:eastAsia="Arial" w:hAnsi="Arial"/>
                <w:sz w:val="13"/>
                <w:szCs w:val="13"/>
                <w:color w:val="auto"/>
              </w:rPr>
              <w:t>502,510</w:t>
            </w:r>
          </w:p>
        </w:tc>
      </w:tr>
      <w:tr>
        <w:trPr>
          <w:trHeight w:val="135"/>
        </w:trPr>
        <w:tc>
          <w:tcPr>
            <w:tcW w:w="1920" w:type="dxa"/>
            <w:vAlign w:val="bottom"/>
          </w:tcPr>
          <w:p>
            <w:pPr>
              <w:ind w:left="20"/>
              <w:spacing w:after="0" w:line="135" w:lineRule="exact"/>
              <w:rPr>
                <w:sz w:val="20"/>
                <w:szCs w:val="20"/>
                <w:color w:val="auto"/>
              </w:rPr>
            </w:pPr>
            <w:r>
              <w:rPr>
                <w:rFonts w:ascii="Arial" w:cs="Arial" w:eastAsia="Arial" w:hAnsi="Arial"/>
                <w:sz w:val="13"/>
                <w:szCs w:val="13"/>
                <w:color w:val="auto"/>
              </w:rPr>
              <w:t>of prior fiscal to end of current</w:t>
            </w: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35"/>
        </w:trPr>
        <w:tc>
          <w:tcPr>
            <w:tcW w:w="1920" w:type="dxa"/>
            <w:vAlign w:val="bottom"/>
          </w:tcPr>
          <w:p>
            <w:pPr>
              <w:ind w:left="20"/>
              <w:spacing w:after="0" w:line="135" w:lineRule="exact"/>
              <w:rPr>
                <w:sz w:val="20"/>
                <w:szCs w:val="20"/>
                <w:color w:val="auto"/>
              </w:rPr>
            </w:pPr>
            <w:r>
              <w:rPr>
                <w:rFonts w:ascii="Arial" w:cs="Arial" w:eastAsia="Arial" w:hAnsi="Arial"/>
                <w:sz w:val="13"/>
                <w:szCs w:val="13"/>
                <w:color w:val="auto"/>
              </w:rPr>
              <w:t>fiscal year for awards made in</w:t>
            </w: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35"/>
        </w:trPr>
        <w:tc>
          <w:tcPr>
            <w:tcW w:w="1920" w:type="dxa"/>
            <w:vAlign w:val="bottom"/>
          </w:tcPr>
          <w:p>
            <w:pPr>
              <w:ind w:left="20"/>
              <w:spacing w:after="0" w:line="135" w:lineRule="exact"/>
              <w:rPr>
                <w:sz w:val="20"/>
                <w:szCs w:val="20"/>
                <w:color w:val="auto"/>
              </w:rPr>
            </w:pPr>
            <w:r>
              <w:rPr>
                <w:rFonts w:ascii="Arial" w:cs="Arial" w:eastAsia="Arial" w:hAnsi="Arial"/>
                <w:sz w:val="13"/>
                <w:szCs w:val="13"/>
                <w:color w:val="auto"/>
              </w:rPr>
              <w:t>prior fiscal years that were</w:t>
            </w: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35"/>
        </w:trPr>
        <w:tc>
          <w:tcPr>
            <w:tcW w:w="1920" w:type="dxa"/>
            <w:vAlign w:val="bottom"/>
          </w:tcPr>
          <w:p>
            <w:pPr>
              <w:ind w:left="20"/>
              <w:spacing w:after="0" w:line="135" w:lineRule="exact"/>
              <w:rPr>
                <w:sz w:val="20"/>
                <w:szCs w:val="20"/>
                <w:color w:val="auto"/>
              </w:rPr>
            </w:pPr>
            <w:r>
              <w:rPr>
                <w:rFonts w:ascii="Arial" w:cs="Arial" w:eastAsia="Arial" w:hAnsi="Arial"/>
                <w:sz w:val="13"/>
                <w:szCs w:val="13"/>
                <w:color w:val="auto"/>
              </w:rPr>
              <w:t>unvested at end of current</w:t>
            </w: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82"/>
        </w:trPr>
        <w:tc>
          <w:tcPr>
            <w:tcW w:w="1920" w:type="dxa"/>
            <w:vAlign w:val="bottom"/>
            <w:tcBorders>
              <w:bottom w:val="single" w:sz="8" w:color="D9D9D9"/>
            </w:tcBorders>
          </w:tcPr>
          <w:p>
            <w:pPr>
              <w:ind w:left="20"/>
              <w:spacing w:after="0"/>
              <w:rPr>
                <w:sz w:val="20"/>
                <w:szCs w:val="20"/>
                <w:color w:val="auto"/>
              </w:rPr>
            </w:pPr>
            <w:r>
              <w:rPr>
                <w:rFonts w:ascii="Arial" w:cs="Arial" w:eastAsia="Arial" w:hAnsi="Arial"/>
                <w:sz w:val="13"/>
                <w:szCs w:val="13"/>
                <w:color w:val="auto"/>
              </w:rPr>
              <w:t>fiscal year</w:t>
            </w:r>
          </w:p>
        </w:tc>
        <w:tc>
          <w:tcPr>
            <w:tcW w:w="780" w:type="dxa"/>
            <w:vAlign w:val="bottom"/>
            <w:tcBorders>
              <w:bottom w:val="single" w:sz="8" w:color="D9D9D9"/>
            </w:tcBorders>
          </w:tcPr>
          <w:p>
            <w:pPr>
              <w:spacing w:after="0"/>
              <w:rPr>
                <w:sz w:val="15"/>
                <w:szCs w:val="15"/>
                <w:color w:val="auto"/>
              </w:rPr>
            </w:pPr>
          </w:p>
        </w:tc>
        <w:tc>
          <w:tcPr>
            <w:tcW w:w="1200" w:type="dxa"/>
            <w:vAlign w:val="bottom"/>
            <w:tcBorders>
              <w:bottom w:val="single" w:sz="8" w:color="D9D9D9"/>
            </w:tcBorders>
          </w:tcPr>
          <w:p>
            <w:pPr>
              <w:spacing w:after="0"/>
              <w:rPr>
                <w:sz w:val="15"/>
                <w:szCs w:val="15"/>
                <w:color w:val="auto"/>
              </w:rPr>
            </w:pPr>
          </w:p>
        </w:tc>
        <w:tc>
          <w:tcPr>
            <w:tcW w:w="280" w:type="dxa"/>
            <w:vAlign w:val="bottom"/>
            <w:tcBorders>
              <w:bottom w:val="single" w:sz="8" w:color="D9D9D9"/>
            </w:tcBorders>
          </w:tcPr>
          <w:p>
            <w:pPr>
              <w:spacing w:after="0"/>
              <w:rPr>
                <w:sz w:val="15"/>
                <w:szCs w:val="15"/>
                <w:color w:val="auto"/>
              </w:rPr>
            </w:pPr>
          </w:p>
        </w:tc>
        <w:tc>
          <w:tcPr>
            <w:tcW w:w="880" w:type="dxa"/>
            <w:vAlign w:val="bottom"/>
            <w:tcBorders>
              <w:bottom w:val="single" w:sz="8" w:color="D9D9D9"/>
            </w:tcBorders>
          </w:tcPr>
          <w:p>
            <w:pPr>
              <w:spacing w:after="0"/>
              <w:rPr>
                <w:sz w:val="15"/>
                <w:szCs w:val="15"/>
                <w:color w:val="auto"/>
              </w:rPr>
            </w:pPr>
          </w:p>
        </w:tc>
        <w:tc>
          <w:tcPr>
            <w:tcW w:w="1240" w:type="dxa"/>
            <w:vAlign w:val="bottom"/>
            <w:tcBorders>
              <w:bottom w:val="single" w:sz="8" w:color="D9D9D9"/>
            </w:tcBorders>
          </w:tcPr>
          <w:p>
            <w:pPr>
              <w:spacing w:after="0"/>
              <w:rPr>
                <w:sz w:val="15"/>
                <w:szCs w:val="15"/>
                <w:color w:val="auto"/>
              </w:rPr>
            </w:pPr>
          </w:p>
        </w:tc>
        <w:tc>
          <w:tcPr>
            <w:tcW w:w="280" w:type="dxa"/>
            <w:vAlign w:val="bottom"/>
            <w:tcBorders>
              <w:bottom w:val="single" w:sz="8" w:color="D9D9D9"/>
            </w:tcBorders>
          </w:tcPr>
          <w:p>
            <w:pPr>
              <w:spacing w:after="0"/>
              <w:rPr>
                <w:sz w:val="15"/>
                <w:szCs w:val="15"/>
                <w:color w:val="auto"/>
              </w:rPr>
            </w:pPr>
          </w:p>
        </w:tc>
        <w:tc>
          <w:tcPr>
            <w:tcW w:w="880" w:type="dxa"/>
            <w:vAlign w:val="bottom"/>
            <w:tcBorders>
              <w:bottom w:val="single" w:sz="8" w:color="D9D9D9"/>
            </w:tcBorders>
          </w:tcPr>
          <w:p>
            <w:pPr>
              <w:spacing w:after="0"/>
              <w:rPr>
                <w:sz w:val="15"/>
                <w:szCs w:val="15"/>
                <w:color w:val="auto"/>
              </w:rPr>
            </w:pPr>
          </w:p>
        </w:tc>
        <w:tc>
          <w:tcPr>
            <w:tcW w:w="1260" w:type="dxa"/>
            <w:vAlign w:val="bottom"/>
            <w:tcBorders>
              <w:bottom w:val="single" w:sz="8" w:color="D9D9D9"/>
            </w:tcBorders>
          </w:tcPr>
          <w:p>
            <w:pPr>
              <w:spacing w:after="0"/>
              <w:rPr>
                <w:sz w:val="15"/>
                <w:szCs w:val="15"/>
                <w:color w:val="auto"/>
              </w:rPr>
            </w:pPr>
          </w:p>
        </w:tc>
        <w:tc>
          <w:tcPr>
            <w:tcW w:w="280" w:type="dxa"/>
            <w:vAlign w:val="bottom"/>
            <w:tcBorders>
              <w:bottom w:val="single" w:sz="8" w:color="D9D9D9"/>
            </w:tcBorders>
          </w:tcPr>
          <w:p>
            <w:pPr>
              <w:spacing w:after="0"/>
              <w:rPr>
                <w:sz w:val="15"/>
                <w:szCs w:val="15"/>
                <w:color w:val="auto"/>
              </w:rPr>
            </w:pPr>
          </w:p>
        </w:tc>
        <w:tc>
          <w:tcPr>
            <w:tcW w:w="900" w:type="dxa"/>
            <w:vAlign w:val="bottom"/>
            <w:tcBorders>
              <w:bottom w:val="single" w:sz="8" w:color="D9D9D9"/>
            </w:tcBorders>
          </w:tcPr>
          <w:p>
            <w:pPr>
              <w:spacing w:after="0"/>
              <w:rPr>
                <w:sz w:val="15"/>
                <w:szCs w:val="15"/>
                <w:color w:val="auto"/>
              </w:rPr>
            </w:pPr>
          </w:p>
        </w:tc>
        <w:tc>
          <w:tcPr>
            <w:tcW w:w="1340" w:type="dxa"/>
            <w:vAlign w:val="bottom"/>
            <w:tcBorders>
              <w:bottom w:val="single" w:sz="8" w:color="D9D9D9"/>
            </w:tcBorders>
          </w:tcPr>
          <w:p>
            <w:pPr>
              <w:spacing w:after="0"/>
              <w:rPr>
                <w:sz w:val="15"/>
                <w:szCs w:val="15"/>
                <w:color w:val="auto"/>
              </w:rPr>
            </w:pPr>
          </w:p>
        </w:tc>
      </w:tr>
      <w:tr>
        <w:trPr>
          <w:trHeight w:val="135"/>
        </w:trPr>
        <w:tc>
          <w:tcPr>
            <w:tcW w:w="1920" w:type="dxa"/>
            <w:vAlign w:val="bottom"/>
          </w:tcPr>
          <w:p>
            <w:pPr>
              <w:ind w:left="20"/>
              <w:spacing w:after="0" w:line="136" w:lineRule="exact"/>
              <w:rPr>
                <w:sz w:val="20"/>
                <w:szCs w:val="20"/>
                <w:color w:val="auto"/>
              </w:rPr>
            </w:pPr>
            <w:r>
              <w:rPr>
                <w:rFonts w:ascii="Arial" w:cs="Arial" w:eastAsia="Arial" w:hAnsi="Arial"/>
                <w:sz w:val="13"/>
                <w:szCs w:val="13"/>
                <w:color w:val="auto"/>
              </w:rPr>
              <w:t>Change in fair value from end</w:t>
            </w:r>
          </w:p>
        </w:tc>
        <w:tc>
          <w:tcPr>
            <w:tcW w:w="780" w:type="dxa"/>
            <w:vAlign w:val="bottom"/>
          </w:tcPr>
          <w:p>
            <w:pPr>
              <w:jc w:val="right"/>
              <w:ind w:right="33"/>
              <w:spacing w:after="0" w:line="136" w:lineRule="exact"/>
              <w:rPr>
                <w:sz w:val="20"/>
                <w:szCs w:val="20"/>
                <w:color w:val="auto"/>
              </w:rPr>
            </w:pPr>
            <w:r>
              <w:rPr>
                <w:rFonts w:ascii="Arial" w:cs="Arial" w:eastAsia="Arial" w:hAnsi="Arial"/>
                <w:sz w:val="13"/>
                <w:szCs w:val="13"/>
                <w:color w:val="auto"/>
              </w:rPr>
              <w:t>201,187</w:t>
            </w:r>
          </w:p>
        </w:tc>
        <w:tc>
          <w:tcPr>
            <w:tcW w:w="1200" w:type="dxa"/>
            <w:vAlign w:val="bottom"/>
          </w:tcPr>
          <w:p>
            <w:pPr>
              <w:jc w:val="right"/>
              <w:ind w:right="254"/>
              <w:spacing w:after="0" w:line="136" w:lineRule="exact"/>
              <w:rPr>
                <w:sz w:val="20"/>
                <w:szCs w:val="20"/>
                <w:color w:val="auto"/>
              </w:rPr>
            </w:pPr>
            <w:r>
              <w:rPr>
                <w:rFonts w:ascii="Arial" w:cs="Arial" w:eastAsia="Arial" w:hAnsi="Arial"/>
                <w:sz w:val="13"/>
                <w:szCs w:val="13"/>
                <w:color w:val="auto"/>
              </w:rPr>
              <w:t>83,552</w:t>
            </w:r>
          </w:p>
        </w:tc>
        <w:tc>
          <w:tcPr>
            <w:tcW w:w="280" w:type="dxa"/>
            <w:vAlign w:val="bottom"/>
          </w:tcPr>
          <w:p>
            <w:pPr>
              <w:spacing w:after="0"/>
              <w:rPr>
                <w:sz w:val="11"/>
                <w:szCs w:val="11"/>
                <w:color w:val="auto"/>
              </w:rPr>
            </w:pPr>
          </w:p>
        </w:tc>
        <w:tc>
          <w:tcPr>
            <w:tcW w:w="880" w:type="dxa"/>
            <w:vAlign w:val="bottom"/>
          </w:tcPr>
          <w:p>
            <w:pPr>
              <w:jc w:val="right"/>
              <w:ind w:right="13"/>
              <w:spacing w:after="0" w:line="136" w:lineRule="exact"/>
              <w:rPr>
                <w:sz w:val="20"/>
                <w:szCs w:val="20"/>
                <w:color w:val="auto"/>
              </w:rPr>
            </w:pPr>
            <w:r>
              <w:rPr>
                <w:rFonts w:ascii="Arial" w:cs="Arial" w:eastAsia="Arial" w:hAnsi="Arial"/>
                <w:sz w:val="13"/>
                <w:szCs w:val="13"/>
                <w:color w:val="auto"/>
              </w:rPr>
              <w:t>527,560</w:t>
            </w:r>
          </w:p>
        </w:tc>
        <w:tc>
          <w:tcPr>
            <w:tcW w:w="1240" w:type="dxa"/>
            <w:vAlign w:val="bottom"/>
          </w:tcPr>
          <w:p>
            <w:pPr>
              <w:jc w:val="right"/>
              <w:ind w:right="254"/>
              <w:spacing w:after="0" w:line="136" w:lineRule="exact"/>
              <w:rPr>
                <w:sz w:val="20"/>
                <w:szCs w:val="20"/>
                <w:color w:val="auto"/>
              </w:rPr>
            </w:pPr>
            <w:r>
              <w:rPr>
                <w:rFonts w:ascii="Arial" w:cs="Arial" w:eastAsia="Arial" w:hAnsi="Arial"/>
                <w:sz w:val="13"/>
                <w:szCs w:val="13"/>
                <w:color w:val="auto"/>
              </w:rPr>
              <w:t>241,633</w:t>
            </w:r>
          </w:p>
        </w:tc>
        <w:tc>
          <w:tcPr>
            <w:tcW w:w="280" w:type="dxa"/>
            <w:vAlign w:val="bottom"/>
          </w:tcPr>
          <w:p>
            <w:pPr>
              <w:spacing w:after="0"/>
              <w:rPr>
                <w:sz w:val="11"/>
                <w:szCs w:val="11"/>
                <w:color w:val="auto"/>
              </w:rPr>
            </w:pPr>
          </w:p>
        </w:tc>
        <w:tc>
          <w:tcPr>
            <w:tcW w:w="880" w:type="dxa"/>
            <w:vAlign w:val="bottom"/>
          </w:tcPr>
          <w:p>
            <w:pPr>
              <w:jc w:val="right"/>
              <w:ind w:right="13"/>
              <w:spacing w:after="0" w:line="136" w:lineRule="exact"/>
              <w:rPr>
                <w:sz w:val="20"/>
                <w:szCs w:val="20"/>
                <w:color w:val="auto"/>
              </w:rPr>
            </w:pPr>
            <w:r>
              <w:rPr>
                <w:rFonts w:ascii="Arial" w:cs="Arial" w:eastAsia="Arial" w:hAnsi="Arial"/>
                <w:sz w:val="13"/>
                <w:szCs w:val="13"/>
                <w:color w:val="auto"/>
              </w:rPr>
              <w:t>165,523</w:t>
            </w:r>
          </w:p>
        </w:tc>
        <w:tc>
          <w:tcPr>
            <w:tcW w:w="1260" w:type="dxa"/>
            <w:vAlign w:val="bottom"/>
          </w:tcPr>
          <w:p>
            <w:pPr>
              <w:jc w:val="right"/>
              <w:ind w:right="254"/>
              <w:spacing w:after="0" w:line="136" w:lineRule="exact"/>
              <w:rPr>
                <w:sz w:val="20"/>
                <w:szCs w:val="20"/>
                <w:color w:val="auto"/>
              </w:rPr>
            </w:pPr>
            <w:r>
              <w:rPr>
                <w:rFonts w:ascii="Arial" w:cs="Arial" w:eastAsia="Arial" w:hAnsi="Arial"/>
                <w:sz w:val="13"/>
                <w:szCs w:val="13"/>
                <w:color w:val="auto"/>
              </w:rPr>
              <w:t>188,682</w:t>
            </w:r>
          </w:p>
        </w:tc>
        <w:tc>
          <w:tcPr>
            <w:tcW w:w="280" w:type="dxa"/>
            <w:vAlign w:val="bottom"/>
          </w:tcPr>
          <w:p>
            <w:pPr>
              <w:spacing w:after="0"/>
              <w:rPr>
                <w:sz w:val="11"/>
                <w:szCs w:val="11"/>
                <w:color w:val="auto"/>
              </w:rPr>
            </w:pPr>
          </w:p>
        </w:tc>
        <w:tc>
          <w:tcPr>
            <w:tcW w:w="900" w:type="dxa"/>
            <w:vAlign w:val="bottom"/>
          </w:tcPr>
          <w:p>
            <w:pPr>
              <w:jc w:val="right"/>
              <w:spacing w:after="0" w:line="136" w:lineRule="exact"/>
              <w:rPr>
                <w:sz w:val="20"/>
                <w:szCs w:val="20"/>
                <w:color w:val="auto"/>
              </w:rPr>
            </w:pPr>
            <w:r>
              <w:rPr>
                <w:rFonts w:ascii="Arial" w:cs="Arial" w:eastAsia="Arial" w:hAnsi="Arial"/>
                <w:sz w:val="13"/>
                <w:szCs w:val="13"/>
                <w:color w:val="auto"/>
              </w:rPr>
              <w:t>(242,063)</w:t>
            </w:r>
          </w:p>
        </w:tc>
        <w:tc>
          <w:tcPr>
            <w:tcW w:w="1340" w:type="dxa"/>
            <w:vAlign w:val="bottom"/>
          </w:tcPr>
          <w:p>
            <w:pPr>
              <w:jc w:val="right"/>
              <w:ind w:right="374"/>
              <w:spacing w:after="0" w:line="136" w:lineRule="exact"/>
              <w:rPr>
                <w:sz w:val="20"/>
                <w:szCs w:val="20"/>
                <w:color w:val="auto"/>
              </w:rPr>
            </w:pPr>
            <w:r>
              <w:rPr>
                <w:rFonts w:ascii="Arial" w:cs="Arial" w:eastAsia="Arial" w:hAnsi="Arial"/>
                <w:sz w:val="13"/>
                <w:szCs w:val="13"/>
                <w:color w:val="auto"/>
              </w:rPr>
              <w:t>296,817</w:t>
            </w:r>
          </w:p>
        </w:tc>
      </w:tr>
      <w:tr>
        <w:trPr>
          <w:trHeight w:val="135"/>
        </w:trPr>
        <w:tc>
          <w:tcPr>
            <w:tcW w:w="1920" w:type="dxa"/>
            <w:vAlign w:val="bottom"/>
          </w:tcPr>
          <w:p>
            <w:pPr>
              <w:ind w:left="20"/>
              <w:spacing w:after="0" w:line="135" w:lineRule="exact"/>
              <w:rPr>
                <w:sz w:val="20"/>
                <w:szCs w:val="20"/>
                <w:color w:val="auto"/>
              </w:rPr>
            </w:pPr>
            <w:r>
              <w:rPr>
                <w:rFonts w:ascii="Arial" w:cs="Arial" w:eastAsia="Arial" w:hAnsi="Arial"/>
                <w:sz w:val="13"/>
                <w:szCs w:val="13"/>
                <w:color w:val="auto"/>
              </w:rPr>
              <w:t>of prior fiscal year to vesting</w:t>
            </w: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35"/>
        </w:trPr>
        <w:tc>
          <w:tcPr>
            <w:tcW w:w="1920" w:type="dxa"/>
            <w:vAlign w:val="bottom"/>
          </w:tcPr>
          <w:p>
            <w:pPr>
              <w:ind w:left="20"/>
              <w:spacing w:after="0" w:line="135" w:lineRule="exact"/>
              <w:rPr>
                <w:sz w:val="20"/>
                <w:szCs w:val="20"/>
                <w:color w:val="auto"/>
              </w:rPr>
            </w:pPr>
            <w:r>
              <w:rPr>
                <w:rFonts w:ascii="Arial" w:cs="Arial" w:eastAsia="Arial" w:hAnsi="Arial"/>
                <w:sz w:val="13"/>
                <w:szCs w:val="13"/>
                <w:color w:val="auto"/>
              </w:rPr>
              <w:t>date for awards made in prior</w:t>
            </w: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35"/>
        </w:trPr>
        <w:tc>
          <w:tcPr>
            <w:tcW w:w="1920" w:type="dxa"/>
            <w:vAlign w:val="bottom"/>
          </w:tcPr>
          <w:p>
            <w:pPr>
              <w:ind w:left="20"/>
              <w:spacing w:after="0" w:line="135" w:lineRule="exact"/>
              <w:rPr>
                <w:sz w:val="20"/>
                <w:szCs w:val="20"/>
                <w:color w:val="auto"/>
              </w:rPr>
            </w:pPr>
            <w:r>
              <w:rPr>
                <w:rFonts w:ascii="Arial" w:cs="Arial" w:eastAsia="Arial" w:hAnsi="Arial"/>
                <w:sz w:val="13"/>
                <w:szCs w:val="13"/>
                <w:color w:val="auto"/>
              </w:rPr>
              <w:t>fiscal years that vested during</w:t>
            </w: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82"/>
        </w:trPr>
        <w:tc>
          <w:tcPr>
            <w:tcW w:w="1920" w:type="dxa"/>
            <w:vAlign w:val="bottom"/>
            <w:tcBorders>
              <w:bottom w:val="single" w:sz="8" w:color="D9D9D9"/>
            </w:tcBorders>
          </w:tcPr>
          <w:p>
            <w:pPr>
              <w:ind w:left="20"/>
              <w:spacing w:after="0"/>
              <w:rPr>
                <w:sz w:val="20"/>
                <w:szCs w:val="20"/>
                <w:color w:val="auto"/>
              </w:rPr>
            </w:pPr>
            <w:r>
              <w:rPr>
                <w:rFonts w:ascii="Arial" w:cs="Arial" w:eastAsia="Arial" w:hAnsi="Arial"/>
                <w:sz w:val="13"/>
                <w:szCs w:val="13"/>
                <w:color w:val="auto"/>
              </w:rPr>
              <w:t>current fiscal year</w:t>
            </w:r>
          </w:p>
        </w:tc>
        <w:tc>
          <w:tcPr>
            <w:tcW w:w="780" w:type="dxa"/>
            <w:vAlign w:val="bottom"/>
            <w:tcBorders>
              <w:bottom w:val="single" w:sz="8" w:color="D9D9D9"/>
            </w:tcBorders>
          </w:tcPr>
          <w:p>
            <w:pPr>
              <w:spacing w:after="0"/>
              <w:rPr>
                <w:sz w:val="15"/>
                <w:szCs w:val="15"/>
                <w:color w:val="auto"/>
              </w:rPr>
            </w:pPr>
          </w:p>
        </w:tc>
        <w:tc>
          <w:tcPr>
            <w:tcW w:w="1200" w:type="dxa"/>
            <w:vAlign w:val="bottom"/>
            <w:tcBorders>
              <w:bottom w:val="single" w:sz="8" w:color="D9D9D9"/>
            </w:tcBorders>
          </w:tcPr>
          <w:p>
            <w:pPr>
              <w:spacing w:after="0"/>
              <w:rPr>
                <w:sz w:val="15"/>
                <w:szCs w:val="15"/>
                <w:color w:val="auto"/>
              </w:rPr>
            </w:pPr>
          </w:p>
        </w:tc>
        <w:tc>
          <w:tcPr>
            <w:tcW w:w="280" w:type="dxa"/>
            <w:vAlign w:val="bottom"/>
            <w:tcBorders>
              <w:bottom w:val="single" w:sz="8" w:color="D9D9D9"/>
            </w:tcBorders>
          </w:tcPr>
          <w:p>
            <w:pPr>
              <w:spacing w:after="0"/>
              <w:rPr>
                <w:sz w:val="15"/>
                <w:szCs w:val="15"/>
                <w:color w:val="auto"/>
              </w:rPr>
            </w:pPr>
          </w:p>
        </w:tc>
        <w:tc>
          <w:tcPr>
            <w:tcW w:w="880" w:type="dxa"/>
            <w:vAlign w:val="bottom"/>
            <w:tcBorders>
              <w:bottom w:val="single" w:sz="8" w:color="D9D9D9"/>
            </w:tcBorders>
          </w:tcPr>
          <w:p>
            <w:pPr>
              <w:spacing w:after="0"/>
              <w:rPr>
                <w:sz w:val="15"/>
                <w:szCs w:val="15"/>
                <w:color w:val="auto"/>
              </w:rPr>
            </w:pPr>
          </w:p>
        </w:tc>
        <w:tc>
          <w:tcPr>
            <w:tcW w:w="1240" w:type="dxa"/>
            <w:vAlign w:val="bottom"/>
            <w:tcBorders>
              <w:bottom w:val="single" w:sz="8" w:color="D9D9D9"/>
            </w:tcBorders>
          </w:tcPr>
          <w:p>
            <w:pPr>
              <w:spacing w:after="0"/>
              <w:rPr>
                <w:sz w:val="15"/>
                <w:szCs w:val="15"/>
                <w:color w:val="auto"/>
              </w:rPr>
            </w:pPr>
          </w:p>
        </w:tc>
        <w:tc>
          <w:tcPr>
            <w:tcW w:w="280" w:type="dxa"/>
            <w:vAlign w:val="bottom"/>
            <w:tcBorders>
              <w:bottom w:val="single" w:sz="8" w:color="D9D9D9"/>
            </w:tcBorders>
          </w:tcPr>
          <w:p>
            <w:pPr>
              <w:spacing w:after="0"/>
              <w:rPr>
                <w:sz w:val="15"/>
                <w:szCs w:val="15"/>
                <w:color w:val="auto"/>
              </w:rPr>
            </w:pPr>
          </w:p>
        </w:tc>
        <w:tc>
          <w:tcPr>
            <w:tcW w:w="880" w:type="dxa"/>
            <w:vAlign w:val="bottom"/>
            <w:tcBorders>
              <w:bottom w:val="single" w:sz="8" w:color="D9D9D9"/>
            </w:tcBorders>
          </w:tcPr>
          <w:p>
            <w:pPr>
              <w:spacing w:after="0"/>
              <w:rPr>
                <w:sz w:val="15"/>
                <w:szCs w:val="15"/>
                <w:color w:val="auto"/>
              </w:rPr>
            </w:pPr>
          </w:p>
        </w:tc>
        <w:tc>
          <w:tcPr>
            <w:tcW w:w="1260" w:type="dxa"/>
            <w:vAlign w:val="bottom"/>
            <w:tcBorders>
              <w:bottom w:val="single" w:sz="8" w:color="D9D9D9"/>
            </w:tcBorders>
          </w:tcPr>
          <w:p>
            <w:pPr>
              <w:spacing w:after="0"/>
              <w:rPr>
                <w:sz w:val="15"/>
                <w:szCs w:val="15"/>
                <w:color w:val="auto"/>
              </w:rPr>
            </w:pPr>
          </w:p>
        </w:tc>
        <w:tc>
          <w:tcPr>
            <w:tcW w:w="280" w:type="dxa"/>
            <w:vAlign w:val="bottom"/>
            <w:tcBorders>
              <w:bottom w:val="single" w:sz="8" w:color="D9D9D9"/>
            </w:tcBorders>
          </w:tcPr>
          <w:p>
            <w:pPr>
              <w:spacing w:after="0"/>
              <w:rPr>
                <w:sz w:val="15"/>
                <w:szCs w:val="15"/>
                <w:color w:val="auto"/>
              </w:rPr>
            </w:pPr>
          </w:p>
        </w:tc>
        <w:tc>
          <w:tcPr>
            <w:tcW w:w="900" w:type="dxa"/>
            <w:vAlign w:val="bottom"/>
            <w:tcBorders>
              <w:bottom w:val="single" w:sz="8" w:color="D9D9D9"/>
            </w:tcBorders>
          </w:tcPr>
          <w:p>
            <w:pPr>
              <w:spacing w:after="0"/>
              <w:rPr>
                <w:sz w:val="15"/>
                <w:szCs w:val="15"/>
                <w:color w:val="auto"/>
              </w:rPr>
            </w:pPr>
          </w:p>
        </w:tc>
        <w:tc>
          <w:tcPr>
            <w:tcW w:w="1340" w:type="dxa"/>
            <w:vAlign w:val="bottom"/>
            <w:tcBorders>
              <w:bottom w:val="single" w:sz="8" w:color="D9D9D9"/>
            </w:tcBorders>
          </w:tcPr>
          <w:p>
            <w:pPr>
              <w:spacing w:after="0"/>
              <w:rPr>
                <w:sz w:val="15"/>
                <w:szCs w:val="15"/>
                <w:color w:val="auto"/>
              </w:rPr>
            </w:pPr>
          </w:p>
        </w:tc>
      </w:tr>
      <w:tr>
        <w:trPr>
          <w:trHeight w:val="135"/>
        </w:trPr>
        <w:tc>
          <w:tcPr>
            <w:tcW w:w="1920" w:type="dxa"/>
            <w:vAlign w:val="bottom"/>
          </w:tcPr>
          <w:p>
            <w:pPr>
              <w:ind w:left="20"/>
              <w:spacing w:after="0" w:line="136" w:lineRule="exact"/>
              <w:rPr>
                <w:sz w:val="20"/>
                <w:szCs w:val="20"/>
                <w:color w:val="auto"/>
              </w:rPr>
            </w:pPr>
            <w:r>
              <w:rPr>
                <w:rFonts w:ascii="Arial" w:cs="Arial" w:eastAsia="Arial" w:hAnsi="Arial"/>
                <w:sz w:val="13"/>
                <w:szCs w:val="13"/>
                <w:color w:val="auto"/>
              </w:rPr>
              <w:t>Fair value as of prior fiscal</w:t>
            </w:r>
          </w:p>
        </w:tc>
        <w:tc>
          <w:tcPr>
            <w:tcW w:w="780" w:type="dxa"/>
            <w:vAlign w:val="bottom"/>
          </w:tcPr>
          <w:p>
            <w:pPr>
              <w:jc w:val="right"/>
              <w:ind w:right="33"/>
              <w:spacing w:after="0" w:line="136" w:lineRule="exact"/>
              <w:rPr>
                <w:sz w:val="20"/>
                <w:szCs w:val="20"/>
                <w:color w:val="auto"/>
              </w:rPr>
            </w:pPr>
            <w:r>
              <w:rPr>
                <w:rFonts w:ascii="Arial" w:cs="Arial" w:eastAsia="Arial" w:hAnsi="Arial"/>
                <w:sz w:val="13"/>
                <w:szCs w:val="13"/>
                <w:color w:val="auto"/>
              </w:rPr>
              <w:t>-</w:t>
            </w:r>
          </w:p>
        </w:tc>
        <w:tc>
          <w:tcPr>
            <w:tcW w:w="1200" w:type="dxa"/>
            <w:vAlign w:val="bottom"/>
          </w:tcPr>
          <w:p>
            <w:pPr>
              <w:jc w:val="right"/>
              <w:ind w:right="254"/>
              <w:spacing w:after="0" w:line="136"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880" w:type="dxa"/>
            <w:vAlign w:val="bottom"/>
          </w:tcPr>
          <w:p>
            <w:pPr>
              <w:jc w:val="right"/>
              <w:ind w:right="13"/>
              <w:spacing w:after="0" w:line="136" w:lineRule="exact"/>
              <w:rPr>
                <w:sz w:val="20"/>
                <w:szCs w:val="20"/>
                <w:color w:val="auto"/>
              </w:rPr>
            </w:pPr>
            <w:r>
              <w:rPr>
                <w:rFonts w:ascii="Arial" w:cs="Arial" w:eastAsia="Arial" w:hAnsi="Arial"/>
                <w:sz w:val="13"/>
                <w:szCs w:val="13"/>
                <w:color w:val="auto"/>
              </w:rPr>
              <w:t>-</w:t>
            </w:r>
          </w:p>
        </w:tc>
        <w:tc>
          <w:tcPr>
            <w:tcW w:w="1240" w:type="dxa"/>
            <w:vAlign w:val="bottom"/>
          </w:tcPr>
          <w:p>
            <w:pPr>
              <w:jc w:val="right"/>
              <w:ind w:right="254"/>
              <w:spacing w:after="0" w:line="136"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880" w:type="dxa"/>
            <w:vAlign w:val="bottom"/>
          </w:tcPr>
          <w:p>
            <w:pPr>
              <w:jc w:val="right"/>
              <w:ind w:right="13"/>
              <w:spacing w:after="0" w:line="136" w:lineRule="exact"/>
              <w:rPr>
                <w:sz w:val="20"/>
                <w:szCs w:val="20"/>
                <w:color w:val="auto"/>
              </w:rPr>
            </w:pPr>
            <w:r>
              <w:rPr>
                <w:rFonts w:ascii="Arial" w:cs="Arial" w:eastAsia="Arial" w:hAnsi="Arial"/>
                <w:sz w:val="13"/>
                <w:szCs w:val="13"/>
                <w:color w:val="auto"/>
              </w:rPr>
              <w:t>-</w:t>
            </w:r>
          </w:p>
        </w:tc>
        <w:tc>
          <w:tcPr>
            <w:tcW w:w="1260" w:type="dxa"/>
            <w:vAlign w:val="bottom"/>
          </w:tcPr>
          <w:p>
            <w:pPr>
              <w:jc w:val="right"/>
              <w:ind w:right="254"/>
              <w:spacing w:after="0" w:line="136"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900" w:type="dxa"/>
            <w:vAlign w:val="bottom"/>
          </w:tcPr>
          <w:p>
            <w:pPr>
              <w:jc w:val="right"/>
              <w:ind w:right="33"/>
              <w:spacing w:after="0" w:line="136" w:lineRule="exact"/>
              <w:rPr>
                <w:sz w:val="20"/>
                <w:szCs w:val="20"/>
                <w:color w:val="auto"/>
              </w:rPr>
            </w:pPr>
            <w:r>
              <w:rPr>
                <w:rFonts w:ascii="Arial" w:cs="Arial" w:eastAsia="Arial" w:hAnsi="Arial"/>
                <w:sz w:val="13"/>
                <w:szCs w:val="13"/>
                <w:color w:val="auto"/>
              </w:rPr>
              <w:t>-</w:t>
            </w:r>
          </w:p>
        </w:tc>
        <w:tc>
          <w:tcPr>
            <w:tcW w:w="1340" w:type="dxa"/>
            <w:vAlign w:val="bottom"/>
          </w:tcPr>
          <w:p>
            <w:pPr>
              <w:ind w:left="360"/>
              <w:spacing w:after="0" w:line="136" w:lineRule="exact"/>
              <w:rPr>
                <w:sz w:val="20"/>
                <w:szCs w:val="20"/>
                <w:color w:val="auto"/>
              </w:rPr>
            </w:pPr>
            <w:r>
              <w:rPr>
                <w:rFonts w:ascii="Arial" w:cs="Arial" w:eastAsia="Arial" w:hAnsi="Arial"/>
                <w:sz w:val="13"/>
                <w:szCs w:val="13"/>
                <w:color w:val="auto"/>
              </w:rPr>
              <w:t>(214,613)</w:t>
            </w:r>
          </w:p>
        </w:tc>
      </w:tr>
      <w:tr>
        <w:trPr>
          <w:trHeight w:val="135"/>
        </w:trPr>
        <w:tc>
          <w:tcPr>
            <w:tcW w:w="1920" w:type="dxa"/>
            <w:vAlign w:val="bottom"/>
          </w:tcPr>
          <w:p>
            <w:pPr>
              <w:ind w:left="20"/>
              <w:spacing w:after="0" w:line="135" w:lineRule="exact"/>
              <w:rPr>
                <w:sz w:val="20"/>
                <w:szCs w:val="20"/>
                <w:color w:val="auto"/>
              </w:rPr>
            </w:pPr>
            <w:r>
              <w:rPr>
                <w:rFonts w:ascii="Arial" w:cs="Arial" w:eastAsia="Arial" w:hAnsi="Arial"/>
                <w:sz w:val="13"/>
                <w:szCs w:val="13"/>
                <w:color w:val="auto"/>
              </w:rPr>
              <w:t>year-end of awards granted in</w:t>
            </w: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35"/>
        </w:trPr>
        <w:tc>
          <w:tcPr>
            <w:tcW w:w="1920" w:type="dxa"/>
            <w:vAlign w:val="bottom"/>
          </w:tcPr>
          <w:p>
            <w:pPr>
              <w:ind w:left="20"/>
              <w:spacing w:after="0" w:line="135" w:lineRule="exact"/>
              <w:rPr>
                <w:sz w:val="20"/>
                <w:szCs w:val="20"/>
                <w:color w:val="auto"/>
              </w:rPr>
            </w:pPr>
            <w:r>
              <w:rPr>
                <w:rFonts w:ascii="Arial" w:cs="Arial" w:eastAsia="Arial" w:hAnsi="Arial"/>
                <w:sz w:val="13"/>
                <w:szCs w:val="13"/>
                <w:color w:val="auto"/>
              </w:rPr>
              <w:t>prior fiscal years that failed to</w:t>
            </w: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35"/>
        </w:trPr>
        <w:tc>
          <w:tcPr>
            <w:tcW w:w="1920" w:type="dxa"/>
            <w:vAlign w:val="bottom"/>
          </w:tcPr>
          <w:p>
            <w:pPr>
              <w:ind w:left="20"/>
              <w:spacing w:after="0" w:line="135" w:lineRule="exact"/>
              <w:rPr>
                <w:sz w:val="20"/>
                <w:szCs w:val="20"/>
                <w:color w:val="auto"/>
              </w:rPr>
            </w:pPr>
            <w:r>
              <w:rPr>
                <w:rFonts w:ascii="Arial" w:cs="Arial" w:eastAsia="Arial" w:hAnsi="Arial"/>
                <w:sz w:val="13"/>
                <w:szCs w:val="13"/>
                <w:color w:val="auto"/>
              </w:rPr>
              <w:t>meet applicable vesting</w:t>
            </w: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82"/>
        </w:trPr>
        <w:tc>
          <w:tcPr>
            <w:tcW w:w="1920" w:type="dxa"/>
            <w:vAlign w:val="bottom"/>
            <w:tcBorders>
              <w:bottom w:val="single" w:sz="8" w:color="D9D9D9"/>
            </w:tcBorders>
          </w:tcPr>
          <w:p>
            <w:pPr>
              <w:ind w:left="20"/>
              <w:spacing w:after="0"/>
              <w:rPr>
                <w:sz w:val="20"/>
                <w:szCs w:val="20"/>
                <w:color w:val="auto"/>
              </w:rPr>
            </w:pPr>
            <w:r>
              <w:rPr>
                <w:rFonts w:ascii="Arial" w:cs="Arial" w:eastAsia="Arial" w:hAnsi="Arial"/>
                <w:sz w:val="13"/>
                <w:szCs w:val="13"/>
                <w:color w:val="auto"/>
              </w:rPr>
              <w:t>conditions during fiscal year</w:t>
            </w:r>
          </w:p>
        </w:tc>
        <w:tc>
          <w:tcPr>
            <w:tcW w:w="780" w:type="dxa"/>
            <w:vAlign w:val="bottom"/>
            <w:tcBorders>
              <w:bottom w:val="single" w:sz="8" w:color="D9D9D9"/>
            </w:tcBorders>
          </w:tcPr>
          <w:p>
            <w:pPr>
              <w:spacing w:after="0"/>
              <w:rPr>
                <w:sz w:val="15"/>
                <w:szCs w:val="15"/>
                <w:color w:val="auto"/>
              </w:rPr>
            </w:pPr>
          </w:p>
        </w:tc>
        <w:tc>
          <w:tcPr>
            <w:tcW w:w="1200" w:type="dxa"/>
            <w:vAlign w:val="bottom"/>
            <w:tcBorders>
              <w:bottom w:val="single" w:sz="8" w:color="D9D9D9"/>
            </w:tcBorders>
          </w:tcPr>
          <w:p>
            <w:pPr>
              <w:spacing w:after="0"/>
              <w:rPr>
                <w:sz w:val="15"/>
                <w:szCs w:val="15"/>
                <w:color w:val="auto"/>
              </w:rPr>
            </w:pPr>
          </w:p>
        </w:tc>
        <w:tc>
          <w:tcPr>
            <w:tcW w:w="280" w:type="dxa"/>
            <w:vAlign w:val="bottom"/>
            <w:tcBorders>
              <w:bottom w:val="single" w:sz="8" w:color="D9D9D9"/>
            </w:tcBorders>
          </w:tcPr>
          <w:p>
            <w:pPr>
              <w:spacing w:after="0"/>
              <w:rPr>
                <w:sz w:val="15"/>
                <w:szCs w:val="15"/>
                <w:color w:val="auto"/>
              </w:rPr>
            </w:pPr>
          </w:p>
        </w:tc>
        <w:tc>
          <w:tcPr>
            <w:tcW w:w="880" w:type="dxa"/>
            <w:vAlign w:val="bottom"/>
            <w:tcBorders>
              <w:bottom w:val="single" w:sz="8" w:color="D9D9D9"/>
            </w:tcBorders>
          </w:tcPr>
          <w:p>
            <w:pPr>
              <w:spacing w:after="0"/>
              <w:rPr>
                <w:sz w:val="15"/>
                <w:szCs w:val="15"/>
                <w:color w:val="auto"/>
              </w:rPr>
            </w:pPr>
          </w:p>
        </w:tc>
        <w:tc>
          <w:tcPr>
            <w:tcW w:w="1240" w:type="dxa"/>
            <w:vAlign w:val="bottom"/>
            <w:tcBorders>
              <w:bottom w:val="single" w:sz="8" w:color="D9D9D9"/>
            </w:tcBorders>
          </w:tcPr>
          <w:p>
            <w:pPr>
              <w:spacing w:after="0"/>
              <w:rPr>
                <w:sz w:val="15"/>
                <w:szCs w:val="15"/>
                <w:color w:val="auto"/>
              </w:rPr>
            </w:pPr>
          </w:p>
        </w:tc>
        <w:tc>
          <w:tcPr>
            <w:tcW w:w="280" w:type="dxa"/>
            <w:vAlign w:val="bottom"/>
            <w:tcBorders>
              <w:bottom w:val="single" w:sz="8" w:color="D9D9D9"/>
            </w:tcBorders>
          </w:tcPr>
          <w:p>
            <w:pPr>
              <w:spacing w:after="0"/>
              <w:rPr>
                <w:sz w:val="15"/>
                <w:szCs w:val="15"/>
                <w:color w:val="auto"/>
              </w:rPr>
            </w:pPr>
          </w:p>
        </w:tc>
        <w:tc>
          <w:tcPr>
            <w:tcW w:w="880" w:type="dxa"/>
            <w:vAlign w:val="bottom"/>
            <w:tcBorders>
              <w:bottom w:val="single" w:sz="8" w:color="D9D9D9"/>
            </w:tcBorders>
          </w:tcPr>
          <w:p>
            <w:pPr>
              <w:spacing w:after="0"/>
              <w:rPr>
                <w:sz w:val="15"/>
                <w:szCs w:val="15"/>
                <w:color w:val="auto"/>
              </w:rPr>
            </w:pPr>
          </w:p>
        </w:tc>
        <w:tc>
          <w:tcPr>
            <w:tcW w:w="1260" w:type="dxa"/>
            <w:vAlign w:val="bottom"/>
            <w:tcBorders>
              <w:bottom w:val="single" w:sz="8" w:color="D9D9D9"/>
            </w:tcBorders>
          </w:tcPr>
          <w:p>
            <w:pPr>
              <w:spacing w:after="0"/>
              <w:rPr>
                <w:sz w:val="15"/>
                <w:szCs w:val="15"/>
                <w:color w:val="auto"/>
              </w:rPr>
            </w:pPr>
          </w:p>
        </w:tc>
        <w:tc>
          <w:tcPr>
            <w:tcW w:w="280" w:type="dxa"/>
            <w:vAlign w:val="bottom"/>
            <w:tcBorders>
              <w:bottom w:val="single" w:sz="8" w:color="D9D9D9"/>
            </w:tcBorders>
          </w:tcPr>
          <w:p>
            <w:pPr>
              <w:spacing w:after="0"/>
              <w:rPr>
                <w:sz w:val="15"/>
                <w:szCs w:val="15"/>
                <w:color w:val="auto"/>
              </w:rPr>
            </w:pPr>
          </w:p>
        </w:tc>
        <w:tc>
          <w:tcPr>
            <w:tcW w:w="900" w:type="dxa"/>
            <w:vAlign w:val="bottom"/>
            <w:tcBorders>
              <w:bottom w:val="single" w:sz="8" w:color="D9D9D9"/>
            </w:tcBorders>
          </w:tcPr>
          <w:p>
            <w:pPr>
              <w:spacing w:after="0"/>
              <w:rPr>
                <w:sz w:val="15"/>
                <w:szCs w:val="15"/>
                <w:color w:val="auto"/>
              </w:rPr>
            </w:pPr>
          </w:p>
        </w:tc>
        <w:tc>
          <w:tcPr>
            <w:tcW w:w="1340" w:type="dxa"/>
            <w:vAlign w:val="bottom"/>
            <w:tcBorders>
              <w:bottom w:val="single" w:sz="8" w:color="D9D9D9"/>
            </w:tcBorders>
          </w:tcPr>
          <w:p>
            <w:pPr>
              <w:spacing w:after="0"/>
              <w:rPr>
                <w:sz w:val="15"/>
                <w:szCs w:val="15"/>
                <w:color w:val="auto"/>
              </w:rPr>
            </w:pPr>
          </w:p>
        </w:tc>
      </w:tr>
      <w:tr>
        <w:trPr>
          <w:trHeight w:val="183"/>
        </w:trPr>
        <w:tc>
          <w:tcPr>
            <w:tcW w:w="1920" w:type="dxa"/>
            <w:vAlign w:val="bottom"/>
            <w:tcBorders>
              <w:bottom w:val="single" w:sz="8" w:color="FF7F32"/>
            </w:tcBorders>
          </w:tcPr>
          <w:p>
            <w:pPr>
              <w:ind w:left="200"/>
              <w:spacing w:after="0"/>
              <w:rPr>
                <w:sz w:val="20"/>
                <w:szCs w:val="20"/>
                <w:color w:val="auto"/>
              </w:rPr>
            </w:pPr>
            <w:r>
              <w:rPr>
                <w:rFonts w:ascii="Arial" w:cs="Arial" w:eastAsia="Arial" w:hAnsi="Arial"/>
                <w:sz w:val="13"/>
                <w:szCs w:val="13"/>
                <w:color w:val="auto"/>
              </w:rPr>
              <w:t>Compensation Actually Paid</w:t>
            </w:r>
          </w:p>
        </w:tc>
        <w:tc>
          <w:tcPr>
            <w:tcW w:w="780" w:type="dxa"/>
            <w:vAlign w:val="bottom"/>
            <w:tcBorders>
              <w:bottom w:val="single" w:sz="8" w:color="FF7F32"/>
            </w:tcBorders>
          </w:tcPr>
          <w:p>
            <w:pPr>
              <w:jc w:val="right"/>
              <w:ind w:right="33"/>
              <w:spacing w:after="0"/>
              <w:rPr>
                <w:sz w:val="20"/>
                <w:szCs w:val="20"/>
                <w:color w:val="auto"/>
              </w:rPr>
            </w:pPr>
            <w:r>
              <w:rPr>
                <w:rFonts w:ascii="Arial" w:cs="Arial" w:eastAsia="Arial" w:hAnsi="Arial"/>
                <w:sz w:val="13"/>
                <w:szCs w:val="13"/>
                <w:color w:val="auto"/>
              </w:rPr>
              <w:t>1,725,357</w:t>
            </w:r>
          </w:p>
        </w:tc>
        <w:tc>
          <w:tcPr>
            <w:tcW w:w="1200" w:type="dxa"/>
            <w:vAlign w:val="bottom"/>
            <w:tcBorders>
              <w:bottom w:val="single" w:sz="8" w:color="FF7F32"/>
            </w:tcBorders>
          </w:tcPr>
          <w:p>
            <w:pPr>
              <w:jc w:val="right"/>
              <w:ind w:right="254"/>
              <w:spacing w:after="0"/>
              <w:rPr>
                <w:sz w:val="20"/>
                <w:szCs w:val="20"/>
                <w:color w:val="auto"/>
              </w:rPr>
            </w:pPr>
            <w:r>
              <w:rPr>
                <w:rFonts w:ascii="Arial" w:cs="Arial" w:eastAsia="Arial" w:hAnsi="Arial"/>
                <w:sz w:val="13"/>
                <w:szCs w:val="13"/>
                <w:color w:val="auto"/>
              </w:rPr>
              <w:t>1,480,839</w:t>
            </w:r>
          </w:p>
        </w:tc>
        <w:tc>
          <w:tcPr>
            <w:tcW w:w="280" w:type="dxa"/>
            <w:vAlign w:val="bottom"/>
            <w:tcBorders>
              <w:bottom w:val="single" w:sz="8" w:color="FF7F32"/>
            </w:tcBorders>
          </w:tcPr>
          <w:p>
            <w:pPr>
              <w:spacing w:after="0"/>
              <w:rPr>
                <w:sz w:val="15"/>
                <w:szCs w:val="15"/>
                <w:color w:val="auto"/>
              </w:rPr>
            </w:pPr>
          </w:p>
        </w:tc>
        <w:tc>
          <w:tcPr>
            <w:tcW w:w="880" w:type="dxa"/>
            <w:vAlign w:val="bottom"/>
            <w:tcBorders>
              <w:bottom w:val="single" w:sz="8" w:color="FF7F32"/>
            </w:tcBorders>
          </w:tcPr>
          <w:p>
            <w:pPr>
              <w:jc w:val="right"/>
              <w:ind w:right="13"/>
              <w:spacing w:after="0"/>
              <w:rPr>
                <w:sz w:val="20"/>
                <w:szCs w:val="20"/>
                <w:color w:val="auto"/>
              </w:rPr>
            </w:pPr>
            <w:r>
              <w:rPr>
                <w:rFonts w:ascii="Arial" w:cs="Arial" w:eastAsia="Arial" w:hAnsi="Arial"/>
                <w:sz w:val="13"/>
                <w:szCs w:val="13"/>
                <w:color w:val="auto"/>
              </w:rPr>
              <w:t>2,137,587</w:t>
            </w:r>
          </w:p>
        </w:tc>
        <w:tc>
          <w:tcPr>
            <w:tcW w:w="1240" w:type="dxa"/>
            <w:vAlign w:val="bottom"/>
            <w:tcBorders>
              <w:bottom w:val="single" w:sz="8" w:color="FF7F32"/>
            </w:tcBorders>
          </w:tcPr>
          <w:p>
            <w:pPr>
              <w:jc w:val="right"/>
              <w:ind w:right="254"/>
              <w:spacing w:after="0"/>
              <w:rPr>
                <w:sz w:val="20"/>
                <w:szCs w:val="20"/>
                <w:color w:val="auto"/>
              </w:rPr>
            </w:pPr>
            <w:r>
              <w:rPr>
                <w:rFonts w:ascii="Arial" w:cs="Arial" w:eastAsia="Arial" w:hAnsi="Arial"/>
                <w:sz w:val="13"/>
                <w:szCs w:val="13"/>
                <w:color w:val="auto"/>
              </w:rPr>
              <w:t>1,046,244</w:t>
            </w:r>
          </w:p>
        </w:tc>
        <w:tc>
          <w:tcPr>
            <w:tcW w:w="280" w:type="dxa"/>
            <w:vAlign w:val="bottom"/>
            <w:tcBorders>
              <w:bottom w:val="single" w:sz="8" w:color="FF7F32"/>
            </w:tcBorders>
          </w:tcPr>
          <w:p>
            <w:pPr>
              <w:spacing w:after="0"/>
              <w:rPr>
                <w:sz w:val="15"/>
                <w:szCs w:val="15"/>
                <w:color w:val="auto"/>
              </w:rPr>
            </w:pPr>
          </w:p>
        </w:tc>
        <w:tc>
          <w:tcPr>
            <w:tcW w:w="880" w:type="dxa"/>
            <w:vAlign w:val="bottom"/>
            <w:tcBorders>
              <w:bottom w:val="single" w:sz="8" w:color="FF7F32"/>
            </w:tcBorders>
          </w:tcPr>
          <w:p>
            <w:pPr>
              <w:jc w:val="right"/>
              <w:ind w:right="13"/>
              <w:spacing w:after="0"/>
              <w:rPr>
                <w:sz w:val="20"/>
                <w:szCs w:val="20"/>
                <w:color w:val="auto"/>
              </w:rPr>
            </w:pPr>
            <w:r>
              <w:rPr>
                <w:rFonts w:ascii="Arial" w:cs="Arial" w:eastAsia="Arial" w:hAnsi="Arial"/>
                <w:sz w:val="13"/>
                <w:szCs w:val="13"/>
                <w:color w:val="auto"/>
              </w:rPr>
              <w:t>3,627,663</w:t>
            </w:r>
          </w:p>
        </w:tc>
        <w:tc>
          <w:tcPr>
            <w:tcW w:w="1260" w:type="dxa"/>
            <w:vAlign w:val="bottom"/>
            <w:tcBorders>
              <w:bottom w:val="single" w:sz="8" w:color="FF7F32"/>
            </w:tcBorders>
          </w:tcPr>
          <w:p>
            <w:pPr>
              <w:jc w:val="right"/>
              <w:ind w:right="254"/>
              <w:spacing w:after="0"/>
              <w:rPr>
                <w:sz w:val="20"/>
                <w:szCs w:val="20"/>
                <w:color w:val="auto"/>
              </w:rPr>
            </w:pPr>
            <w:r>
              <w:rPr>
                <w:rFonts w:ascii="Arial" w:cs="Arial" w:eastAsia="Arial" w:hAnsi="Arial"/>
                <w:sz w:val="13"/>
                <w:szCs w:val="13"/>
                <w:color w:val="auto"/>
              </w:rPr>
              <w:t>1,422,254</w:t>
            </w:r>
          </w:p>
        </w:tc>
        <w:tc>
          <w:tcPr>
            <w:tcW w:w="280" w:type="dxa"/>
            <w:vAlign w:val="bottom"/>
            <w:tcBorders>
              <w:bottom w:val="single" w:sz="8" w:color="FF7F32"/>
            </w:tcBorders>
          </w:tcPr>
          <w:p>
            <w:pPr>
              <w:spacing w:after="0"/>
              <w:rPr>
                <w:sz w:val="15"/>
                <w:szCs w:val="15"/>
                <w:color w:val="auto"/>
              </w:rPr>
            </w:pPr>
          </w:p>
        </w:tc>
        <w:tc>
          <w:tcPr>
            <w:tcW w:w="900" w:type="dxa"/>
            <w:vAlign w:val="bottom"/>
            <w:tcBorders>
              <w:bottom w:val="single" w:sz="8" w:color="FF7F32"/>
            </w:tcBorders>
          </w:tcPr>
          <w:p>
            <w:pPr>
              <w:jc w:val="right"/>
              <w:spacing w:after="0"/>
              <w:rPr>
                <w:sz w:val="20"/>
                <w:szCs w:val="20"/>
                <w:color w:val="auto"/>
              </w:rPr>
            </w:pPr>
            <w:r>
              <w:rPr>
                <w:rFonts w:ascii="Arial" w:cs="Arial" w:eastAsia="Arial" w:hAnsi="Arial"/>
                <w:sz w:val="13"/>
                <w:szCs w:val="13"/>
                <w:color w:val="auto"/>
              </w:rPr>
              <w:t>(1,989,647)</w:t>
            </w:r>
          </w:p>
        </w:tc>
        <w:tc>
          <w:tcPr>
            <w:tcW w:w="1340" w:type="dxa"/>
            <w:vAlign w:val="bottom"/>
            <w:tcBorders>
              <w:bottom w:val="single" w:sz="8" w:color="FF7F32"/>
            </w:tcBorders>
          </w:tcPr>
          <w:p>
            <w:pPr>
              <w:jc w:val="right"/>
              <w:ind w:right="374"/>
              <w:spacing w:after="0"/>
              <w:rPr>
                <w:sz w:val="20"/>
                <w:szCs w:val="20"/>
                <w:color w:val="auto"/>
              </w:rPr>
            </w:pPr>
            <w:r>
              <w:rPr>
                <w:rFonts w:ascii="Arial" w:cs="Arial" w:eastAsia="Arial" w:hAnsi="Arial"/>
                <w:sz w:val="13"/>
                <w:szCs w:val="13"/>
                <w:color w:val="auto"/>
              </w:rPr>
              <w:t>1,326,797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436880</wp:posOffset>
            </wp:positionV>
            <wp:extent cx="925830" cy="26543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92583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auto"/>
        </w:rPr>
        <w:t>68</w:t>
      </w:r>
      <w:r>
        <w:rPr>
          <w:sz w:val="20"/>
          <w:szCs w:val="20"/>
          <w:color w:val="auto"/>
        </w:rPr>
        <w:tab/>
      </w:r>
      <w:r>
        <w:rPr>
          <w:rFonts w:ascii="Arial" w:cs="Arial" w:eastAsia="Arial" w:hAnsi="Arial"/>
          <w:sz w:val="12"/>
          <w:szCs w:val="12"/>
          <w:b w:val="1"/>
          <w:bCs w:val="1"/>
          <w:color w:val="FF7F32"/>
        </w:rPr>
        <w:t xml:space="preserve">2026 </w:t>
      </w:r>
      <w:r>
        <w:rPr>
          <w:rFonts w:ascii="Arial" w:cs="Arial" w:eastAsia="Arial" w:hAnsi="Arial"/>
          <w:sz w:val="12"/>
          <w:szCs w:val="12"/>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271145</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71" w:name="page72"/>
    <w:bookmarkEnd w:id="71"/>
    <w:p>
      <w:pPr>
        <w:spacing w:after="0"/>
        <w:rPr>
          <w:sz w:val="20"/>
          <w:szCs w:val="20"/>
          <w:color w:val="auto"/>
        </w:rPr>
      </w:pPr>
      <w:r>
        <w:rPr>
          <w:rFonts w:ascii="Arial" w:cs="Arial" w:eastAsia="Arial" w:hAnsi="Arial"/>
          <w:sz w:val="13"/>
          <w:szCs w:val="13"/>
          <w:color w:val="auto"/>
        </w:rPr>
        <w:t>Executive Compensation Tables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0" w:right="340" w:hanging="192"/>
        <w:spacing w:after="0" w:line="274" w:lineRule="auto"/>
        <w:tabs>
          <w:tab w:leader="none" w:pos="186" w:val="left"/>
        </w:tabs>
        <w:numPr>
          <w:ilvl w:val="0"/>
          <w:numId w:val="74"/>
        </w:numPr>
        <w:rPr>
          <w:rFonts w:ascii="Arial" w:cs="Arial" w:eastAsia="Arial" w:hAnsi="Arial"/>
          <w:sz w:val="16"/>
          <w:szCs w:val="16"/>
          <w:color w:val="202945"/>
          <w:vertAlign w:val="superscript"/>
        </w:rPr>
      </w:pPr>
      <w:r>
        <w:rPr>
          <w:rFonts w:ascii="Arial" w:cs="Arial" w:eastAsia="Arial" w:hAnsi="Arial"/>
          <w:sz w:val="13"/>
          <w:szCs w:val="13"/>
          <w:color w:val="202945"/>
        </w:rPr>
        <w:t>The dollar amounts reported in the column reflect the average amounts of total compensation reported for our non-PEO NEOs for each corresponding year in the “Total” column of the Summary Compensation Table.</w:t>
      </w:r>
    </w:p>
    <w:p>
      <w:pPr>
        <w:spacing w:after="0" w:line="64" w:lineRule="exact"/>
        <w:rPr>
          <w:rFonts w:ascii="Arial" w:cs="Arial" w:eastAsia="Arial" w:hAnsi="Arial"/>
          <w:sz w:val="16"/>
          <w:szCs w:val="16"/>
          <w:color w:val="202945"/>
          <w:vertAlign w:val="superscript"/>
        </w:rPr>
      </w:pPr>
    </w:p>
    <w:p>
      <w:pPr>
        <w:ind w:left="200" w:right="200" w:hanging="192"/>
        <w:spacing w:after="0" w:line="296" w:lineRule="auto"/>
        <w:tabs>
          <w:tab w:leader="none" w:pos="186" w:val="left"/>
        </w:tabs>
        <w:numPr>
          <w:ilvl w:val="0"/>
          <w:numId w:val="74"/>
        </w:numPr>
        <w:rPr>
          <w:rFonts w:ascii="Arial" w:cs="Arial" w:eastAsia="Arial" w:hAnsi="Arial"/>
          <w:sz w:val="16"/>
          <w:szCs w:val="16"/>
          <w:color w:val="202945"/>
          <w:vertAlign w:val="superscript"/>
        </w:rPr>
      </w:pPr>
      <w:r>
        <w:rPr>
          <w:rFonts w:ascii="Arial" w:cs="Arial" w:eastAsia="Arial" w:hAnsi="Arial"/>
          <w:sz w:val="13"/>
          <w:szCs w:val="13"/>
          <w:color w:val="202945"/>
        </w:rPr>
        <w:t>Total shareholder return assumes that $100 was invested on the measurement date in the Company’s common stock and the peer group as set forth in footnote 5 below. The measurement date is established by the market close on the last trading day before the beginning of the Company’s third preceding fiscal year.</w:t>
      </w:r>
    </w:p>
    <w:p>
      <w:pPr>
        <w:spacing w:after="0" w:line="29" w:lineRule="exact"/>
        <w:rPr>
          <w:rFonts w:ascii="Arial" w:cs="Arial" w:eastAsia="Arial" w:hAnsi="Arial"/>
          <w:sz w:val="16"/>
          <w:szCs w:val="16"/>
          <w:color w:val="202945"/>
          <w:vertAlign w:val="superscript"/>
        </w:rPr>
      </w:pPr>
    </w:p>
    <w:p>
      <w:pPr>
        <w:ind w:left="180" w:hanging="172"/>
        <w:spacing w:after="0"/>
        <w:tabs>
          <w:tab w:leader="none" w:pos="180" w:val="left"/>
        </w:tabs>
        <w:numPr>
          <w:ilvl w:val="0"/>
          <w:numId w:val="74"/>
        </w:numPr>
        <w:rPr>
          <w:rFonts w:ascii="Arial" w:cs="Arial" w:eastAsia="Arial" w:hAnsi="Arial"/>
          <w:sz w:val="16"/>
          <w:szCs w:val="16"/>
          <w:color w:val="202945"/>
          <w:vertAlign w:val="superscript"/>
        </w:rPr>
      </w:pPr>
      <w:r>
        <w:rPr>
          <w:rFonts w:ascii="Arial" w:cs="Arial" w:eastAsia="Arial" w:hAnsi="Arial"/>
          <w:sz w:val="13"/>
          <w:szCs w:val="13"/>
          <w:color w:val="202945"/>
        </w:rPr>
        <w:t>The peer group reflects the US Small-Cap Russell 2000® Index, which was used in the Stock Performance Graph included in our Annual Report.</w:t>
      </w:r>
    </w:p>
    <w:p>
      <w:pPr>
        <w:spacing w:after="0" w:line="72" w:lineRule="exact"/>
        <w:rPr>
          <w:rFonts w:ascii="Arial" w:cs="Arial" w:eastAsia="Arial" w:hAnsi="Arial"/>
          <w:sz w:val="16"/>
          <w:szCs w:val="16"/>
          <w:color w:val="202945"/>
          <w:vertAlign w:val="superscript"/>
        </w:rPr>
      </w:pPr>
    </w:p>
    <w:p>
      <w:pPr>
        <w:ind w:left="180" w:hanging="172"/>
        <w:spacing w:after="0"/>
        <w:tabs>
          <w:tab w:leader="none" w:pos="180" w:val="left"/>
        </w:tabs>
        <w:numPr>
          <w:ilvl w:val="0"/>
          <w:numId w:val="74"/>
        </w:numPr>
        <w:rPr>
          <w:rFonts w:ascii="Arial" w:cs="Arial" w:eastAsia="Arial" w:hAnsi="Arial"/>
          <w:sz w:val="16"/>
          <w:szCs w:val="16"/>
          <w:color w:val="202945"/>
          <w:vertAlign w:val="superscript"/>
        </w:rPr>
      </w:pPr>
      <w:r>
        <w:rPr>
          <w:rFonts w:ascii="Arial" w:cs="Arial" w:eastAsia="Arial" w:hAnsi="Arial"/>
          <w:sz w:val="13"/>
          <w:szCs w:val="13"/>
          <w:color w:val="202945"/>
        </w:rPr>
        <w:t>Dollar amounts reported represent the amount of net income reflected in the Company’s audited financial statements for the applicable year</w:t>
      </w:r>
    </w:p>
    <w:p>
      <w:pPr>
        <w:spacing w:after="0" w:line="104" w:lineRule="exact"/>
        <w:rPr>
          <w:rFonts w:ascii="Arial" w:cs="Arial" w:eastAsia="Arial" w:hAnsi="Arial"/>
          <w:sz w:val="16"/>
          <w:szCs w:val="16"/>
          <w:color w:val="202945"/>
          <w:vertAlign w:val="superscript"/>
        </w:rPr>
      </w:pPr>
    </w:p>
    <w:p>
      <w:pPr>
        <w:ind w:left="200" w:right="220" w:hanging="192"/>
        <w:spacing w:after="0" w:line="283" w:lineRule="auto"/>
        <w:tabs>
          <w:tab w:leader="none" w:pos="200" w:val="left"/>
        </w:tabs>
        <w:numPr>
          <w:ilvl w:val="0"/>
          <w:numId w:val="74"/>
        </w:numPr>
        <w:rPr>
          <w:rFonts w:ascii="Arial" w:cs="Arial" w:eastAsia="Arial" w:hAnsi="Arial"/>
          <w:sz w:val="16"/>
          <w:szCs w:val="16"/>
          <w:color w:val="202945"/>
          <w:vertAlign w:val="superscript"/>
        </w:rPr>
      </w:pPr>
      <w:r>
        <w:rPr>
          <w:rFonts w:ascii="Arial" w:cs="Arial" w:eastAsia="Arial" w:hAnsi="Arial"/>
          <w:sz w:val="13"/>
          <w:szCs w:val="13"/>
          <w:color w:val="202945"/>
        </w:rPr>
        <w:t>The Company has determined that Adjusted EBITDA from continuing operations is the financial performance measure that, in the Company’s assessment, represents the most important performance measure (that is not otherwise required to be disclosed in the table) used by the Company to link compensation actually paid to the Company’s named executive officers for the most recently completed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172720</wp:posOffset>
            </wp:positionV>
            <wp:extent cx="925830" cy="26543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925830" cy="26543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b w:val="1"/>
                <w:bCs w:val="1"/>
                <w:color w:val="FF7F32"/>
              </w:rPr>
              <w:t xml:space="preserve">2026 </w:t>
            </w:r>
            <w:r>
              <w:rPr>
                <w:rFonts w:ascii="Arial" w:cs="Arial" w:eastAsia="Arial" w:hAnsi="Arial"/>
                <w:sz w:val="13"/>
                <w:szCs w:val="13"/>
                <w:color w:val="000000"/>
              </w:rPr>
              <w:t>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auto"/>
              </w:rPr>
              <w:t>69</w:t>
            </w:r>
          </w:p>
        </w:tc>
      </w:tr>
      <w:tr>
        <w:trPr>
          <w:trHeight w:val="420"/>
        </w:trPr>
        <w:tc>
          <w:tcPr>
            <w:tcW w:w="618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3"/>
          <w:szCs w:val="13"/>
          <w:color w:val="auto"/>
        </w:rPr>
        <w:t>Executive Compensation Tables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9"/>
          <w:szCs w:val="29"/>
          <w:b w:val="1"/>
          <w:bCs w:val="1"/>
          <w:color w:val="FF7F32"/>
        </w:rPr>
        <w:t>Relationship between “Compensation Actually Paid” and Performance</w:t>
      </w:r>
    </w:p>
    <w:p>
      <w:pPr>
        <w:spacing w:after="0" w:line="263" w:lineRule="exact"/>
        <w:rPr>
          <w:sz w:val="20"/>
          <w:szCs w:val="20"/>
          <w:color w:val="auto"/>
        </w:rPr>
      </w:pPr>
    </w:p>
    <w:p>
      <w:pPr>
        <w:ind w:right="20"/>
        <w:spacing w:after="0" w:line="344" w:lineRule="auto"/>
        <w:rPr>
          <w:sz w:val="20"/>
          <w:szCs w:val="20"/>
          <w:color w:val="auto"/>
        </w:rPr>
      </w:pPr>
      <w:r>
        <w:rPr>
          <w:rFonts w:ascii="Times New Roman" w:cs="Times New Roman" w:eastAsia="Times New Roman" w:hAnsi="Times New Roman"/>
          <w:sz w:val="18"/>
          <w:szCs w:val="18"/>
          <w:color w:val="auto"/>
        </w:rPr>
        <w:t>Below are the graphs showing the relationship of “compensation actually paid” to our CEO and our non-CEO NEOs in fiscal 2022, 2023, 2024 and 2025 to (1) TSR, (2) the Company’s net income and (3) the Company’s Adjusted EBITDA.</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Actually Paid (CAP) vs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123825</wp:posOffset>
            </wp:positionV>
            <wp:extent cx="5674995" cy="226314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5674995"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478"/>
        </w:trPr>
        <w:tc>
          <w:tcPr>
            <w:tcW w:w="3540" w:type="dxa"/>
            <w:vAlign w:val="bottom"/>
          </w:tcPr>
          <w:p>
            <w:pPr>
              <w:jc w:val="right"/>
              <w:ind w:right="201"/>
              <w:spacing w:after="0"/>
              <w:rPr>
                <w:sz w:val="20"/>
                <w:szCs w:val="20"/>
                <w:color w:val="auto"/>
              </w:rPr>
            </w:pPr>
            <w:r>
              <w:rPr>
                <w:rFonts w:ascii="Wingdings" w:cs="Wingdings" w:eastAsia="Wingdings" w:hAnsi="Wingdings"/>
                <w:sz w:val="27"/>
                <w:szCs w:val="27"/>
                <w:b w:val="1"/>
                <w:bCs w:val="1"/>
                <w:color w:val="5576D1"/>
              </w:rPr>
              <w:t xml:space="preserve">n  </w:t>
            </w:r>
            <w:r>
              <w:rPr>
                <w:rFonts w:ascii="Arial" w:cs="Arial" w:eastAsia="Arial" w:hAnsi="Arial"/>
                <w:sz w:val="16"/>
                <w:szCs w:val="16"/>
                <w:color w:val="000000"/>
              </w:rPr>
              <w:t>Average CAP to NEOs</w:t>
            </w:r>
          </w:p>
        </w:tc>
        <w:tc>
          <w:tcPr>
            <w:tcW w:w="1880" w:type="dxa"/>
            <w:vAlign w:val="bottom"/>
          </w:tcPr>
          <w:p>
            <w:pPr>
              <w:ind w:left="280"/>
              <w:spacing w:after="0"/>
              <w:rPr>
                <w:sz w:val="20"/>
                <w:szCs w:val="20"/>
                <w:color w:val="auto"/>
              </w:rPr>
            </w:pPr>
            <w:r>
              <w:rPr>
                <w:rFonts w:ascii="Wingdings" w:cs="Wingdings" w:eastAsia="Wingdings" w:hAnsi="Wingdings"/>
                <w:sz w:val="27"/>
                <w:szCs w:val="27"/>
                <w:b w:val="1"/>
                <w:bCs w:val="1"/>
                <w:color w:val="E04F39"/>
                <w:w w:val="96"/>
              </w:rPr>
              <w:t xml:space="preserve">n  </w:t>
            </w:r>
            <w:r>
              <w:rPr>
                <w:rFonts w:ascii="Arial" w:cs="Arial" w:eastAsia="Arial" w:hAnsi="Arial"/>
                <w:sz w:val="16"/>
                <w:szCs w:val="16"/>
                <w:color w:val="000000"/>
                <w:w w:val="96"/>
              </w:rPr>
              <w:t>CAP to CEO</w:t>
            </w:r>
          </w:p>
        </w:tc>
        <w:tc>
          <w:tcPr>
            <w:tcW w:w="1280" w:type="dxa"/>
            <w:vAlign w:val="bottom"/>
          </w:tcPr>
          <w:p>
            <w:pPr>
              <w:ind w:left="260"/>
              <w:spacing w:after="0"/>
              <w:rPr>
                <w:sz w:val="20"/>
                <w:szCs w:val="20"/>
                <w:color w:val="auto"/>
              </w:rPr>
            </w:pPr>
            <w:r>
              <w:rPr>
                <w:rFonts w:ascii="Arial" w:cs="Arial" w:eastAsia="Arial" w:hAnsi="Arial"/>
                <w:sz w:val="36"/>
                <w:szCs w:val="36"/>
                <w:color w:val="202945"/>
              </w:rPr>
              <w:t xml:space="preserve">— </w:t>
            </w:r>
            <w:r>
              <w:rPr>
                <w:rFonts w:ascii="Arial" w:cs="Arial" w:eastAsia="Arial" w:hAnsi="Arial"/>
                <w:sz w:val="16"/>
                <w:szCs w:val="16"/>
                <w:color w:val="000000"/>
              </w:rPr>
              <w:t>TSR</w:t>
            </w:r>
          </w:p>
        </w:tc>
        <w:tc>
          <w:tcPr>
            <w:tcW w:w="4540" w:type="dxa"/>
            <w:vAlign w:val="bottom"/>
          </w:tcPr>
          <w:p>
            <w:pPr>
              <w:ind w:left="180"/>
              <w:spacing w:after="0"/>
              <w:rPr>
                <w:sz w:val="20"/>
                <w:szCs w:val="20"/>
                <w:color w:val="auto"/>
              </w:rPr>
            </w:pPr>
            <w:r>
              <w:rPr>
                <w:rFonts w:ascii="Arial" w:cs="Arial" w:eastAsia="Arial" w:hAnsi="Arial"/>
                <w:sz w:val="36"/>
                <w:szCs w:val="36"/>
                <w:color w:val="FF7F32"/>
              </w:rPr>
              <w:t xml:space="preserve">— </w:t>
            </w:r>
            <w:r>
              <w:rPr>
                <w:rFonts w:ascii="Arial" w:cs="Arial" w:eastAsia="Arial" w:hAnsi="Arial"/>
                <w:sz w:val="16"/>
                <w:szCs w:val="16"/>
                <w:color w:val="000000"/>
              </w:rPr>
              <w:t>Peer Group TSR</w:t>
            </w:r>
          </w:p>
        </w:tc>
      </w:tr>
      <w:tr>
        <w:trPr>
          <w:trHeight w:val="659"/>
        </w:trPr>
        <w:tc>
          <w:tcPr>
            <w:tcW w:w="3540" w:type="dxa"/>
            <w:vAlign w:val="bottom"/>
          </w:tcPr>
          <w:p>
            <w:pPr>
              <w:jc w:val="right"/>
              <w:ind w:right="3281"/>
              <w:spacing w:after="0"/>
              <w:rPr>
                <w:sz w:val="20"/>
                <w:szCs w:val="20"/>
                <w:color w:val="auto"/>
              </w:rPr>
            </w:pPr>
            <w:r>
              <w:rPr>
                <w:rFonts w:ascii="Arial" w:cs="Arial" w:eastAsia="Arial" w:hAnsi="Arial"/>
                <w:sz w:val="13"/>
                <w:szCs w:val="13"/>
                <w:b w:val="1"/>
                <w:bCs w:val="1"/>
                <w:color w:val="auto"/>
                <w:w w:val="96"/>
              </w:rPr>
              <w:t>70</w:t>
            </w:r>
          </w:p>
        </w:tc>
        <w:tc>
          <w:tcPr>
            <w:tcW w:w="1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540" w:type="dxa"/>
            <w:vAlign w:val="bottom"/>
          </w:tcPr>
          <w:p>
            <w:pPr>
              <w:ind w:left="3280"/>
              <w:spacing w:after="0"/>
              <w:rPr>
                <w:sz w:val="20"/>
                <w:szCs w:val="20"/>
                <w:color w:val="auto"/>
              </w:rPr>
            </w:pPr>
            <w:r>
              <w:rPr>
                <w:rFonts w:ascii="Arial" w:cs="Arial" w:eastAsia="Arial" w:hAnsi="Arial"/>
                <w:sz w:val="13"/>
                <w:szCs w:val="13"/>
                <w:b w:val="1"/>
                <w:bCs w:val="1"/>
                <w:color w:val="FF7F32"/>
                <w:w w:val="96"/>
              </w:rPr>
              <w:t xml:space="preserve">2026 </w:t>
            </w:r>
            <w:r>
              <w:rPr>
                <w:rFonts w:ascii="Arial" w:cs="Arial" w:eastAsia="Arial" w:hAnsi="Arial"/>
                <w:sz w:val="13"/>
                <w:szCs w:val="13"/>
                <w:color w:val="000000"/>
                <w:w w:val="96"/>
              </w:rPr>
              <w:t>Proxy Statement</w:t>
            </w:r>
          </w:p>
        </w:tc>
      </w:tr>
      <w:tr>
        <w:trPr>
          <w:trHeight w:val="420"/>
        </w:trPr>
        <w:tc>
          <w:tcPr>
            <w:tcW w:w="354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-488315</wp:posOffset>
            </wp:positionV>
            <wp:extent cx="925830" cy="26543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925830" cy="265430"/>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73" w:name="page74"/>
    <w:bookmarkEnd w:id="73"/>
    <w:p>
      <w:pPr>
        <w:spacing w:after="0"/>
        <w:rPr>
          <w:sz w:val="20"/>
          <w:szCs w:val="20"/>
          <w:color w:val="auto"/>
        </w:rPr>
      </w:pPr>
      <w:r>
        <w:rPr>
          <w:rFonts w:ascii="Arial" w:cs="Arial" w:eastAsia="Arial" w:hAnsi="Arial"/>
          <w:sz w:val="13"/>
          <w:szCs w:val="13"/>
          <w:color w:val="auto"/>
        </w:rPr>
        <w:t>Executive Compensation Tables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Actually Paid (CAP) vs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123825</wp:posOffset>
            </wp:positionV>
            <wp:extent cx="4937760" cy="197167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4937760"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940"/>
        <w:spacing w:after="0"/>
        <w:tabs>
          <w:tab w:leader="none" w:pos="4340" w:val="left"/>
          <w:tab w:leader="none" w:pos="6060" w:val="left"/>
        </w:tabs>
        <w:rPr>
          <w:sz w:val="20"/>
          <w:szCs w:val="20"/>
          <w:color w:val="auto"/>
        </w:rPr>
      </w:pPr>
      <w:r>
        <w:rPr>
          <w:rFonts w:ascii="Wingdings" w:cs="Wingdings" w:eastAsia="Wingdings" w:hAnsi="Wingdings"/>
          <w:sz w:val="27"/>
          <w:szCs w:val="27"/>
          <w:b w:val="1"/>
          <w:bCs w:val="1"/>
          <w:color w:val="5576D1"/>
        </w:rPr>
        <w:t xml:space="preserve">n </w:t>
      </w:r>
      <w:r>
        <w:rPr>
          <w:rFonts w:ascii="Arial" w:cs="Arial" w:eastAsia="Arial" w:hAnsi="Arial"/>
          <w:sz w:val="16"/>
          <w:szCs w:val="16"/>
          <w:color w:val="000000"/>
        </w:rPr>
        <w:t>Average CAP to NEOs</w:t>
      </w:r>
      <w:r>
        <w:rPr>
          <w:rFonts w:ascii="Wingdings" w:cs="Wingdings" w:eastAsia="Wingdings" w:hAnsi="Wingdings"/>
          <w:sz w:val="27"/>
          <w:szCs w:val="27"/>
          <w:b w:val="1"/>
          <w:bCs w:val="1"/>
          <w:color w:val="E04F39"/>
        </w:rPr>
        <w:tab/>
        <w:t xml:space="preserve">n </w:t>
      </w:r>
      <w:r>
        <w:rPr>
          <w:rFonts w:ascii="Arial" w:cs="Arial" w:eastAsia="Arial" w:hAnsi="Arial"/>
          <w:sz w:val="16"/>
          <w:szCs w:val="16"/>
          <w:color w:val="000000"/>
        </w:rPr>
        <w:t>CAP to CEO</w:t>
      </w:r>
      <w:r>
        <w:rPr>
          <w:sz w:val="20"/>
          <w:szCs w:val="20"/>
          <w:color w:val="auto"/>
        </w:rPr>
        <w:tab/>
      </w:r>
      <w:r>
        <w:rPr>
          <w:rFonts w:ascii="Arial" w:cs="Arial" w:eastAsia="Arial" w:hAnsi="Arial"/>
          <w:sz w:val="36"/>
          <w:szCs w:val="36"/>
          <w:color w:val="FF7F32"/>
        </w:rPr>
        <w:t xml:space="preserve">— </w:t>
      </w:r>
      <w:r>
        <w:rPr>
          <w:rFonts w:ascii="Arial" w:cs="Arial" w:eastAsia="Arial" w:hAnsi="Arial"/>
          <w:sz w:val="16"/>
          <w:szCs w:val="16"/>
          <w:color w:val="000000"/>
        </w:rPr>
        <w:t>Net Income</w:t>
      </w: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Actually Paid (CAP) vs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123825</wp:posOffset>
            </wp:positionV>
            <wp:extent cx="4963160" cy="197993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4963160" cy="197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660"/>
        <w:spacing w:after="0"/>
        <w:tabs>
          <w:tab w:leader="none" w:pos="4160" w:val="left"/>
          <w:tab w:leader="none" w:pos="5920" w:val="left"/>
        </w:tabs>
        <w:rPr>
          <w:sz w:val="20"/>
          <w:szCs w:val="20"/>
          <w:color w:val="auto"/>
        </w:rPr>
      </w:pPr>
      <w:r>
        <w:rPr>
          <w:rFonts w:ascii="Wingdings" w:cs="Wingdings" w:eastAsia="Wingdings" w:hAnsi="Wingdings"/>
          <w:sz w:val="27"/>
          <w:szCs w:val="27"/>
          <w:b w:val="1"/>
          <w:bCs w:val="1"/>
          <w:color w:val="5576D1"/>
        </w:rPr>
        <w:t xml:space="preserve">n </w:t>
      </w:r>
      <w:r>
        <w:rPr>
          <w:rFonts w:ascii="Arial" w:cs="Arial" w:eastAsia="Arial" w:hAnsi="Arial"/>
          <w:sz w:val="16"/>
          <w:szCs w:val="16"/>
          <w:color w:val="000000"/>
        </w:rPr>
        <w:t>Average CAP to NEOs</w:t>
      </w:r>
      <w:r>
        <w:rPr>
          <w:rFonts w:ascii="Wingdings" w:cs="Wingdings" w:eastAsia="Wingdings" w:hAnsi="Wingdings"/>
          <w:sz w:val="27"/>
          <w:szCs w:val="27"/>
          <w:b w:val="1"/>
          <w:bCs w:val="1"/>
          <w:color w:val="E04F39"/>
        </w:rPr>
        <w:tab/>
        <w:t xml:space="preserve">n </w:t>
      </w:r>
      <w:r>
        <w:rPr>
          <w:rFonts w:ascii="Arial" w:cs="Arial" w:eastAsia="Arial" w:hAnsi="Arial"/>
          <w:sz w:val="16"/>
          <w:szCs w:val="16"/>
          <w:color w:val="000000"/>
        </w:rPr>
        <w:t>CAP to CEO</w:t>
      </w:r>
      <w:r>
        <w:rPr>
          <w:sz w:val="20"/>
          <w:szCs w:val="20"/>
          <w:color w:val="auto"/>
        </w:rPr>
        <w:tab/>
      </w:r>
      <w:r>
        <w:rPr>
          <w:rFonts w:ascii="Arial" w:cs="Arial" w:eastAsia="Arial" w:hAnsi="Arial"/>
          <w:sz w:val="36"/>
          <w:szCs w:val="36"/>
          <w:color w:val="FF7F32"/>
        </w:rPr>
        <w:t xml:space="preserve">— </w:t>
      </w:r>
      <w:r>
        <w:rPr>
          <w:rFonts w:ascii="Arial" w:cs="Arial" w:eastAsia="Arial" w:hAnsi="Arial"/>
          <w:sz w:val="16"/>
          <w:szCs w:val="16"/>
          <w:color w:val="000000"/>
        </w:rPr>
        <w:t>Adjusted EBITDA</w:t>
      </w:r>
    </w:p>
    <w:p>
      <w:pPr>
        <w:spacing w:after="0" w:line="325" w:lineRule="exact"/>
        <w:rPr>
          <w:sz w:val="20"/>
          <w:szCs w:val="20"/>
          <w:color w:val="auto"/>
        </w:rPr>
      </w:pPr>
    </w:p>
    <w:p>
      <w:pPr>
        <w:ind w:right="620"/>
        <w:spacing w:after="0" w:line="356" w:lineRule="auto"/>
        <w:rPr>
          <w:sz w:val="20"/>
          <w:szCs w:val="20"/>
          <w:color w:val="auto"/>
        </w:rPr>
      </w:pPr>
      <w:r>
        <w:rPr>
          <w:rFonts w:ascii="Arial" w:cs="Arial" w:eastAsia="Arial" w:hAnsi="Arial"/>
          <w:sz w:val="16"/>
          <w:szCs w:val="16"/>
          <w:color w:val="auto"/>
        </w:rPr>
        <w:t>Listed below are the financial and non-financial performance measures which in our assessment represent the most important financial performance measures we used to link compensation actually paid to our NEOs, for fiscal 2025, to company performance:</w:t>
      </w:r>
    </w:p>
    <w:p>
      <w:pPr>
        <w:spacing w:after="0" w:line="48" w:lineRule="exact"/>
        <w:rPr>
          <w:sz w:val="20"/>
          <w:szCs w:val="20"/>
          <w:color w:val="auto"/>
        </w:rPr>
      </w:pPr>
    </w:p>
    <w:p>
      <w:pPr>
        <w:ind w:left="180" w:hanging="172"/>
        <w:spacing w:after="0"/>
        <w:tabs>
          <w:tab w:leader="none" w:pos="180" w:val="left"/>
        </w:tabs>
        <w:numPr>
          <w:ilvl w:val="0"/>
          <w:numId w:val="75"/>
        </w:numPr>
        <w:rPr>
          <w:rFonts w:ascii="Arial" w:cs="Arial" w:eastAsia="Arial" w:hAnsi="Arial"/>
          <w:sz w:val="16"/>
          <w:szCs w:val="16"/>
          <w:b w:val="1"/>
          <w:bCs w:val="1"/>
          <w:color w:val="FF7F32"/>
        </w:rPr>
      </w:pPr>
      <w:r>
        <w:rPr>
          <w:rFonts w:ascii="Arial" w:cs="Arial" w:eastAsia="Arial" w:hAnsi="Arial"/>
          <w:sz w:val="16"/>
          <w:szCs w:val="16"/>
          <w:color w:val="auto"/>
        </w:rPr>
        <w:t>Revenue</w:t>
      </w:r>
    </w:p>
    <w:p>
      <w:pPr>
        <w:spacing w:after="0" w:line="167" w:lineRule="exact"/>
        <w:rPr>
          <w:rFonts w:ascii="Arial" w:cs="Arial" w:eastAsia="Arial" w:hAnsi="Arial"/>
          <w:sz w:val="16"/>
          <w:szCs w:val="16"/>
          <w:b w:val="1"/>
          <w:bCs w:val="1"/>
          <w:color w:val="FF7F32"/>
        </w:rPr>
      </w:pPr>
    </w:p>
    <w:p>
      <w:pPr>
        <w:ind w:left="180" w:hanging="172"/>
        <w:spacing w:after="0"/>
        <w:tabs>
          <w:tab w:leader="none" w:pos="180" w:val="left"/>
        </w:tabs>
        <w:numPr>
          <w:ilvl w:val="0"/>
          <w:numId w:val="75"/>
        </w:numPr>
        <w:rPr>
          <w:rFonts w:ascii="Arial" w:cs="Arial" w:eastAsia="Arial" w:hAnsi="Arial"/>
          <w:sz w:val="16"/>
          <w:szCs w:val="16"/>
          <w:b w:val="1"/>
          <w:bCs w:val="1"/>
          <w:color w:val="FF7F32"/>
        </w:rPr>
      </w:pPr>
      <w:r>
        <w:rPr>
          <w:rFonts w:ascii="Arial" w:cs="Arial" w:eastAsia="Arial" w:hAnsi="Arial"/>
          <w:sz w:val="16"/>
          <w:szCs w:val="16"/>
          <w:color w:val="auto"/>
        </w:rPr>
        <w:t>Adjusted EBITDA</w:t>
      </w:r>
    </w:p>
    <w:p>
      <w:pPr>
        <w:spacing w:after="0" w:line="180" w:lineRule="exact"/>
        <w:rPr>
          <w:rFonts w:ascii="Arial" w:cs="Arial" w:eastAsia="Arial" w:hAnsi="Arial"/>
          <w:sz w:val="16"/>
          <w:szCs w:val="16"/>
          <w:b w:val="1"/>
          <w:bCs w:val="1"/>
          <w:color w:val="FF7F32"/>
        </w:rPr>
      </w:pPr>
    </w:p>
    <w:p>
      <w:pPr>
        <w:ind w:left="180" w:hanging="172"/>
        <w:spacing w:after="0"/>
        <w:tabs>
          <w:tab w:leader="none" w:pos="180" w:val="left"/>
        </w:tabs>
        <w:numPr>
          <w:ilvl w:val="0"/>
          <w:numId w:val="75"/>
        </w:numPr>
        <w:rPr>
          <w:rFonts w:ascii="Arial" w:cs="Arial" w:eastAsia="Arial" w:hAnsi="Arial"/>
          <w:sz w:val="16"/>
          <w:szCs w:val="16"/>
          <w:b w:val="1"/>
          <w:bCs w:val="1"/>
          <w:color w:val="FF7F32"/>
        </w:rPr>
      </w:pPr>
      <w:r>
        <w:rPr>
          <w:rFonts w:ascii="Arial" w:cs="Arial" w:eastAsia="Arial" w:hAnsi="Arial"/>
          <w:sz w:val="16"/>
          <w:szCs w:val="16"/>
          <w:color w:val="auto"/>
        </w:rPr>
        <w:t>Monthly recurring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200660</wp:posOffset>
            </wp:positionV>
            <wp:extent cx="925830" cy="26543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925830" cy="26543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b w:val="1"/>
                <w:bCs w:val="1"/>
                <w:color w:val="FF7F32"/>
              </w:rPr>
              <w:t xml:space="preserve">2026 </w:t>
            </w:r>
            <w:r>
              <w:rPr>
                <w:rFonts w:ascii="Arial" w:cs="Arial" w:eastAsia="Arial" w:hAnsi="Arial"/>
                <w:sz w:val="13"/>
                <w:szCs w:val="13"/>
                <w:color w:val="000000"/>
              </w:rPr>
              <w:t>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auto"/>
              </w:rPr>
              <w:t>71</w:t>
            </w:r>
          </w:p>
        </w:tc>
      </w:tr>
      <w:tr>
        <w:trPr>
          <w:trHeight w:val="420"/>
        </w:trPr>
        <w:tc>
          <w:tcPr>
            <w:tcW w:w="618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3"/>
          <w:szCs w:val="13"/>
          <w:color w:val="auto"/>
        </w:rPr>
        <w:t>Executive Compensation Tables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32"/>
          <w:szCs w:val="32"/>
          <w:b w:val="1"/>
          <w:bCs w:val="1"/>
          <w:color w:val="202945"/>
        </w:rPr>
        <w:t>Policies and Practices for Granting Certain Equity Awards</w:t>
      </w:r>
    </w:p>
    <w:p>
      <w:pPr>
        <w:spacing w:after="0" w:line="323" w:lineRule="exact"/>
        <w:rPr>
          <w:sz w:val="20"/>
          <w:szCs w:val="20"/>
          <w:color w:val="auto"/>
        </w:rPr>
      </w:pPr>
    </w:p>
    <w:p>
      <w:pPr>
        <w:spacing w:after="0" w:line="324" w:lineRule="auto"/>
        <w:rPr>
          <w:sz w:val="20"/>
          <w:szCs w:val="20"/>
          <w:color w:val="auto"/>
        </w:rPr>
      </w:pPr>
      <w:r>
        <w:rPr>
          <w:rFonts w:ascii="Arial" w:cs="Arial" w:eastAsia="Arial" w:hAnsi="Arial"/>
          <w:sz w:val="16"/>
          <w:szCs w:val="16"/>
          <w:color w:val="auto"/>
        </w:rPr>
        <w:t>The Board, at the recommendation of the Compensation Committee, approves all equity award grants to our NEOs on or before the grant date. The Compensation Committee’s general practice is to complete its annual executive compensation review and determine performance goals and target compensation for our NEOs, following which they make a recommendation to the Board, which in turn reviews the recommendation and approves equity awards for our NEOs. Accordingly, annual equity awards are typically determined at the first Compensation Committee meeting of the fiscal year and reviewed and approved at the first Board meeting of the fiscal year. These grants are then made effective shortly during a scheduled open trading window. On occasion, the Board may, at the recommendation of the Compensation Committee, grant equity awards outside of our annual grant cycle for new hires, promotions, recognition, retention or other purposes. While the Board has discretionary authority to grant equity awards to our NEOs outside of the cycle described above, neither the Board nor the Compensation Committee take into account material non-public information when determining the timing or terms of equity awards, nor do we time disclosure of material non-public information for the purpose of affecting the value of executive compensation.</w:t>
      </w:r>
    </w:p>
    <w:p>
      <w:pPr>
        <w:spacing w:after="0" w:line="181" w:lineRule="exact"/>
        <w:rPr>
          <w:sz w:val="20"/>
          <w:szCs w:val="20"/>
          <w:color w:val="auto"/>
        </w:rPr>
      </w:pPr>
    </w:p>
    <w:p>
      <w:pPr>
        <w:ind w:right="300"/>
        <w:spacing w:after="0" w:line="336" w:lineRule="auto"/>
        <w:rPr>
          <w:sz w:val="20"/>
          <w:szCs w:val="20"/>
          <w:color w:val="auto"/>
        </w:rPr>
      </w:pPr>
      <w:r>
        <w:rPr>
          <w:rFonts w:ascii="Arial" w:cs="Arial" w:eastAsia="Arial" w:hAnsi="Arial"/>
          <w:sz w:val="16"/>
          <w:szCs w:val="16"/>
          <w:color w:val="auto"/>
        </w:rPr>
        <w:t>During fiscal 2025, the Company did not grant stock options (or similar awards) to any NEO during any period beginning four business days before and ending one business day after the filing of any Company periodic report on Form 10-Q or Form 10-K, or the filing or furnishing of any Company Form 8-K that disclosed any material non-public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1035685</wp:posOffset>
            </wp:positionV>
            <wp:extent cx="925830" cy="26543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92583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auto"/>
        </w:rPr>
        <w:t>72</w:t>
      </w:r>
      <w:r>
        <w:rPr>
          <w:sz w:val="20"/>
          <w:szCs w:val="20"/>
          <w:color w:val="auto"/>
        </w:rPr>
        <w:tab/>
      </w:r>
      <w:r>
        <w:rPr>
          <w:rFonts w:ascii="Arial" w:cs="Arial" w:eastAsia="Arial" w:hAnsi="Arial"/>
          <w:sz w:val="12"/>
          <w:szCs w:val="12"/>
          <w:b w:val="1"/>
          <w:bCs w:val="1"/>
          <w:color w:val="FF7F32"/>
        </w:rPr>
        <w:t xml:space="preserve">2026 </w:t>
      </w:r>
      <w:r>
        <w:rPr>
          <w:rFonts w:ascii="Arial" w:cs="Arial" w:eastAsia="Arial" w:hAnsi="Arial"/>
          <w:sz w:val="12"/>
          <w:szCs w:val="12"/>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75" w:name="page76"/>
    <w:bookmarkEnd w:id="75"/>
    <w:p>
      <w:pPr>
        <w:spacing w:after="0"/>
        <w:rPr>
          <w:sz w:val="20"/>
          <w:szCs w:val="20"/>
          <w:color w:val="auto"/>
        </w:rPr>
      </w:pPr>
      <w:r>
        <w:rPr>
          <w:rFonts w:ascii="Arial" w:cs="Arial" w:eastAsia="Arial" w:hAnsi="Arial"/>
          <w:sz w:val="13"/>
          <w:szCs w:val="13"/>
          <w:color w:val="auto"/>
        </w:rPr>
        <w:t>Executive Compensation Tables and Related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601980</wp:posOffset>
            </wp:positionV>
            <wp:extent cx="7132320" cy="111442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32320"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auto"/>
        </w:rPr>
        <w:t>Proposal 3</w:t>
      </w:r>
    </w:p>
    <w:p>
      <w:pPr>
        <w:spacing w:after="0" w:line="48" w:lineRule="exact"/>
        <w:rPr>
          <w:sz w:val="20"/>
          <w:szCs w:val="20"/>
          <w:color w:val="auto"/>
        </w:rPr>
      </w:pPr>
    </w:p>
    <w:p>
      <w:pPr>
        <w:ind w:left="280" w:right="1240"/>
        <w:spacing w:after="0" w:line="326" w:lineRule="auto"/>
        <w:rPr>
          <w:sz w:val="20"/>
          <w:szCs w:val="20"/>
          <w:color w:val="auto"/>
        </w:rPr>
      </w:pPr>
      <w:r>
        <w:rPr>
          <w:rFonts w:ascii="Arial" w:cs="Arial" w:eastAsia="Arial" w:hAnsi="Arial"/>
          <w:sz w:val="36"/>
          <w:szCs w:val="36"/>
          <w:color w:val="auto"/>
        </w:rPr>
        <w:t>Ratification of Appointment of Independent Registered Public Accountants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32"/>
          <w:szCs w:val="32"/>
          <w:b w:val="1"/>
          <w:bCs w:val="1"/>
          <w:color w:val="202945"/>
        </w:rPr>
        <w:t>Engagement of Deloitte</w:t>
      </w:r>
    </w:p>
    <w:p>
      <w:pPr>
        <w:spacing w:after="0" w:line="229"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The Audit and Risk Committee appointed Deloitte to serve as the Company’s independent registered public accounting firm for fiscal year 2026. The shareholders will be asked to ratify this appointment at the Annual Meeting. A representative of Deloitte is expected to be present at the Annual Meeting and will have the opportunity to make a statement, if desired, and is expected to be available to respond to appropriate questions.</w:t>
      </w:r>
    </w:p>
    <w:p>
      <w:pPr>
        <w:spacing w:after="0" w:line="84" w:lineRule="exact"/>
        <w:rPr>
          <w:sz w:val="20"/>
          <w:szCs w:val="20"/>
          <w:color w:val="auto"/>
        </w:rPr>
      </w:pPr>
    </w:p>
    <w:p>
      <w:pPr>
        <w:ind w:right="40"/>
        <w:spacing w:after="0" w:line="374" w:lineRule="auto"/>
        <w:rPr>
          <w:sz w:val="20"/>
          <w:szCs w:val="20"/>
          <w:color w:val="auto"/>
        </w:rPr>
      </w:pPr>
      <w:r>
        <w:rPr>
          <w:rFonts w:ascii="Arial" w:cs="Arial" w:eastAsia="Arial" w:hAnsi="Arial"/>
          <w:sz w:val="16"/>
          <w:szCs w:val="16"/>
          <w:color w:val="auto"/>
        </w:rPr>
        <w:t>The following resolution concerning the appointment of the independent registered public accounting firm will be presented to the shareholders at the Annual Meeting:</w:t>
      </w:r>
    </w:p>
    <w:p>
      <w:pPr>
        <w:spacing w:after="0" w:line="34" w:lineRule="exact"/>
        <w:rPr>
          <w:sz w:val="20"/>
          <w:szCs w:val="20"/>
          <w:color w:val="auto"/>
        </w:rPr>
      </w:pPr>
    </w:p>
    <w:p>
      <w:pPr>
        <w:ind w:left="340" w:right="80"/>
        <w:spacing w:after="0" w:line="356" w:lineRule="auto"/>
        <w:rPr>
          <w:sz w:val="20"/>
          <w:szCs w:val="20"/>
          <w:color w:val="auto"/>
        </w:rPr>
      </w:pPr>
      <w:r>
        <w:rPr>
          <w:rFonts w:ascii="Arial" w:cs="Arial" w:eastAsia="Arial" w:hAnsi="Arial"/>
          <w:sz w:val="16"/>
          <w:szCs w:val="16"/>
          <w:color w:val="auto"/>
        </w:rPr>
        <w:t>RESOLVED, that the appointment by the Audit and Risk Committee of the Board of Directors of the Company of Deloitte, independent registered public accounting firm, to perform independent audit services for the fiscal year ending June 30, 2026 is hereby ratified and approved.</w:t>
      </w:r>
    </w:p>
    <w:p>
      <w:pPr>
        <w:spacing w:after="0" w:line="48" w:lineRule="exact"/>
        <w:rPr>
          <w:sz w:val="20"/>
          <w:szCs w:val="20"/>
          <w:color w:val="auto"/>
        </w:rPr>
      </w:pPr>
    </w:p>
    <w:p>
      <w:pPr>
        <w:ind w:right="20"/>
        <w:spacing w:after="0" w:line="336" w:lineRule="auto"/>
        <w:rPr>
          <w:sz w:val="20"/>
          <w:szCs w:val="20"/>
          <w:color w:val="auto"/>
        </w:rPr>
      </w:pPr>
      <w:r>
        <w:rPr>
          <w:rFonts w:ascii="Arial" w:cs="Arial" w:eastAsia="Arial" w:hAnsi="Arial"/>
          <w:sz w:val="16"/>
          <w:szCs w:val="16"/>
          <w:color w:val="auto"/>
        </w:rPr>
        <w:t>The affirmative vote of a majority of the votes cast by all holders of the issued and outstanding shares of Common Stock and Series A Preferred Stock voting together (with each share of Common Stock entitled to one vote and each share of Series A Preferred Stock entitled to 0.1988 of a vote, with any fractional vote being rounded to the nearest whole number) is required for ratification of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77978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32320" cy="779780"/>
                    </a:xfrm>
                    <a:prstGeom prst="rect">
                      <a:avLst/>
                    </a:prstGeom>
                    <a:noFill/>
                  </pic:spPr>
                </pic:pic>
              </a:graphicData>
            </a:graphic>
          </wp:anchor>
        </w:drawing>
      </w:r>
    </w:p>
    <w:p>
      <w:pPr>
        <w:spacing w:after="0" w:line="281" w:lineRule="exact"/>
        <w:rPr>
          <w:sz w:val="20"/>
          <w:szCs w:val="20"/>
          <w:color w:val="auto"/>
        </w:rPr>
      </w:pPr>
    </w:p>
    <w:p>
      <w:pPr>
        <w:jc w:val="center"/>
        <w:ind w:left="340" w:right="600"/>
        <w:spacing w:after="0" w:line="326" w:lineRule="auto"/>
        <w:rPr>
          <w:sz w:val="20"/>
          <w:szCs w:val="20"/>
          <w:color w:val="auto"/>
        </w:rPr>
      </w:pPr>
      <w:r>
        <w:rPr>
          <w:rFonts w:ascii="Arial" w:cs="Arial" w:eastAsia="Arial" w:hAnsi="Arial"/>
          <w:sz w:val="29"/>
          <w:szCs w:val="29"/>
          <w:color w:val="auto"/>
        </w:rPr>
        <w:t xml:space="preserve">The Board of Directors recommends that you vote </w:t>
      </w:r>
      <w:r>
        <w:rPr>
          <w:rFonts w:ascii="Arial" w:cs="Arial" w:eastAsia="Arial" w:hAnsi="Arial"/>
          <w:sz w:val="29"/>
          <w:szCs w:val="29"/>
          <w:b w:val="1"/>
          <w:bCs w:val="1"/>
          <w:color w:val="FF7F32"/>
        </w:rPr>
        <w:t>“FOR”</w:t>
      </w:r>
      <w:r>
        <w:rPr>
          <w:rFonts w:ascii="Arial" w:cs="Arial" w:eastAsia="Arial" w:hAnsi="Arial"/>
          <w:sz w:val="29"/>
          <w:szCs w:val="29"/>
          <w:color w:val="auto"/>
        </w:rPr>
        <w:t xml:space="preserve"> the ratification of the proposal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457835</wp:posOffset>
            </wp:positionV>
            <wp:extent cx="925830" cy="26606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925830"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b w:val="1"/>
                <w:bCs w:val="1"/>
                <w:color w:val="FF7F32"/>
              </w:rPr>
              <w:t xml:space="preserve">2026 </w:t>
            </w:r>
            <w:r>
              <w:rPr>
                <w:rFonts w:ascii="Arial" w:cs="Arial" w:eastAsia="Arial" w:hAnsi="Arial"/>
                <w:sz w:val="13"/>
                <w:szCs w:val="13"/>
                <w:color w:val="000000"/>
              </w:rPr>
              <w:t>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auto"/>
              </w:rPr>
              <w:t>73</w:t>
            </w:r>
          </w:p>
        </w:tc>
      </w:tr>
      <w:tr>
        <w:trPr>
          <w:trHeight w:val="420"/>
        </w:trPr>
        <w:tc>
          <w:tcPr>
            <w:tcW w:w="618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3"/>
          <w:szCs w:val="13"/>
          <w:color w:val="auto"/>
        </w:rPr>
        <w:t>Executive Compensation Tables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50"/>
          <w:szCs w:val="50"/>
          <w:b w:val="1"/>
          <w:bCs w:val="1"/>
          <w:color w:val="FF7F32"/>
        </w:rPr>
        <w:t>Audit Matters</w:t>
      </w:r>
    </w:p>
    <w:p>
      <w:pPr>
        <w:spacing w:after="0" w:line="240" w:lineRule="exact"/>
        <w:rPr>
          <w:sz w:val="20"/>
          <w:szCs w:val="20"/>
          <w:color w:val="auto"/>
        </w:rPr>
      </w:pPr>
    </w:p>
    <w:p>
      <w:pPr>
        <w:spacing w:after="0"/>
        <w:rPr>
          <w:sz w:val="20"/>
          <w:szCs w:val="20"/>
          <w:color w:val="auto"/>
        </w:rPr>
      </w:pPr>
      <w:r>
        <w:rPr>
          <w:rFonts w:ascii="Arial" w:cs="Arial" w:eastAsia="Arial" w:hAnsi="Arial"/>
          <w:sz w:val="32"/>
          <w:szCs w:val="32"/>
          <w:b w:val="1"/>
          <w:bCs w:val="1"/>
          <w:color w:val="202945"/>
        </w:rPr>
        <w:t>Principal Accountant Fees and Services</w:t>
      </w:r>
    </w:p>
    <w:p>
      <w:pPr>
        <w:spacing w:after="0" w:line="101" w:lineRule="exact"/>
        <w:rPr>
          <w:sz w:val="20"/>
          <w:szCs w:val="20"/>
          <w:color w:val="auto"/>
        </w:rPr>
      </w:pPr>
    </w:p>
    <w:p>
      <w:pPr>
        <w:spacing w:after="0"/>
        <w:rPr>
          <w:sz w:val="20"/>
          <w:szCs w:val="20"/>
          <w:color w:val="auto"/>
        </w:rPr>
      </w:pPr>
      <w:r>
        <w:rPr>
          <w:rFonts w:ascii="Arial" w:cs="Arial" w:eastAsia="Arial" w:hAnsi="Arial"/>
          <w:sz w:val="29"/>
          <w:szCs w:val="29"/>
          <w:b w:val="1"/>
          <w:bCs w:val="1"/>
          <w:color w:val="FF7F32"/>
        </w:rPr>
        <w:t>Audit Fees</w:t>
      </w:r>
    </w:p>
    <w:p>
      <w:pPr>
        <w:spacing w:after="0" w:line="105" w:lineRule="exact"/>
        <w:rPr>
          <w:sz w:val="20"/>
          <w:szCs w:val="20"/>
          <w:color w:val="auto"/>
        </w:rPr>
      </w:pPr>
    </w:p>
    <w:p>
      <w:pPr>
        <w:ind w:right="240"/>
        <w:spacing w:after="0" w:line="319" w:lineRule="auto"/>
        <w:rPr>
          <w:sz w:val="20"/>
          <w:szCs w:val="20"/>
          <w:color w:val="auto"/>
        </w:rPr>
      </w:pPr>
      <w:r>
        <w:rPr>
          <w:rFonts w:ascii="Arial" w:cs="Arial" w:eastAsia="Arial" w:hAnsi="Arial"/>
          <w:sz w:val="16"/>
          <w:szCs w:val="16"/>
          <w:color w:val="auto"/>
        </w:rPr>
        <w:t>Audit fees consisted of fees for the audit of our annual financial statements, review of quarterly financial statements and the audit of internal control over financial reporting, as well as services normally provided in connection with statutory and regulatory filings or engagements, consents and assistance with and reviews of Company documents filed with the Securities and Exchange Commission.</w:t>
      </w:r>
    </w:p>
    <w:p>
      <w:pPr>
        <w:spacing w:after="0" w:line="238" w:lineRule="exact"/>
        <w:rPr>
          <w:sz w:val="20"/>
          <w:szCs w:val="20"/>
          <w:color w:val="auto"/>
        </w:rPr>
      </w:pPr>
    </w:p>
    <w:p>
      <w:pPr>
        <w:jc w:val="both"/>
        <w:ind w:right="360"/>
        <w:spacing w:after="0" w:line="248" w:lineRule="auto"/>
        <w:rPr>
          <w:sz w:val="20"/>
          <w:szCs w:val="20"/>
          <w:color w:val="auto"/>
        </w:rPr>
      </w:pPr>
      <w:r>
        <w:rPr>
          <w:rFonts w:ascii="Arial" w:cs="Arial" w:eastAsia="Arial" w:hAnsi="Arial"/>
          <w:sz w:val="16"/>
          <w:szCs w:val="16"/>
          <w:color w:val="auto"/>
        </w:rPr>
        <w:t>Our independent registered public accounting firm, Deloitte &amp; Touche LLP (“Deloitte”), billed us aggregate fees in the amount of $2,513,152 for the fiscal year ended June 30, 2025 in connection with services rendered. Audit fees by our independent registered public accounting firm, Deloitte, amounted to $2,641,236 in connection with services rendered for the fiscal year ended June 30, 2024.</w:t>
      </w:r>
    </w:p>
    <w:p>
      <w:pPr>
        <w:spacing w:after="0" w:line="307" w:lineRule="exact"/>
        <w:rPr>
          <w:sz w:val="20"/>
          <w:szCs w:val="20"/>
          <w:color w:val="auto"/>
        </w:rPr>
      </w:pPr>
    </w:p>
    <w:p>
      <w:pPr>
        <w:ind w:right="300"/>
        <w:spacing w:after="0" w:line="339" w:lineRule="auto"/>
        <w:rPr>
          <w:sz w:val="20"/>
          <w:szCs w:val="20"/>
          <w:color w:val="auto"/>
        </w:rPr>
      </w:pPr>
      <w:r>
        <w:rPr>
          <w:rFonts w:ascii="Arial" w:cs="Arial" w:eastAsia="Arial" w:hAnsi="Arial"/>
          <w:sz w:val="16"/>
          <w:szCs w:val="16"/>
          <w:color w:val="auto"/>
        </w:rPr>
        <w:t>In connection with BDO USA, P.C. (“BDO”)’s consent to the use of their audit opinion over the years ended June 30, 2022 and June 30, 2023 in our 2024 and 2025 annual financial statements, our former independent registered public accounting firm, BDO, billed us $375,000 and $250,000, respectively.</w:t>
      </w:r>
    </w:p>
    <w:p>
      <w:pPr>
        <w:spacing w:after="0" w:line="243" w:lineRule="exact"/>
        <w:rPr>
          <w:sz w:val="20"/>
          <w:szCs w:val="20"/>
          <w:color w:val="auto"/>
        </w:rPr>
      </w:pPr>
    </w:p>
    <w:p>
      <w:pPr>
        <w:spacing w:after="0"/>
        <w:rPr>
          <w:sz w:val="20"/>
          <w:szCs w:val="20"/>
          <w:color w:val="auto"/>
        </w:rPr>
      </w:pPr>
      <w:r>
        <w:rPr>
          <w:rFonts w:ascii="Arial" w:cs="Arial" w:eastAsia="Arial" w:hAnsi="Arial"/>
          <w:sz w:val="29"/>
          <w:szCs w:val="29"/>
          <w:b w:val="1"/>
          <w:bCs w:val="1"/>
          <w:color w:val="FF7F32"/>
        </w:rPr>
        <w:t>Audit-Related Fees</w:t>
      </w:r>
    </w:p>
    <w:p>
      <w:pPr>
        <w:spacing w:after="0" w:line="105" w:lineRule="exact"/>
        <w:rPr>
          <w:sz w:val="20"/>
          <w:szCs w:val="20"/>
          <w:color w:val="auto"/>
        </w:rPr>
      </w:pPr>
    </w:p>
    <w:p>
      <w:pPr>
        <w:jc w:val="both"/>
        <w:ind w:right="160"/>
        <w:spacing w:after="0" w:line="310" w:lineRule="auto"/>
        <w:rPr>
          <w:sz w:val="20"/>
          <w:szCs w:val="20"/>
          <w:color w:val="auto"/>
        </w:rPr>
      </w:pPr>
      <w:r>
        <w:rPr>
          <w:rFonts w:ascii="Arial" w:cs="Arial" w:eastAsia="Arial" w:hAnsi="Arial"/>
          <w:sz w:val="16"/>
          <w:szCs w:val="16"/>
          <w:color w:val="auto"/>
        </w:rPr>
        <w:t>Audit-related fees consisted of fees for the audit of the Company’s 401(k) retirement plan, services associated with the merger proxy statements and work paper access reviews for due diligence. Our independent registered public accounting firm, Deloitte, billed us aggregate fees in the amount of $28,228 and $30,000 for the fiscal years ended June 30, 2025 and 2024, respectively for services rendered for the 401(k) retirement plan.</w:t>
      </w:r>
    </w:p>
    <w:p>
      <w:pPr>
        <w:spacing w:after="0" w:line="3" w:lineRule="exact"/>
        <w:rPr>
          <w:sz w:val="20"/>
          <w:szCs w:val="20"/>
          <w:color w:val="auto"/>
        </w:rPr>
      </w:pPr>
    </w:p>
    <w:p>
      <w:pPr>
        <w:jc w:val="both"/>
        <w:ind w:right="120"/>
        <w:spacing w:after="0" w:line="305" w:lineRule="auto"/>
        <w:rPr>
          <w:sz w:val="20"/>
          <w:szCs w:val="20"/>
          <w:color w:val="auto"/>
        </w:rPr>
      </w:pPr>
      <w:r>
        <w:rPr>
          <w:rFonts w:ascii="Arial" w:cs="Arial" w:eastAsia="Arial" w:hAnsi="Arial"/>
          <w:sz w:val="16"/>
          <w:szCs w:val="16"/>
          <w:color w:val="auto"/>
        </w:rPr>
        <w:t>The Company paid $75,000 to our independent registered public accounting firm, Deloitte, for services associated with the merger proxy statements during the fiscal year ended June 30, 2025. The Company paid $50,000 to our former independent registered public accounting firm, BDO, for services associated with the merger proxy statements during the fiscal year ended June 30, 2025.</w:t>
      </w:r>
    </w:p>
    <w:p>
      <w:pPr>
        <w:spacing w:after="0" w:line="1" w:lineRule="exact"/>
        <w:rPr>
          <w:sz w:val="20"/>
          <w:szCs w:val="20"/>
          <w:color w:val="auto"/>
        </w:rPr>
      </w:pPr>
    </w:p>
    <w:p>
      <w:pPr>
        <w:ind w:right="400"/>
        <w:spacing w:after="0" w:line="339" w:lineRule="auto"/>
        <w:rPr>
          <w:sz w:val="20"/>
          <w:szCs w:val="20"/>
          <w:color w:val="auto"/>
        </w:rPr>
      </w:pPr>
      <w:r>
        <w:rPr>
          <w:rFonts w:ascii="Arial" w:cs="Arial" w:eastAsia="Arial" w:hAnsi="Arial"/>
          <w:sz w:val="16"/>
          <w:szCs w:val="16"/>
          <w:color w:val="auto"/>
        </w:rPr>
        <w:t>The Company paid $50,000 to our independent registered public accounting firm, Deloitte, associated with work paper access reviews for due diligence during the fiscal year ended June 30, 2025.</w:t>
      </w:r>
    </w:p>
    <w:p>
      <w:pPr>
        <w:spacing w:after="0" w:line="243" w:lineRule="exact"/>
        <w:rPr>
          <w:sz w:val="20"/>
          <w:szCs w:val="20"/>
          <w:color w:val="auto"/>
        </w:rPr>
      </w:pPr>
    </w:p>
    <w:p>
      <w:pPr>
        <w:spacing w:after="0"/>
        <w:rPr>
          <w:sz w:val="20"/>
          <w:szCs w:val="20"/>
          <w:color w:val="auto"/>
        </w:rPr>
      </w:pPr>
      <w:r>
        <w:rPr>
          <w:rFonts w:ascii="Arial" w:cs="Arial" w:eastAsia="Arial" w:hAnsi="Arial"/>
          <w:sz w:val="29"/>
          <w:szCs w:val="29"/>
          <w:b w:val="1"/>
          <w:bCs w:val="1"/>
          <w:color w:val="FF7F32"/>
        </w:rPr>
        <w:t>Tax Fees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There were no tax fees billed to us by Deloitte and BDO, during the fiscal years ended June 30, 2025 and 2024.</w:t>
      </w:r>
    </w:p>
    <w:p>
      <w:pPr>
        <w:spacing w:after="0" w:line="350" w:lineRule="exact"/>
        <w:rPr>
          <w:sz w:val="20"/>
          <w:szCs w:val="20"/>
          <w:color w:val="auto"/>
        </w:rPr>
      </w:pPr>
    </w:p>
    <w:p>
      <w:pPr>
        <w:spacing w:after="0"/>
        <w:rPr>
          <w:sz w:val="20"/>
          <w:szCs w:val="20"/>
          <w:color w:val="auto"/>
        </w:rPr>
      </w:pPr>
      <w:r>
        <w:rPr>
          <w:rFonts w:ascii="Arial" w:cs="Arial" w:eastAsia="Arial" w:hAnsi="Arial"/>
          <w:sz w:val="29"/>
          <w:szCs w:val="29"/>
          <w:b w:val="1"/>
          <w:bCs w:val="1"/>
          <w:color w:val="FF7F32"/>
        </w:rPr>
        <w:t>All Other Fees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There were no fees paid to either firm for the year ended June 30, 2025 and 2024.</w:t>
      </w:r>
    </w:p>
    <w:p>
      <w:pPr>
        <w:spacing w:after="0" w:line="350" w:lineRule="exact"/>
        <w:rPr>
          <w:sz w:val="20"/>
          <w:szCs w:val="20"/>
          <w:color w:val="auto"/>
        </w:rPr>
      </w:pPr>
    </w:p>
    <w:p>
      <w:pPr>
        <w:spacing w:after="0"/>
        <w:rPr>
          <w:sz w:val="20"/>
          <w:szCs w:val="20"/>
          <w:color w:val="auto"/>
        </w:rPr>
      </w:pPr>
      <w:r>
        <w:rPr>
          <w:rFonts w:ascii="Arial" w:cs="Arial" w:eastAsia="Arial" w:hAnsi="Arial"/>
          <w:sz w:val="29"/>
          <w:szCs w:val="29"/>
          <w:b w:val="1"/>
          <w:bCs w:val="1"/>
          <w:color w:val="FF7F32"/>
        </w:rPr>
        <w:t>Additional Information</w:t>
      </w:r>
    </w:p>
    <w:p>
      <w:pPr>
        <w:spacing w:after="0" w:line="186" w:lineRule="exact"/>
        <w:rPr>
          <w:sz w:val="20"/>
          <w:szCs w:val="20"/>
          <w:color w:val="auto"/>
        </w:rPr>
      </w:pPr>
    </w:p>
    <w:p>
      <w:pPr>
        <w:ind w:right="380"/>
        <w:spacing w:after="0" w:line="356" w:lineRule="auto"/>
        <w:rPr>
          <w:sz w:val="20"/>
          <w:szCs w:val="20"/>
          <w:color w:val="auto"/>
        </w:rPr>
      </w:pPr>
      <w:r>
        <w:rPr>
          <w:rFonts w:ascii="Arial" w:cs="Arial" w:eastAsia="Arial" w:hAnsi="Arial"/>
          <w:sz w:val="16"/>
          <w:szCs w:val="16"/>
          <w:color w:val="auto"/>
        </w:rPr>
        <w:t>The Audit and Risk Committee determined that the provision of services other than audit services by Deloitte was compatible with maintaining Deloitte’s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133985</wp:posOffset>
            </wp:positionV>
            <wp:extent cx="925830" cy="26606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925830" cy="266065"/>
                    </a:xfrm>
                    <a:prstGeom prst="rect">
                      <a:avLst/>
                    </a:prstGeom>
                    <a:noFill/>
                  </pic:spPr>
                </pic:pic>
              </a:graphicData>
            </a:graphic>
          </wp:anchor>
        </w:drawing>
      </w:r>
    </w:p>
    <w:p>
      <w:pPr>
        <w:spacing w:after="0" w:line="348"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auto"/>
        </w:rPr>
        <w:t>74</w:t>
      </w:r>
      <w:r>
        <w:rPr>
          <w:sz w:val="20"/>
          <w:szCs w:val="20"/>
          <w:color w:val="auto"/>
        </w:rPr>
        <w:tab/>
      </w:r>
      <w:r>
        <w:rPr>
          <w:rFonts w:ascii="Arial" w:cs="Arial" w:eastAsia="Arial" w:hAnsi="Arial"/>
          <w:sz w:val="12"/>
          <w:szCs w:val="12"/>
          <w:b w:val="1"/>
          <w:bCs w:val="1"/>
          <w:color w:val="FF7F32"/>
        </w:rPr>
        <w:t xml:space="preserve">2026 </w:t>
      </w:r>
      <w:r>
        <w:rPr>
          <w:rFonts w:ascii="Arial" w:cs="Arial" w:eastAsia="Arial" w:hAnsi="Arial"/>
          <w:sz w:val="12"/>
          <w:szCs w:val="12"/>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77" w:name="page78"/>
    <w:bookmarkEnd w:id="77"/>
    <w:p>
      <w:pPr>
        <w:spacing w:after="0"/>
        <w:rPr>
          <w:sz w:val="20"/>
          <w:szCs w:val="20"/>
          <w:color w:val="auto"/>
        </w:rPr>
      </w:pPr>
      <w:r>
        <w:rPr>
          <w:rFonts w:ascii="Arial" w:cs="Arial" w:eastAsia="Arial" w:hAnsi="Arial"/>
          <w:sz w:val="13"/>
          <w:szCs w:val="13"/>
          <w:color w:val="auto"/>
        </w:rPr>
        <w:t>Executive Compensation Tables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32"/>
          <w:szCs w:val="32"/>
          <w:b w:val="1"/>
          <w:bCs w:val="1"/>
          <w:color w:val="202945"/>
        </w:rPr>
        <w:t>Audit and Risk Committee Pre-Approval Policy</w:t>
      </w:r>
    </w:p>
    <w:p>
      <w:pPr>
        <w:spacing w:after="0" w:line="269" w:lineRule="exact"/>
        <w:rPr>
          <w:sz w:val="20"/>
          <w:szCs w:val="20"/>
          <w:color w:val="auto"/>
        </w:rPr>
      </w:pPr>
    </w:p>
    <w:p>
      <w:pPr>
        <w:ind w:right="80"/>
        <w:spacing w:after="0" w:line="330" w:lineRule="auto"/>
        <w:rPr>
          <w:sz w:val="20"/>
          <w:szCs w:val="20"/>
          <w:color w:val="auto"/>
        </w:rPr>
      </w:pPr>
      <w:r>
        <w:rPr>
          <w:rFonts w:ascii="Arial" w:cs="Arial" w:eastAsia="Arial" w:hAnsi="Arial"/>
          <w:sz w:val="16"/>
          <w:szCs w:val="16"/>
          <w:color w:val="auto"/>
        </w:rPr>
        <w:t>The Audit and Risk Committee’s policy is to pre-approve all audit and permissible non-audit services provided by the independent registered public accounting firm on a case-by-case basis. The Audit Committee has the authority to approve all audit engagement fees and terms and pre-approve all audit and permissible non-audit services provided by the Company’s independent registered public accounting firm. For fiscal 2025 and fiscal 2024, all of the fees included under the headings “Tax Fees” and “All Other Fees” above were pre-approved by the Audit Committee.</w:t>
      </w:r>
    </w:p>
    <w:p>
      <w:pPr>
        <w:spacing w:after="0" w:line="65" w:lineRule="exact"/>
        <w:rPr>
          <w:sz w:val="20"/>
          <w:szCs w:val="20"/>
          <w:color w:val="auto"/>
        </w:rPr>
      </w:pPr>
    </w:p>
    <w:p>
      <w:pPr>
        <w:spacing w:after="0"/>
        <w:rPr>
          <w:sz w:val="20"/>
          <w:szCs w:val="20"/>
          <w:color w:val="auto"/>
        </w:rPr>
      </w:pPr>
      <w:r>
        <w:rPr>
          <w:rFonts w:ascii="Arial" w:cs="Arial" w:eastAsia="Arial" w:hAnsi="Arial"/>
          <w:sz w:val="32"/>
          <w:szCs w:val="32"/>
          <w:b w:val="1"/>
          <w:bCs w:val="1"/>
          <w:color w:val="202945"/>
        </w:rPr>
        <w:t>Report of The Audit and Risk Committee</w:t>
      </w:r>
    </w:p>
    <w:p>
      <w:pPr>
        <w:spacing w:after="0" w:line="269" w:lineRule="exact"/>
        <w:rPr>
          <w:sz w:val="20"/>
          <w:szCs w:val="20"/>
          <w:color w:val="auto"/>
        </w:rPr>
      </w:pPr>
    </w:p>
    <w:p>
      <w:pPr>
        <w:ind w:right="140"/>
        <w:spacing w:after="0" w:line="330" w:lineRule="auto"/>
        <w:rPr>
          <w:sz w:val="20"/>
          <w:szCs w:val="20"/>
          <w:color w:val="auto"/>
        </w:rPr>
      </w:pPr>
      <w:r>
        <w:rPr>
          <w:rFonts w:ascii="Arial" w:cs="Arial" w:eastAsia="Arial" w:hAnsi="Arial"/>
          <w:sz w:val="16"/>
          <w:szCs w:val="16"/>
          <w:color w:val="auto"/>
        </w:rPr>
        <w:t>The Audit and Risk Committee’s (for purposes of this Report of the Audit and Risk Committee, “we,” “us,” or the “Committee”) primary responsibility is to assist the Board in fulfilling its responsibility to oversee and review the quality and integrity of the Company’s financial statements and internal controls over financial reporting, and the independent auditor’s qualifications and independence. Management has the primary responsibility for the preparation of the financial statements and establishing effective internal controls over financial reporting.</w:t>
      </w:r>
    </w:p>
    <w:p>
      <w:pPr>
        <w:spacing w:after="0" w:line="68" w:lineRule="exact"/>
        <w:rPr>
          <w:sz w:val="20"/>
          <w:szCs w:val="20"/>
          <w:color w:val="auto"/>
        </w:rPr>
      </w:pPr>
    </w:p>
    <w:p>
      <w:pPr>
        <w:ind w:right="120"/>
        <w:spacing w:after="0" w:line="331" w:lineRule="auto"/>
        <w:rPr>
          <w:sz w:val="20"/>
          <w:szCs w:val="20"/>
          <w:color w:val="auto"/>
        </w:rPr>
      </w:pPr>
      <w:r>
        <w:rPr>
          <w:rFonts w:ascii="Arial" w:cs="Arial" w:eastAsia="Arial" w:hAnsi="Arial"/>
          <w:sz w:val="16"/>
          <w:szCs w:val="16"/>
          <w:color w:val="auto"/>
        </w:rPr>
        <w:t>In the performance of its oversight function, the Audit and Risk Committee has reviewed and discussed the Company’s audited consolidated financial statements with management. We discussed with Deloitte, the Company’s independent registered public accounting firm, its audit of the Company’s consolidated financial statements and internal controls over financial report. We discussed with Deloitte the overall scope and plans for their audit. We have reviewed and discussed with management its process for preparing its report on its assessment of our internal controls over financial reporting, and at regular intervals we received updates on the status of this process and actions taken by management to respond to issues and deficiencies identified.</w:t>
      </w:r>
    </w:p>
    <w:p>
      <w:pPr>
        <w:spacing w:after="0" w:line="68" w:lineRule="exact"/>
        <w:rPr>
          <w:sz w:val="20"/>
          <w:szCs w:val="20"/>
          <w:color w:val="auto"/>
        </w:rPr>
      </w:pPr>
    </w:p>
    <w:p>
      <w:pPr>
        <w:ind w:right="160"/>
        <w:spacing w:after="0" w:line="330" w:lineRule="auto"/>
        <w:rPr>
          <w:sz w:val="20"/>
          <w:szCs w:val="20"/>
          <w:color w:val="auto"/>
        </w:rPr>
      </w:pPr>
      <w:r>
        <w:rPr>
          <w:rFonts w:ascii="Arial" w:cs="Arial" w:eastAsia="Arial" w:hAnsi="Arial"/>
          <w:sz w:val="16"/>
          <w:szCs w:val="16"/>
          <w:color w:val="auto"/>
        </w:rPr>
        <w:t>We have discussed with Deloitte the matters required to be discussed by the auditors with the Audit and Risk Committee under rules adopted by the Public Company Accounting Oversight Board (the “PCAOB”) and the SEC. We also received written disclosures and the letter from Deloitte regarding its independence as required by applicable requirements of the PCAOB regarding the independent accountant’s communications with the audit and Risk Committee concerning independence, and discussed with Deloitte its independence.</w:t>
      </w:r>
    </w:p>
    <w:p>
      <w:pPr>
        <w:spacing w:after="0" w:line="68" w:lineRule="exact"/>
        <w:rPr>
          <w:sz w:val="20"/>
          <w:szCs w:val="20"/>
          <w:color w:val="auto"/>
        </w:rPr>
      </w:pPr>
    </w:p>
    <w:p>
      <w:pPr>
        <w:ind w:right="60"/>
        <w:spacing w:after="0" w:line="348" w:lineRule="auto"/>
        <w:rPr>
          <w:sz w:val="20"/>
          <w:szCs w:val="20"/>
          <w:color w:val="auto"/>
        </w:rPr>
      </w:pPr>
      <w:r>
        <w:rPr>
          <w:rFonts w:ascii="Arial" w:cs="Arial" w:eastAsia="Arial" w:hAnsi="Arial"/>
          <w:sz w:val="16"/>
          <w:szCs w:val="16"/>
          <w:color w:val="auto"/>
        </w:rPr>
        <w:t>In reliance on the reviews and discussions referred to above, the Audit and Risk Committee recommended to the Board that the audited consolidated financial statements be included in the Company’s Annual Report for the fiscal year ended June 30, 2025 for filing with the SEC. We also evaluated and selected Deloitte as the Company’s independent auditor for the fiscal year ended June 30, 2026, which the shareholders will be asked to ratify at the Annual Meeting.</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Audit and Risk Committee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Shannon Warren (Chair)</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Ellen Richey</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Anne Smalling</w:t>
      </w:r>
    </w:p>
    <w:p>
      <w:pPr>
        <w:spacing w:after="0" w:line="237" w:lineRule="exact"/>
        <w:rPr>
          <w:sz w:val="20"/>
          <w:szCs w:val="20"/>
          <w:color w:val="auto"/>
        </w:rPr>
      </w:pPr>
    </w:p>
    <w:p>
      <w:pPr>
        <w:ind w:right="60"/>
        <w:spacing w:after="0" w:line="344" w:lineRule="auto"/>
        <w:rPr>
          <w:sz w:val="20"/>
          <w:szCs w:val="20"/>
          <w:color w:val="auto"/>
        </w:rPr>
      </w:pPr>
      <w:r>
        <w:rPr>
          <w:rFonts w:ascii="Arial" w:cs="Arial" w:eastAsia="Arial" w:hAnsi="Arial"/>
          <w:sz w:val="16"/>
          <w:szCs w:val="16"/>
          <w:i w:val="1"/>
          <w:iCs w:val="1"/>
          <w:color w:val="auto"/>
        </w:rPr>
        <w:t>The foregoing report and other information provided above regarding the Audit and Risk Committee should not be deemed incorporated by reference by any general statement incorporating by reference this proxy statement into any filing under the Securities Act or the Exchange Act, except to the extent that the Company specifically incorporates this information by reference, and shall not otherwise be deemed filed under the Securities Act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130810</wp:posOffset>
            </wp:positionV>
            <wp:extent cx="925830" cy="26543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925830" cy="265430"/>
                    </a:xfrm>
                    <a:prstGeom prst="rect">
                      <a:avLst/>
                    </a:prstGeom>
                    <a:noFill/>
                  </pic:spPr>
                </pic:pic>
              </a:graphicData>
            </a:graphic>
          </wp:anchor>
        </w:drawing>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b w:val="1"/>
                <w:bCs w:val="1"/>
                <w:color w:val="FF7F32"/>
              </w:rPr>
              <w:t xml:space="preserve">2026 </w:t>
            </w:r>
            <w:r>
              <w:rPr>
                <w:rFonts w:ascii="Arial" w:cs="Arial" w:eastAsia="Arial" w:hAnsi="Arial"/>
                <w:sz w:val="13"/>
                <w:szCs w:val="13"/>
                <w:color w:val="000000"/>
              </w:rPr>
              <w:t>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auto"/>
              </w:rPr>
              <w:t>75</w:t>
            </w:r>
          </w:p>
        </w:tc>
      </w:tr>
      <w:tr>
        <w:trPr>
          <w:trHeight w:val="420"/>
        </w:trPr>
        <w:tc>
          <w:tcPr>
            <w:tcW w:w="618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78" w:name="page79"/>
    <w:bookmarkEnd w:id="78"/>
    <w:p>
      <w:pPr>
        <w:spacing w:after="0"/>
        <w:rPr>
          <w:sz w:val="20"/>
          <w:szCs w:val="20"/>
          <w:color w:val="auto"/>
        </w:rPr>
      </w:pPr>
      <w:r>
        <w:rPr>
          <w:rFonts w:ascii="Arial" w:cs="Arial" w:eastAsia="Arial" w:hAnsi="Arial"/>
          <w:sz w:val="13"/>
          <w:szCs w:val="13"/>
          <w:color w:val="auto"/>
        </w:rPr>
        <w:t>Executive Compensation Tables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50"/>
          <w:szCs w:val="50"/>
          <w:b w:val="1"/>
          <w:bCs w:val="1"/>
          <w:color w:val="FF7F32"/>
        </w:rPr>
        <w:t>Stock Ownership Information</w:t>
      </w:r>
    </w:p>
    <w:p>
      <w:pPr>
        <w:spacing w:after="0" w:line="132" w:lineRule="exact"/>
        <w:rPr>
          <w:sz w:val="20"/>
          <w:szCs w:val="20"/>
          <w:color w:val="auto"/>
        </w:rPr>
      </w:pPr>
    </w:p>
    <w:p>
      <w:pPr>
        <w:spacing w:after="0"/>
        <w:rPr>
          <w:sz w:val="20"/>
          <w:szCs w:val="20"/>
          <w:color w:val="auto"/>
        </w:rPr>
      </w:pPr>
      <w:r>
        <w:rPr>
          <w:rFonts w:ascii="Arial" w:cs="Arial" w:eastAsia="Arial" w:hAnsi="Arial"/>
          <w:sz w:val="32"/>
          <w:szCs w:val="32"/>
          <w:b w:val="1"/>
          <w:bCs w:val="1"/>
          <w:color w:val="202945"/>
        </w:rPr>
        <w:t>Security Ownership of Certain Beneficial Owners and Management</w:t>
      </w:r>
    </w:p>
    <w:p>
      <w:pPr>
        <w:spacing w:after="0" w:line="79" w:lineRule="exact"/>
        <w:rPr>
          <w:sz w:val="20"/>
          <w:szCs w:val="20"/>
          <w:color w:val="auto"/>
        </w:rPr>
      </w:pPr>
    </w:p>
    <w:p>
      <w:pPr>
        <w:spacing w:after="0"/>
        <w:rPr>
          <w:sz w:val="20"/>
          <w:szCs w:val="20"/>
          <w:color w:val="auto"/>
        </w:rPr>
      </w:pPr>
      <w:r>
        <w:rPr>
          <w:rFonts w:ascii="Arial" w:cs="Arial" w:eastAsia="Arial" w:hAnsi="Arial"/>
          <w:sz w:val="29"/>
          <w:szCs w:val="29"/>
          <w:b w:val="1"/>
          <w:bCs w:val="1"/>
          <w:color w:val="FF7F32"/>
        </w:rPr>
        <w:t>Common Stock</w:t>
      </w:r>
    </w:p>
    <w:p>
      <w:pPr>
        <w:spacing w:after="0" w:line="59"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The following table sets forth, as of September 25, 2025, the beneficial ownership of the common stock of each of the Company’s directors, by the named executive officers included in the Fiscal Year 2025 Summary Compensation Table set forth above, by the Company’s directors, named executive officers and other executive officers as a group, and by the beneficial owners of more than 5% of the common stock. Except as otherwise indicated below, the Company believes that the beneficial owners of the common stock listed below, based on information furnished by such owners, have sole investment and voting power with respect to such shares, subject to community property laws where applicable:</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20" w:type="dxa"/>
            <w:vAlign w:val="bottom"/>
          </w:tcPr>
          <w:p>
            <w:pPr>
              <w:spacing w:after="0"/>
              <w:rPr>
                <w:sz w:val="17"/>
                <w:szCs w:val="17"/>
                <w:color w:val="auto"/>
              </w:rPr>
            </w:pPr>
          </w:p>
        </w:tc>
        <w:tc>
          <w:tcPr>
            <w:tcW w:w="2400" w:type="dxa"/>
            <w:vAlign w:val="bottom"/>
          </w:tcPr>
          <w:p>
            <w:pPr>
              <w:jc w:val="right"/>
              <w:ind w:right="328"/>
              <w:spacing w:after="0"/>
              <w:rPr>
                <w:sz w:val="20"/>
                <w:szCs w:val="20"/>
                <w:color w:val="auto"/>
              </w:rPr>
            </w:pPr>
            <w:r>
              <w:rPr>
                <w:rFonts w:ascii="Arial" w:cs="Arial" w:eastAsia="Arial" w:hAnsi="Arial"/>
                <w:sz w:val="14"/>
                <w:szCs w:val="14"/>
                <w:b w:val="1"/>
                <w:bCs w:val="1"/>
                <w:color w:val="404040"/>
              </w:rPr>
              <w:t>Number of</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spacing w:after="0"/>
              <w:rPr>
                <w:sz w:val="17"/>
                <w:szCs w:val="17"/>
                <w:color w:val="auto"/>
              </w:rPr>
            </w:pPr>
          </w:p>
        </w:tc>
        <w:tc>
          <w:tcPr>
            <w:tcW w:w="2400" w:type="dxa"/>
            <w:vAlign w:val="bottom"/>
          </w:tcPr>
          <w:p>
            <w:pPr>
              <w:jc w:val="right"/>
              <w:ind w:right="328"/>
              <w:spacing w:after="0"/>
              <w:rPr>
                <w:sz w:val="20"/>
                <w:szCs w:val="20"/>
                <w:color w:val="auto"/>
              </w:rPr>
            </w:pPr>
            <w:r>
              <w:rPr>
                <w:rFonts w:ascii="Arial" w:cs="Arial" w:eastAsia="Arial" w:hAnsi="Arial"/>
                <w:sz w:val="14"/>
                <w:szCs w:val="14"/>
                <w:b w:val="1"/>
                <w:bCs w:val="1"/>
                <w:color w:val="404040"/>
              </w:rPr>
              <w:t>Shares of</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spacing w:after="0"/>
              <w:rPr>
                <w:sz w:val="17"/>
                <w:szCs w:val="17"/>
                <w:color w:val="auto"/>
              </w:rPr>
            </w:pPr>
          </w:p>
        </w:tc>
        <w:tc>
          <w:tcPr>
            <w:tcW w:w="2400" w:type="dxa"/>
            <w:vAlign w:val="bottom"/>
          </w:tcPr>
          <w:p>
            <w:pPr>
              <w:jc w:val="right"/>
              <w:ind w:right="328"/>
              <w:spacing w:after="0"/>
              <w:rPr>
                <w:sz w:val="20"/>
                <w:szCs w:val="20"/>
                <w:color w:val="auto"/>
              </w:rPr>
            </w:pPr>
            <w:r>
              <w:rPr>
                <w:rFonts w:ascii="Arial" w:cs="Arial" w:eastAsia="Arial" w:hAnsi="Arial"/>
                <w:sz w:val="14"/>
                <w:szCs w:val="14"/>
                <w:b w:val="1"/>
                <w:bCs w:val="1"/>
                <w:color w:val="404040"/>
              </w:rPr>
              <w:t>Common Stock</w:t>
            </w: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404040"/>
              </w:rPr>
              <w:t>Percent of</w:t>
            </w:r>
          </w:p>
        </w:tc>
        <w:tc>
          <w:tcPr>
            <w:tcW w:w="0" w:type="dxa"/>
            <w:vAlign w:val="bottom"/>
          </w:tcPr>
          <w:p>
            <w:pPr>
              <w:spacing w:after="0"/>
              <w:rPr>
                <w:sz w:val="1"/>
                <w:szCs w:val="1"/>
                <w:color w:val="auto"/>
              </w:rPr>
            </w:pPr>
          </w:p>
        </w:tc>
      </w:tr>
      <w:tr>
        <w:trPr>
          <w:trHeight w:val="195"/>
        </w:trPr>
        <w:tc>
          <w:tcPr>
            <w:tcW w:w="7720" w:type="dxa"/>
            <w:vAlign w:val="bottom"/>
          </w:tcPr>
          <w:p>
            <w:pPr>
              <w:spacing w:after="0"/>
              <w:rPr>
                <w:sz w:val="16"/>
                <w:szCs w:val="16"/>
                <w:color w:val="auto"/>
              </w:rPr>
            </w:pPr>
          </w:p>
        </w:tc>
        <w:tc>
          <w:tcPr>
            <w:tcW w:w="2400" w:type="dxa"/>
            <w:vAlign w:val="bottom"/>
          </w:tcPr>
          <w:p>
            <w:pPr>
              <w:jc w:val="right"/>
              <w:ind w:right="328"/>
              <w:spacing w:after="0"/>
              <w:rPr>
                <w:sz w:val="20"/>
                <w:szCs w:val="20"/>
                <w:color w:val="auto"/>
              </w:rPr>
            </w:pPr>
            <w:r>
              <w:rPr>
                <w:rFonts w:ascii="Arial" w:cs="Arial" w:eastAsia="Arial" w:hAnsi="Arial"/>
                <w:sz w:val="14"/>
                <w:szCs w:val="14"/>
                <w:b w:val="1"/>
                <w:bCs w:val="1"/>
                <w:color w:val="404040"/>
              </w:rPr>
              <w:t>Beneficially</w:t>
            </w: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720" w:type="dxa"/>
            <w:vAlign w:val="bottom"/>
          </w:tcPr>
          <w:p>
            <w:pPr>
              <w:ind w:left="20"/>
              <w:spacing w:after="0"/>
              <w:rPr>
                <w:sz w:val="20"/>
                <w:szCs w:val="20"/>
                <w:color w:val="auto"/>
              </w:rPr>
            </w:pPr>
            <w:r>
              <w:rPr>
                <w:rFonts w:ascii="Arial" w:cs="Arial" w:eastAsia="Arial" w:hAnsi="Arial"/>
                <w:sz w:val="14"/>
                <w:szCs w:val="14"/>
                <w:b w:val="1"/>
                <w:bCs w:val="1"/>
                <w:color w:val="404040"/>
              </w:rPr>
              <w:t xml:space="preserve">Name of Beneficial Owner </w:t>
            </w:r>
            <w:r>
              <w:rPr>
                <w:rFonts w:ascii="Arial" w:cs="Arial" w:eastAsia="Arial" w:hAnsi="Arial"/>
                <w:sz w:val="9"/>
                <w:szCs w:val="9"/>
                <w:b w:val="1"/>
                <w:bCs w:val="1"/>
                <w:color w:val="404040"/>
              </w:rPr>
              <w:t>(1)</w:t>
            </w:r>
          </w:p>
        </w:tc>
        <w:tc>
          <w:tcPr>
            <w:tcW w:w="2400" w:type="dxa"/>
            <w:vAlign w:val="bottom"/>
          </w:tcPr>
          <w:p>
            <w:pPr>
              <w:jc w:val="right"/>
              <w:ind w:right="328"/>
              <w:spacing w:after="0"/>
              <w:rPr>
                <w:sz w:val="20"/>
                <w:szCs w:val="20"/>
                <w:color w:val="auto"/>
              </w:rPr>
            </w:pPr>
            <w:r>
              <w:rPr>
                <w:rFonts w:ascii="Arial" w:cs="Arial" w:eastAsia="Arial" w:hAnsi="Arial"/>
                <w:sz w:val="14"/>
                <w:szCs w:val="14"/>
                <w:b w:val="1"/>
                <w:bCs w:val="1"/>
                <w:color w:val="404040"/>
              </w:rPr>
              <w:t>Owned</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404040"/>
              </w:rPr>
              <w:t>Class</w:t>
            </w:r>
            <w:r>
              <w:rPr>
                <w:rFonts w:ascii="Arial" w:cs="Arial" w:eastAsia="Arial" w:hAnsi="Arial"/>
                <w:sz w:val="9"/>
                <w:szCs w:val="9"/>
                <w:b w:val="1"/>
                <w:bCs w:val="1"/>
                <w:color w:val="404040"/>
              </w:rPr>
              <w:t>(2)</w:t>
            </w:r>
          </w:p>
        </w:tc>
        <w:tc>
          <w:tcPr>
            <w:tcW w:w="0" w:type="dxa"/>
            <w:vAlign w:val="bottom"/>
          </w:tcPr>
          <w:p>
            <w:pPr>
              <w:spacing w:after="0"/>
              <w:rPr>
                <w:sz w:val="1"/>
                <w:szCs w:val="1"/>
                <w:color w:val="auto"/>
              </w:rPr>
            </w:pPr>
          </w:p>
        </w:tc>
      </w:tr>
      <w:tr>
        <w:trPr>
          <w:trHeight w:val="43"/>
        </w:trPr>
        <w:tc>
          <w:tcPr>
            <w:tcW w:w="7720" w:type="dxa"/>
            <w:vAlign w:val="bottom"/>
            <w:tcBorders>
              <w:bottom w:val="single" w:sz="8" w:color="D9D9D9"/>
            </w:tcBorders>
          </w:tcPr>
          <w:p>
            <w:pPr>
              <w:spacing w:after="0"/>
              <w:rPr>
                <w:sz w:val="3"/>
                <w:szCs w:val="3"/>
                <w:color w:val="auto"/>
              </w:rPr>
            </w:pPr>
          </w:p>
        </w:tc>
        <w:tc>
          <w:tcPr>
            <w:tcW w:w="2400" w:type="dxa"/>
            <w:vAlign w:val="bottom"/>
            <w:tcBorders>
              <w:bottom w:val="single" w:sz="8" w:color="D9D9D9"/>
            </w:tcBorders>
          </w:tcPr>
          <w:p>
            <w:pPr>
              <w:spacing w:after="0"/>
              <w:rPr>
                <w:sz w:val="3"/>
                <w:szCs w:val="3"/>
                <w:color w:val="auto"/>
              </w:rPr>
            </w:pPr>
          </w:p>
        </w:tc>
        <w:tc>
          <w:tcPr>
            <w:tcW w:w="1120" w:type="dxa"/>
            <w:vAlign w:val="bottom"/>
            <w:tcBorders>
              <w:bottom w:val="single" w:sz="8" w:color="D9D9D9"/>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7720" w:type="dxa"/>
            <w:vAlign w:val="bottom"/>
          </w:tcPr>
          <w:p>
            <w:pPr>
              <w:ind w:left="20"/>
              <w:spacing w:after="0"/>
              <w:rPr>
                <w:sz w:val="20"/>
                <w:szCs w:val="20"/>
                <w:color w:val="auto"/>
              </w:rPr>
            </w:pPr>
            <w:r>
              <w:rPr>
                <w:rFonts w:ascii="Arial" w:cs="Arial" w:eastAsia="Arial" w:hAnsi="Arial"/>
                <w:sz w:val="14"/>
                <w:szCs w:val="14"/>
                <w:b w:val="1"/>
                <w:bCs w:val="1"/>
                <w:color w:val="FF7F32"/>
              </w:rPr>
              <w:t xml:space="preserve">Douglas G. Bergeron </w:t>
            </w:r>
            <w:r>
              <w:rPr>
                <w:rFonts w:ascii="Arial" w:cs="Arial" w:eastAsia="Arial" w:hAnsi="Arial"/>
                <w:sz w:val="9"/>
                <w:szCs w:val="9"/>
                <w:b w:val="1"/>
                <w:bCs w:val="1"/>
                <w:color w:val="FF7F32"/>
              </w:rPr>
              <w:t>(3)</w:t>
            </w:r>
          </w:p>
        </w:tc>
        <w:tc>
          <w:tcPr>
            <w:tcW w:w="2400" w:type="dxa"/>
            <w:vAlign w:val="bottom"/>
          </w:tcPr>
          <w:p>
            <w:pPr>
              <w:jc w:val="right"/>
              <w:ind w:right="328"/>
              <w:spacing w:after="0"/>
              <w:rPr>
                <w:sz w:val="20"/>
                <w:szCs w:val="20"/>
                <w:color w:val="auto"/>
              </w:rPr>
            </w:pPr>
            <w:r>
              <w:rPr>
                <w:rFonts w:ascii="Arial" w:cs="Arial" w:eastAsia="Arial" w:hAnsi="Arial"/>
                <w:sz w:val="14"/>
                <w:szCs w:val="14"/>
                <w:color w:val="auto"/>
              </w:rPr>
              <w:t>1,152,559</w:t>
            </w:r>
          </w:p>
        </w:tc>
        <w:tc>
          <w:tcPr>
            <w:tcW w:w="112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69"/>
        </w:trPr>
        <w:tc>
          <w:tcPr>
            <w:tcW w:w="7720" w:type="dxa"/>
            <w:vAlign w:val="bottom"/>
            <w:tcBorders>
              <w:bottom w:val="single" w:sz="8" w:color="D9D9D9"/>
            </w:tcBorders>
          </w:tcPr>
          <w:p>
            <w:pPr>
              <w:spacing w:after="0"/>
              <w:rPr>
                <w:sz w:val="6"/>
                <w:szCs w:val="6"/>
                <w:color w:val="auto"/>
              </w:rPr>
            </w:pPr>
          </w:p>
        </w:tc>
        <w:tc>
          <w:tcPr>
            <w:tcW w:w="2400" w:type="dxa"/>
            <w:vAlign w:val="bottom"/>
            <w:tcBorders>
              <w:bottom w:val="single" w:sz="8" w:color="D9D9D9"/>
            </w:tcBorders>
          </w:tcPr>
          <w:p>
            <w:pPr>
              <w:spacing w:after="0"/>
              <w:rPr>
                <w:sz w:val="6"/>
                <w:szCs w:val="6"/>
                <w:color w:val="auto"/>
              </w:rPr>
            </w:pPr>
          </w:p>
        </w:tc>
        <w:tc>
          <w:tcPr>
            <w:tcW w:w="1120" w:type="dxa"/>
            <w:vAlign w:val="bottom"/>
            <w:tcBorders>
              <w:bottom w:val="single" w:sz="8" w:color="D9D9D9"/>
            </w:tcBorders>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7720" w:type="dxa"/>
            <w:vAlign w:val="bottom"/>
          </w:tcPr>
          <w:p>
            <w:pPr>
              <w:ind w:left="20"/>
              <w:spacing w:after="0"/>
              <w:rPr>
                <w:sz w:val="20"/>
                <w:szCs w:val="20"/>
                <w:color w:val="auto"/>
              </w:rPr>
            </w:pPr>
            <w:r>
              <w:rPr>
                <w:rFonts w:ascii="Arial" w:cs="Arial" w:eastAsia="Arial" w:hAnsi="Arial"/>
                <w:sz w:val="14"/>
                <w:szCs w:val="14"/>
                <w:b w:val="1"/>
                <w:bCs w:val="1"/>
                <w:color w:val="FF7F32"/>
              </w:rPr>
              <w:t>Lisa P. Baird</w:t>
            </w:r>
          </w:p>
        </w:tc>
        <w:tc>
          <w:tcPr>
            <w:tcW w:w="2400" w:type="dxa"/>
            <w:vAlign w:val="bottom"/>
          </w:tcPr>
          <w:p>
            <w:pPr>
              <w:jc w:val="right"/>
              <w:ind w:right="328"/>
              <w:spacing w:after="0"/>
              <w:rPr>
                <w:sz w:val="20"/>
                <w:szCs w:val="20"/>
                <w:color w:val="auto"/>
              </w:rPr>
            </w:pPr>
            <w:r>
              <w:rPr>
                <w:rFonts w:ascii="Arial" w:cs="Arial" w:eastAsia="Arial" w:hAnsi="Arial"/>
                <w:sz w:val="14"/>
                <w:szCs w:val="14"/>
                <w:color w:val="auto"/>
              </w:rPr>
              <w:t>217,319</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9"/>
        </w:trPr>
        <w:tc>
          <w:tcPr>
            <w:tcW w:w="7720" w:type="dxa"/>
            <w:vAlign w:val="bottom"/>
            <w:tcBorders>
              <w:bottom w:val="single" w:sz="8" w:color="D9D9D9"/>
            </w:tcBorders>
          </w:tcPr>
          <w:p>
            <w:pPr>
              <w:spacing w:after="0"/>
              <w:rPr>
                <w:sz w:val="6"/>
                <w:szCs w:val="6"/>
                <w:color w:val="auto"/>
              </w:rPr>
            </w:pPr>
          </w:p>
        </w:tc>
        <w:tc>
          <w:tcPr>
            <w:tcW w:w="2400" w:type="dxa"/>
            <w:vAlign w:val="bottom"/>
            <w:tcBorders>
              <w:bottom w:val="single" w:sz="8" w:color="D9D9D9"/>
            </w:tcBorders>
          </w:tcPr>
          <w:p>
            <w:pPr>
              <w:spacing w:after="0"/>
              <w:rPr>
                <w:sz w:val="6"/>
                <w:szCs w:val="6"/>
                <w:color w:val="auto"/>
              </w:rPr>
            </w:pPr>
          </w:p>
        </w:tc>
        <w:tc>
          <w:tcPr>
            <w:tcW w:w="1120" w:type="dxa"/>
            <w:vAlign w:val="bottom"/>
            <w:tcBorders>
              <w:bottom w:val="single" w:sz="8" w:color="D9D9D9"/>
            </w:tcBorders>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7720" w:type="dxa"/>
            <w:vAlign w:val="bottom"/>
          </w:tcPr>
          <w:p>
            <w:pPr>
              <w:ind w:left="20"/>
              <w:spacing w:after="0"/>
              <w:rPr>
                <w:sz w:val="20"/>
                <w:szCs w:val="20"/>
                <w:color w:val="auto"/>
              </w:rPr>
            </w:pPr>
            <w:r>
              <w:rPr>
                <w:rFonts w:ascii="Arial" w:cs="Arial" w:eastAsia="Arial" w:hAnsi="Arial"/>
                <w:sz w:val="14"/>
                <w:szCs w:val="14"/>
                <w:b w:val="1"/>
                <w:bCs w:val="1"/>
                <w:color w:val="FF7F32"/>
              </w:rPr>
              <w:t>Jeffrey Dumbrell</w:t>
            </w:r>
          </w:p>
        </w:tc>
        <w:tc>
          <w:tcPr>
            <w:tcW w:w="2400" w:type="dxa"/>
            <w:vAlign w:val="bottom"/>
          </w:tcPr>
          <w:p>
            <w:pPr>
              <w:jc w:val="right"/>
              <w:ind w:right="328"/>
              <w:spacing w:after="0"/>
              <w:rPr>
                <w:sz w:val="20"/>
                <w:szCs w:val="20"/>
                <w:color w:val="auto"/>
              </w:rPr>
            </w:pPr>
            <w:r>
              <w:rPr>
                <w:rFonts w:ascii="Arial" w:cs="Arial" w:eastAsia="Arial" w:hAnsi="Arial"/>
                <w:sz w:val="14"/>
                <w:szCs w:val="14"/>
                <w:color w:val="auto"/>
              </w:rPr>
              <w:t>609,142</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0"/>
        </w:trPr>
        <w:tc>
          <w:tcPr>
            <w:tcW w:w="7720" w:type="dxa"/>
            <w:vAlign w:val="bottom"/>
            <w:tcBorders>
              <w:bottom w:val="single" w:sz="8" w:color="D9D9D9"/>
            </w:tcBorders>
          </w:tcPr>
          <w:p>
            <w:pPr>
              <w:spacing w:after="0"/>
              <w:rPr>
                <w:sz w:val="6"/>
                <w:szCs w:val="6"/>
                <w:color w:val="auto"/>
              </w:rPr>
            </w:pPr>
          </w:p>
        </w:tc>
        <w:tc>
          <w:tcPr>
            <w:tcW w:w="2400" w:type="dxa"/>
            <w:vAlign w:val="bottom"/>
            <w:tcBorders>
              <w:bottom w:val="single" w:sz="8" w:color="D9D9D9"/>
            </w:tcBorders>
          </w:tcPr>
          <w:p>
            <w:pPr>
              <w:spacing w:after="0"/>
              <w:rPr>
                <w:sz w:val="6"/>
                <w:szCs w:val="6"/>
                <w:color w:val="auto"/>
              </w:rPr>
            </w:pPr>
          </w:p>
        </w:tc>
        <w:tc>
          <w:tcPr>
            <w:tcW w:w="1120" w:type="dxa"/>
            <w:vAlign w:val="bottom"/>
            <w:tcBorders>
              <w:bottom w:val="single" w:sz="8" w:color="D9D9D9"/>
            </w:tcBorders>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7720" w:type="dxa"/>
            <w:vAlign w:val="bottom"/>
          </w:tcPr>
          <w:p>
            <w:pPr>
              <w:ind w:left="20"/>
              <w:spacing w:after="0"/>
              <w:rPr>
                <w:sz w:val="20"/>
                <w:szCs w:val="20"/>
                <w:color w:val="auto"/>
              </w:rPr>
            </w:pPr>
            <w:r>
              <w:rPr>
                <w:rFonts w:ascii="Arial" w:cs="Arial" w:eastAsia="Arial" w:hAnsi="Arial"/>
                <w:sz w:val="14"/>
                <w:szCs w:val="14"/>
                <w:b w:val="1"/>
                <w:bCs w:val="1"/>
                <w:color w:val="FF7F32"/>
              </w:rPr>
              <w:t>Ian Harris</w:t>
            </w:r>
          </w:p>
        </w:tc>
        <w:tc>
          <w:tcPr>
            <w:tcW w:w="2400" w:type="dxa"/>
            <w:vAlign w:val="bottom"/>
          </w:tcPr>
          <w:p>
            <w:pPr>
              <w:jc w:val="right"/>
              <w:ind w:right="328"/>
              <w:spacing w:after="0"/>
              <w:rPr>
                <w:sz w:val="20"/>
                <w:szCs w:val="20"/>
                <w:color w:val="auto"/>
              </w:rPr>
            </w:pPr>
            <w:r>
              <w:rPr>
                <w:rFonts w:ascii="Arial" w:cs="Arial" w:eastAsia="Arial" w:hAnsi="Arial"/>
                <w:sz w:val="14"/>
                <w:szCs w:val="14"/>
                <w:color w:val="auto"/>
              </w:rPr>
              <w:t>275,375</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0"/>
        </w:trPr>
        <w:tc>
          <w:tcPr>
            <w:tcW w:w="7720" w:type="dxa"/>
            <w:vAlign w:val="bottom"/>
            <w:tcBorders>
              <w:bottom w:val="single" w:sz="8" w:color="D9D9D9"/>
            </w:tcBorders>
          </w:tcPr>
          <w:p>
            <w:pPr>
              <w:spacing w:after="0"/>
              <w:rPr>
                <w:sz w:val="6"/>
                <w:szCs w:val="6"/>
                <w:color w:val="auto"/>
              </w:rPr>
            </w:pPr>
          </w:p>
        </w:tc>
        <w:tc>
          <w:tcPr>
            <w:tcW w:w="2400" w:type="dxa"/>
            <w:vAlign w:val="bottom"/>
            <w:tcBorders>
              <w:bottom w:val="single" w:sz="8" w:color="D9D9D9"/>
            </w:tcBorders>
          </w:tcPr>
          <w:p>
            <w:pPr>
              <w:spacing w:after="0"/>
              <w:rPr>
                <w:sz w:val="6"/>
                <w:szCs w:val="6"/>
                <w:color w:val="auto"/>
              </w:rPr>
            </w:pPr>
          </w:p>
        </w:tc>
        <w:tc>
          <w:tcPr>
            <w:tcW w:w="1120" w:type="dxa"/>
            <w:vAlign w:val="bottom"/>
            <w:tcBorders>
              <w:bottom w:val="single" w:sz="8" w:color="D9D9D9"/>
            </w:tcBorders>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7720" w:type="dxa"/>
            <w:vAlign w:val="bottom"/>
          </w:tcPr>
          <w:p>
            <w:pPr>
              <w:ind w:left="20"/>
              <w:spacing w:after="0"/>
              <w:rPr>
                <w:sz w:val="20"/>
                <w:szCs w:val="20"/>
                <w:color w:val="auto"/>
              </w:rPr>
            </w:pPr>
            <w:r>
              <w:rPr>
                <w:rFonts w:ascii="Arial" w:cs="Arial" w:eastAsia="Arial" w:hAnsi="Arial"/>
                <w:sz w:val="14"/>
                <w:szCs w:val="14"/>
                <w:b w:val="1"/>
                <w:bCs w:val="1"/>
                <w:color w:val="FF7F32"/>
              </w:rPr>
              <w:t>Jacob Lamm</w:t>
            </w:r>
          </w:p>
        </w:tc>
        <w:tc>
          <w:tcPr>
            <w:tcW w:w="2400" w:type="dxa"/>
            <w:vAlign w:val="bottom"/>
          </w:tcPr>
          <w:p>
            <w:pPr>
              <w:jc w:val="right"/>
              <w:ind w:right="328"/>
              <w:spacing w:after="0"/>
              <w:rPr>
                <w:sz w:val="20"/>
                <w:szCs w:val="20"/>
                <w:color w:val="auto"/>
              </w:rPr>
            </w:pPr>
            <w:r>
              <w:rPr>
                <w:rFonts w:ascii="Arial" w:cs="Arial" w:eastAsia="Arial" w:hAnsi="Arial"/>
                <w:sz w:val="14"/>
                <w:szCs w:val="14"/>
                <w:color w:val="auto"/>
              </w:rPr>
              <w:t>198,319</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9"/>
        </w:trPr>
        <w:tc>
          <w:tcPr>
            <w:tcW w:w="7720" w:type="dxa"/>
            <w:vAlign w:val="bottom"/>
            <w:tcBorders>
              <w:bottom w:val="single" w:sz="8" w:color="D9D9D9"/>
            </w:tcBorders>
          </w:tcPr>
          <w:p>
            <w:pPr>
              <w:spacing w:after="0"/>
              <w:rPr>
                <w:sz w:val="6"/>
                <w:szCs w:val="6"/>
                <w:color w:val="auto"/>
              </w:rPr>
            </w:pPr>
          </w:p>
        </w:tc>
        <w:tc>
          <w:tcPr>
            <w:tcW w:w="2400" w:type="dxa"/>
            <w:vAlign w:val="bottom"/>
            <w:tcBorders>
              <w:bottom w:val="single" w:sz="8" w:color="D9D9D9"/>
            </w:tcBorders>
          </w:tcPr>
          <w:p>
            <w:pPr>
              <w:spacing w:after="0"/>
              <w:rPr>
                <w:sz w:val="6"/>
                <w:szCs w:val="6"/>
                <w:color w:val="auto"/>
              </w:rPr>
            </w:pPr>
          </w:p>
        </w:tc>
        <w:tc>
          <w:tcPr>
            <w:tcW w:w="1120" w:type="dxa"/>
            <w:vAlign w:val="bottom"/>
            <w:tcBorders>
              <w:bottom w:val="single" w:sz="8" w:color="D9D9D9"/>
            </w:tcBorders>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7720" w:type="dxa"/>
            <w:vAlign w:val="bottom"/>
          </w:tcPr>
          <w:p>
            <w:pPr>
              <w:ind w:left="20"/>
              <w:spacing w:after="0"/>
              <w:rPr>
                <w:sz w:val="20"/>
                <w:szCs w:val="20"/>
                <w:color w:val="auto"/>
              </w:rPr>
            </w:pPr>
            <w:r>
              <w:rPr>
                <w:rFonts w:ascii="Arial" w:cs="Arial" w:eastAsia="Arial" w:hAnsi="Arial"/>
                <w:sz w:val="14"/>
                <w:szCs w:val="14"/>
                <w:b w:val="1"/>
                <w:bCs w:val="1"/>
                <w:color w:val="FF7F32"/>
              </w:rPr>
              <w:t>Anna Novoseletsky</w:t>
            </w:r>
          </w:p>
        </w:tc>
        <w:tc>
          <w:tcPr>
            <w:tcW w:w="2400" w:type="dxa"/>
            <w:vAlign w:val="bottom"/>
          </w:tcPr>
          <w:p>
            <w:pPr>
              <w:jc w:val="right"/>
              <w:ind w:right="328"/>
              <w:spacing w:after="0"/>
              <w:rPr>
                <w:sz w:val="20"/>
                <w:szCs w:val="20"/>
                <w:color w:val="auto"/>
              </w:rPr>
            </w:pPr>
            <w:r>
              <w:rPr>
                <w:rFonts w:ascii="Arial" w:cs="Arial" w:eastAsia="Arial" w:hAnsi="Arial"/>
                <w:sz w:val="14"/>
                <w:szCs w:val="14"/>
                <w:color w:val="auto"/>
              </w:rPr>
              <w:t>76,172</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9"/>
        </w:trPr>
        <w:tc>
          <w:tcPr>
            <w:tcW w:w="7720" w:type="dxa"/>
            <w:vAlign w:val="bottom"/>
            <w:tcBorders>
              <w:bottom w:val="single" w:sz="8" w:color="D9D9D9"/>
            </w:tcBorders>
          </w:tcPr>
          <w:p>
            <w:pPr>
              <w:spacing w:after="0"/>
              <w:rPr>
                <w:sz w:val="6"/>
                <w:szCs w:val="6"/>
                <w:color w:val="auto"/>
              </w:rPr>
            </w:pPr>
          </w:p>
        </w:tc>
        <w:tc>
          <w:tcPr>
            <w:tcW w:w="2400" w:type="dxa"/>
            <w:vAlign w:val="bottom"/>
            <w:tcBorders>
              <w:bottom w:val="single" w:sz="8" w:color="D9D9D9"/>
            </w:tcBorders>
          </w:tcPr>
          <w:p>
            <w:pPr>
              <w:spacing w:after="0"/>
              <w:rPr>
                <w:sz w:val="6"/>
                <w:szCs w:val="6"/>
                <w:color w:val="auto"/>
              </w:rPr>
            </w:pPr>
          </w:p>
        </w:tc>
        <w:tc>
          <w:tcPr>
            <w:tcW w:w="1120" w:type="dxa"/>
            <w:vAlign w:val="bottom"/>
            <w:tcBorders>
              <w:bottom w:val="single" w:sz="8" w:color="D9D9D9"/>
            </w:tcBorders>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7720" w:type="dxa"/>
            <w:vAlign w:val="bottom"/>
          </w:tcPr>
          <w:p>
            <w:pPr>
              <w:ind w:left="20"/>
              <w:spacing w:after="0"/>
              <w:rPr>
                <w:sz w:val="20"/>
                <w:szCs w:val="20"/>
                <w:color w:val="auto"/>
              </w:rPr>
            </w:pPr>
            <w:r>
              <w:rPr>
                <w:rFonts w:ascii="Arial" w:cs="Arial" w:eastAsia="Arial" w:hAnsi="Arial"/>
                <w:sz w:val="14"/>
                <w:szCs w:val="14"/>
                <w:b w:val="1"/>
                <w:bCs w:val="1"/>
                <w:color w:val="FF7F32"/>
              </w:rPr>
              <w:t>Michael K. Passilla</w:t>
            </w:r>
          </w:p>
        </w:tc>
        <w:tc>
          <w:tcPr>
            <w:tcW w:w="2400" w:type="dxa"/>
            <w:vAlign w:val="bottom"/>
          </w:tcPr>
          <w:p>
            <w:pPr>
              <w:jc w:val="right"/>
              <w:ind w:right="328"/>
              <w:spacing w:after="0"/>
              <w:rPr>
                <w:sz w:val="20"/>
                <w:szCs w:val="20"/>
                <w:color w:val="auto"/>
              </w:rPr>
            </w:pPr>
            <w:r>
              <w:rPr>
                <w:rFonts w:ascii="Arial" w:cs="Arial" w:eastAsia="Arial" w:hAnsi="Arial"/>
                <w:sz w:val="14"/>
                <w:szCs w:val="14"/>
                <w:color w:val="auto"/>
              </w:rPr>
              <w:t>198,319</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9"/>
        </w:trPr>
        <w:tc>
          <w:tcPr>
            <w:tcW w:w="7720" w:type="dxa"/>
            <w:vAlign w:val="bottom"/>
            <w:tcBorders>
              <w:bottom w:val="single" w:sz="8" w:color="D9D9D9"/>
            </w:tcBorders>
          </w:tcPr>
          <w:p>
            <w:pPr>
              <w:spacing w:after="0"/>
              <w:rPr>
                <w:sz w:val="6"/>
                <w:szCs w:val="6"/>
                <w:color w:val="auto"/>
              </w:rPr>
            </w:pPr>
          </w:p>
        </w:tc>
        <w:tc>
          <w:tcPr>
            <w:tcW w:w="2400" w:type="dxa"/>
            <w:vAlign w:val="bottom"/>
            <w:tcBorders>
              <w:bottom w:val="single" w:sz="8" w:color="D9D9D9"/>
            </w:tcBorders>
          </w:tcPr>
          <w:p>
            <w:pPr>
              <w:spacing w:after="0"/>
              <w:rPr>
                <w:sz w:val="6"/>
                <w:szCs w:val="6"/>
                <w:color w:val="auto"/>
              </w:rPr>
            </w:pPr>
          </w:p>
        </w:tc>
        <w:tc>
          <w:tcPr>
            <w:tcW w:w="1120" w:type="dxa"/>
            <w:vAlign w:val="bottom"/>
            <w:tcBorders>
              <w:bottom w:val="single" w:sz="8" w:color="D9D9D9"/>
            </w:tcBorders>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7720" w:type="dxa"/>
            <w:vAlign w:val="bottom"/>
          </w:tcPr>
          <w:p>
            <w:pPr>
              <w:ind w:left="20"/>
              <w:spacing w:after="0"/>
              <w:rPr>
                <w:sz w:val="20"/>
                <w:szCs w:val="20"/>
                <w:color w:val="auto"/>
              </w:rPr>
            </w:pPr>
            <w:r>
              <w:rPr>
                <w:rFonts w:ascii="Arial" w:cs="Arial" w:eastAsia="Arial" w:hAnsi="Arial"/>
                <w:sz w:val="14"/>
                <w:szCs w:val="14"/>
                <w:b w:val="1"/>
                <w:bCs w:val="1"/>
                <w:color w:val="FF7F32"/>
              </w:rPr>
              <w:t>Ellen Richey</w:t>
            </w:r>
          </w:p>
        </w:tc>
        <w:tc>
          <w:tcPr>
            <w:tcW w:w="2400" w:type="dxa"/>
            <w:vAlign w:val="bottom"/>
          </w:tcPr>
          <w:p>
            <w:pPr>
              <w:jc w:val="right"/>
              <w:ind w:right="328"/>
              <w:spacing w:after="0"/>
              <w:rPr>
                <w:sz w:val="20"/>
                <w:szCs w:val="20"/>
                <w:color w:val="auto"/>
              </w:rPr>
            </w:pPr>
            <w:r>
              <w:rPr>
                <w:rFonts w:ascii="Arial" w:cs="Arial" w:eastAsia="Arial" w:hAnsi="Arial"/>
                <w:sz w:val="14"/>
                <w:szCs w:val="14"/>
                <w:color w:val="auto"/>
              </w:rPr>
              <w:t>198,319</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9"/>
        </w:trPr>
        <w:tc>
          <w:tcPr>
            <w:tcW w:w="7720" w:type="dxa"/>
            <w:vAlign w:val="bottom"/>
            <w:tcBorders>
              <w:bottom w:val="single" w:sz="8" w:color="D9D9D9"/>
            </w:tcBorders>
          </w:tcPr>
          <w:p>
            <w:pPr>
              <w:spacing w:after="0"/>
              <w:rPr>
                <w:sz w:val="6"/>
                <w:szCs w:val="6"/>
                <w:color w:val="auto"/>
              </w:rPr>
            </w:pPr>
          </w:p>
        </w:tc>
        <w:tc>
          <w:tcPr>
            <w:tcW w:w="2400" w:type="dxa"/>
            <w:vAlign w:val="bottom"/>
            <w:tcBorders>
              <w:bottom w:val="single" w:sz="8" w:color="D9D9D9"/>
            </w:tcBorders>
          </w:tcPr>
          <w:p>
            <w:pPr>
              <w:spacing w:after="0"/>
              <w:rPr>
                <w:sz w:val="6"/>
                <w:szCs w:val="6"/>
                <w:color w:val="auto"/>
              </w:rPr>
            </w:pPr>
          </w:p>
        </w:tc>
        <w:tc>
          <w:tcPr>
            <w:tcW w:w="1120" w:type="dxa"/>
            <w:vAlign w:val="bottom"/>
            <w:tcBorders>
              <w:bottom w:val="single" w:sz="8" w:color="D9D9D9"/>
            </w:tcBorders>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7720" w:type="dxa"/>
            <w:vAlign w:val="bottom"/>
          </w:tcPr>
          <w:p>
            <w:pPr>
              <w:ind w:left="20"/>
              <w:spacing w:after="0"/>
              <w:rPr>
                <w:sz w:val="20"/>
                <w:szCs w:val="20"/>
                <w:color w:val="auto"/>
              </w:rPr>
            </w:pPr>
            <w:r>
              <w:rPr>
                <w:rFonts w:ascii="Arial" w:cs="Arial" w:eastAsia="Arial" w:hAnsi="Arial"/>
                <w:sz w:val="14"/>
                <w:szCs w:val="14"/>
                <w:b w:val="1"/>
                <w:bCs w:val="1"/>
                <w:color w:val="FF7F32"/>
              </w:rPr>
              <w:t>Gaurav Singal</w:t>
            </w:r>
          </w:p>
        </w:tc>
        <w:tc>
          <w:tcPr>
            <w:tcW w:w="2400" w:type="dxa"/>
            <w:vAlign w:val="bottom"/>
          </w:tcPr>
          <w:p>
            <w:pPr>
              <w:jc w:val="right"/>
              <w:ind w:right="328"/>
              <w:spacing w:after="0"/>
              <w:rPr>
                <w:sz w:val="20"/>
                <w:szCs w:val="20"/>
                <w:color w:val="auto"/>
              </w:rPr>
            </w:pPr>
            <w:r>
              <w:rPr>
                <w:rFonts w:ascii="Arial" w:cs="Arial" w:eastAsia="Arial" w:hAnsi="Arial"/>
                <w:sz w:val="14"/>
                <w:szCs w:val="14"/>
                <w:color w:val="auto"/>
              </w:rPr>
              <w:t>25,989</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9"/>
        </w:trPr>
        <w:tc>
          <w:tcPr>
            <w:tcW w:w="7720" w:type="dxa"/>
            <w:vAlign w:val="bottom"/>
            <w:tcBorders>
              <w:bottom w:val="single" w:sz="8" w:color="D9D9D9"/>
            </w:tcBorders>
          </w:tcPr>
          <w:p>
            <w:pPr>
              <w:spacing w:after="0"/>
              <w:rPr>
                <w:sz w:val="6"/>
                <w:szCs w:val="6"/>
                <w:color w:val="auto"/>
              </w:rPr>
            </w:pPr>
          </w:p>
        </w:tc>
        <w:tc>
          <w:tcPr>
            <w:tcW w:w="2400" w:type="dxa"/>
            <w:vAlign w:val="bottom"/>
            <w:tcBorders>
              <w:bottom w:val="single" w:sz="8" w:color="D9D9D9"/>
            </w:tcBorders>
          </w:tcPr>
          <w:p>
            <w:pPr>
              <w:spacing w:after="0"/>
              <w:rPr>
                <w:sz w:val="6"/>
                <w:szCs w:val="6"/>
                <w:color w:val="auto"/>
              </w:rPr>
            </w:pPr>
          </w:p>
        </w:tc>
        <w:tc>
          <w:tcPr>
            <w:tcW w:w="1120" w:type="dxa"/>
            <w:vAlign w:val="bottom"/>
            <w:tcBorders>
              <w:bottom w:val="single" w:sz="8" w:color="D9D9D9"/>
            </w:tcBorders>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7720" w:type="dxa"/>
            <w:vAlign w:val="bottom"/>
          </w:tcPr>
          <w:p>
            <w:pPr>
              <w:ind w:left="20"/>
              <w:spacing w:after="0"/>
              <w:rPr>
                <w:sz w:val="20"/>
                <w:szCs w:val="20"/>
                <w:color w:val="auto"/>
              </w:rPr>
            </w:pPr>
            <w:r>
              <w:rPr>
                <w:rFonts w:ascii="Arial" w:cs="Arial" w:eastAsia="Arial" w:hAnsi="Arial"/>
                <w:sz w:val="14"/>
                <w:szCs w:val="14"/>
                <w:b w:val="1"/>
                <w:bCs w:val="1"/>
                <w:color w:val="FF7F32"/>
              </w:rPr>
              <w:t>Anne M. Smalling</w:t>
            </w:r>
          </w:p>
        </w:tc>
        <w:tc>
          <w:tcPr>
            <w:tcW w:w="2400" w:type="dxa"/>
            <w:vAlign w:val="bottom"/>
          </w:tcPr>
          <w:p>
            <w:pPr>
              <w:jc w:val="right"/>
              <w:ind w:right="328"/>
              <w:spacing w:after="0"/>
              <w:rPr>
                <w:sz w:val="20"/>
                <w:szCs w:val="20"/>
                <w:color w:val="auto"/>
              </w:rPr>
            </w:pPr>
            <w:r>
              <w:rPr>
                <w:rFonts w:ascii="Arial" w:cs="Arial" w:eastAsia="Arial" w:hAnsi="Arial"/>
                <w:sz w:val="14"/>
                <w:szCs w:val="14"/>
                <w:color w:val="auto"/>
              </w:rPr>
              <w:t>198,319</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9"/>
        </w:trPr>
        <w:tc>
          <w:tcPr>
            <w:tcW w:w="7720" w:type="dxa"/>
            <w:vAlign w:val="bottom"/>
            <w:tcBorders>
              <w:bottom w:val="single" w:sz="8" w:color="D9D9D9"/>
            </w:tcBorders>
          </w:tcPr>
          <w:p>
            <w:pPr>
              <w:spacing w:after="0"/>
              <w:rPr>
                <w:sz w:val="6"/>
                <w:szCs w:val="6"/>
                <w:color w:val="auto"/>
              </w:rPr>
            </w:pPr>
          </w:p>
        </w:tc>
        <w:tc>
          <w:tcPr>
            <w:tcW w:w="2400" w:type="dxa"/>
            <w:vAlign w:val="bottom"/>
            <w:tcBorders>
              <w:bottom w:val="single" w:sz="8" w:color="D9D9D9"/>
            </w:tcBorders>
          </w:tcPr>
          <w:p>
            <w:pPr>
              <w:spacing w:after="0"/>
              <w:rPr>
                <w:sz w:val="6"/>
                <w:szCs w:val="6"/>
                <w:color w:val="auto"/>
              </w:rPr>
            </w:pPr>
          </w:p>
        </w:tc>
        <w:tc>
          <w:tcPr>
            <w:tcW w:w="1120" w:type="dxa"/>
            <w:vAlign w:val="bottom"/>
            <w:tcBorders>
              <w:bottom w:val="single" w:sz="8" w:color="D9D9D9"/>
            </w:tcBorders>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7720" w:type="dxa"/>
            <w:vAlign w:val="bottom"/>
          </w:tcPr>
          <w:p>
            <w:pPr>
              <w:ind w:left="20"/>
              <w:spacing w:after="0"/>
              <w:rPr>
                <w:sz w:val="20"/>
                <w:szCs w:val="20"/>
                <w:color w:val="auto"/>
              </w:rPr>
            </w:pPr>
            <w:r>
              <w:rPr>
                <w:rFonts w:ascii="Arial" w:cs="Arial" w:eastAsia="Arial" w:hAnsi="Arial"/>
                <w:sz w:val="14"/>
                <w:szCs w:val="14"/>
                <w:b w:val="1"/>
                <w:bCs w:val="1"/>
                <w:color w:val="FF7F32"/>
              </w:rPr>
              <w:t>Scott Stewart</w:t>
            </w:r>
          </w:p>
        </w:tc>
        <w:tc>
          <w:tcPr>
            <w:tcW w:w="2400" w:type="dxa"/>
            <w:vAlign w:val="bottom"/>
          </w:tcPr>
          <w:p>
            <w:pPr>
              <w:jc w:val="right"/>
              <w:ind w:right="328"/>
              <w:spacing w:after="0"/>
              <w:rPr>
                <w:sz w:val="20"/>
                <w:szCs w:val="20"/>
                <w:color w:val="auto"/>
              </w:rPr>
            </w:pPr>
            <w:r>
              <w:rPr>
                <w:rFonts w:ascii="Arial" w:cs="Arial" w:eastAsia="Arial" w:hAnsi="Arial"/>
                <w:sz w:val="14"/>
                <w:szCs w:val="14"/>
                <w:color w:val="auto"/>
              </w:rPr>
              <w:t>626,788</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0"/>
        </w:trPr>
        <w:tc>
          <w:tcPr>
            <w:tcW w:w="7720" w:type="dxa"/>
            <w:vAlign w:val="bottom"/>
            <w:tcBorders>
              <w:bottom w:val="single" w:sz="8" w:color="D9D9D9"/>
            </w:tcBorders>
          </w:tcPr>
          <w:p>
            <w:pPr>
              <w:spacing w:after="0"/>
              <w:rPr>
                <w:sz w:val="6"/>
                <w:szCs w:val="6"/>
                <w:color w:val="auto"/>
              </w:rPr>
            </w:pPr>
          </w:p>
        </w:tc>
        <w:tc>
          <w:tcPr>
            <w:tcW w:w="2400" w:type="dxa"/>
            <w:vAlign w:val="bottom"/>
            <w:tcBorders>
              <w:bottom w:val="single" w:sz="8" w:color="D9D9D9"/>
            </w:tcBorders>
          </w:tcPr>
          <w:p>
            <w:pPr>
              <w:spacing w:after="0"/>
              <w:rPr>
                <w:sz w:val="6"/>
                <w:szCs w:val="6"/>
                <w:color w:val="auto"/>
              </w:rPr>
            </w:pPr>
          </w:p>
        </w:tc>
        <w:tc>
          <w:tcPr>
            <w:tcW w:w="1120" w:type="dxa"/>
            <w:vAlign w:val="bottom"/>
            <w:tcBorders>
              <w:bottom w:val="single" w:sz="8" w:color="D9D9D9"/>
            </w:tcBorders>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7720" w:type="dxa"/>
            <w:vAlign w:val="bottom"/>
          </w:tcPr>
          <w:p>
            <w:pPr>
              <w:ind w:left="20"/>
              <w:spacing w:after="0"/>
              <w:rPr>
                <w:sz w:val="20"/>
                <w:szCs w:val="20"/>
                <w:color w:val="auto"/>
              </w:rPr>
            </w:pPr>
            <w:r>
              <w:rPr>
                <w:rFonts w:ascii="Arial" w:cs="Arial" w:eastAsia="Arial" w:hAnsi="Arial"/>
                <w:sz w:val="14"/>
                <w:szCs w:val="14"/>
                <w:b w:val="1"/>
                <w:bCs w:val="1"/>
                <w:color w:val="FF7F32"/>
              </w:rPr>
              <w:t>Ravi Venkatesan</w:t>
            </w:r>
          </w:p>
        </w:tc>
        <w:tc>
          <w:tcPr>
            <w:tcW w:w="2400" w:type="dxa"/>
            <w:vAlign w:val="bottom"/>
          </w:tcPr>
          <w:p>
            <w:pPr>
              <w:jc w:val="right"/>
              <w:ind w:right="328"/>
              <w:spacing w:after="0"/>
              <w:rPr>
                <w:sz w:val="20"/>
                <w:szCs w:val="20"/>
                <w:color w:val="auto"/>
              </w:rPr>
            </w:pPr>
            <w:r>
              <w:rPr>
                <w:rFonts w:ascii="Arial" w:cs="Arial" w:eastAsia="Arial" w:hAnsi="Arial"/>
                <w:sz w:val="14"/>
                <w:szCs w:val="14"/>
                <w:color w:val="auto"/>
              </w:rPr>
              <w:t>1,226,561</w:t>
            </w:r>
          </w:p>
        </w:tc>
        <w:tc>
          <w:tcPr>
            <w:tcW w:w="112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70"/>
        </w:trPr>
        <w:tc>
          <w:tcPr>
            <w:tcW w:w="7720" w:type="dxa"/>
            <w:vAlign w:val="bottom"/>
            <w:tcBorders>
              <w:bottom w:val="single" w:sz="8" w:color="D9D9D9"/>
            </w:tcBorders>
          </w:tcPr>
          <w:p>
            <w:pPr>
              <w:spacing w:after="0"/>
              <w:rPr>
                <w:sz w:val="6"/>
                <w:szCs w:val="6"/>
                <w:color w:val="auto"/>
              </w:rPr>
            </w:pPr>
          </w:p>
        </w:tc>
        <w:tc>
          <w:tcPr>
            <w:tcW w:w="2400" w:type="dxa"/>
            <w:vAlign w:val="bottom"/>
            <w:tcBorders>
              <w:bottom w:val="single" w:sz="8" w:color="D9D9D9"/>
            </w:tcBorders>
          </w:tcPr>
          <w:p>
            <w:pPr>
              <w:spacing w:after="0"/>
              <w:rPr>
                <w:sz w:val="6"/>
                <w:szCs w:val="6"/>
                <w:color w:val="auto"/>
              </w:rPr>
            </w:pPr>
          </w:p>
        </w:tc>
        <w:tc>
          <w:tcPr>
            <w:tcW w:w="1120" w:type="dxa"/>
            <w:vAlign w:val="bottom"/>
            <w:tcBorders>
              <w:bottom w:val="single" w:sz="8" w:color="D9D9D9"/>
            </w:tcBorders>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7720" w:type="dxa"/>
            <w:vAlign w:val="bottom"/>
          </w:tcPr>
          <w:p>
            <w:pPr>
              <w:ind w:left="20"/>
              <w:spacing w:after="0"/>
              <w:rPr>
                <w:sz w:val="20"/>
                <w:szCs w:val="20"/>
                <w:color w:val="auto"/>
              </w:rPr>
            </w:pPr>
            <w:r>
              <w:rPr>
                <w:rFonts w:ascii="Arial" w:cs="Arial" w:eastAsia="Arial" w:hAnsi="Arial"/>
                <w:sz w:val="14"/>
                <w:szCs w:val="14"/>
                <w:b w:val="1"/>
                <w:bCs w:val="1"/>
                <w:color w:val="FF7F32"/>
              </w:rPr>
              <w:t>Shannon S. Warren</w:t>
            </w:r>
          </w:p>
        </w:tc>
        <w:tc>
          <w:tcPr>
            <w:tcW w:w="2400" w:type="dxa"/>
            <w:vAlign w:val="bottom"/>
          </w:tcPr>
          <w:p>
            <w:pPr>
              <w:jc w:val="right"/>
              <w:ind w:right="328"/>
              <w:spacing w:after="0"/>
              <w:rPr>
                <w:sz w:val="20"/>
                <w:szCs w:val="20"/>
                <w:color w:val="auto"/>
              </w:rPr>
            </w:pPr>
            <w:r>
              <w:rPr>
                <w:rFonts w:ascii="Arial" w:cs="Arial" w:eastAsia="Arial" w:hAnsi="Arial"/>
                <w:sz w:val="14"/>
                <w:szCs w:val="14"/>
                <w:color w:val="auto"/>
              </w:rPr>
              <w:t>198,319</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0"/>
        </w:trPr>
        <w:tc>
          <w:tcPr>
            <w:tcW w:w="7720" w:type="dxa"/>
            <w:vAlign w:val="bottom"/>
            <w:tcBorders>
              <w:bottom w:val="single" w:sz="8" w:color="D9D9D9"/>
            </w:tcBorders>
          </w:tcPr>
          <w:p>
            <w:pPr>
              <w:spacing w:after="0"/>
              <w:rPr>
                <w:sz w:val="6"/>
                <w:szCs w:val="6"/>
                <w:color w:val="auto"/>
              </w:rPr>
            </w:pPr>
          </w:p>
        </w:tc>
        <w:tc>
          <w:tcPr>
            <w:tcW w:w="240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7720" w:type="dxa"/>
            <w:vAlign w:val="bottom"/>
          </w:tcPr>
          <w:p>
            <w:pPr>
              <w:ind w:left="20"/>
              <w:spacing w:after="0"/>
              <w:rPr>
                <w:sz w:val="20"/>
                <w:szCs w:val="20"/>
                <w:color w:val="auto"/>
              </w:rPr>
            </w:pPr>
            <w:r>
              <w:rPr>
                <w:rFonts w:ascii="Arial" w:cs="Arial" w:eastAsia="Arial" w:hAnsi="Arial"/>
                <w:sz w:val="14"/>
                <w:szCs w:val="14"/>
                <w:color w:val="auto"/>
              </w:rPr>
              <w:t>All directors and executive officers as a group (13 persons)</w:t>
            </w:r>
          </w:p>
        </w:tc>
        <w:tc>
          <w:tcPr>
            <w:tcW w:w="2400" w:type="dxa"/>
            <w:vAlign w:val="bottom"/>
          </w:tcPr>
          <w:p>
            <w:pPr>
              <w:jc w:val="right"/>
              <w:ind w:right="328"/>
              <w:spacing w:after="0"/>
              <w:rPr>
                <w:sz w:val="20"/>
                <w:szCs w:val="20"/>
                <w:color w:val="auto"/>
              </w:rPr>
            </w:pPr>
            <w:r>
              <w:rPr>
                <w:rFonts w:ascii="Arial" w:cs="Arial" w:eastAsia="Arial" w:hAnsi="Arial"/>
                <w:sz w:val="14"/>
                <w:szCs w:val="14"/>
                <w:color w:val="auto"/>
              </w:rPr>
              <w:t>5,201, 500</w:t>
            </w:r>
          </w:p>
        </w:tc>
        <w:tc>
          <w:tcPr>
            <w:tcW w:w="1120" w:type="dxa"/>
            <w:vAlign w:val="bottom"/>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62"/>
        </w:trPr>
        <w:tc>
          <w:tcPr>
            <w:tcW w:w="7720" w:type="dxa"/>
            <w:vAlign w:val="bottom"/>
            <w:tcBorders>
              <w:bottom w:val="single" w:sz="8" w:color="D9D9D9"/>
            </w:tcBorders>
          </w:tcPr>
          <w:p>
            <w:pPr>
              <w:spacing w:after="0"/>
              <w:rPr>
                <w:sz w:val="5"/>
                <w:szCs w:val="5"/>
                <w:color w:val="auto"/>
              </w:rPr>
            </w:pPr>
          </w:p>
        </w:tc>
        <w:tc>
          <w:tcPr>
            <w:tcW w:w="2400" w:type="dxa"/>
            <w:vAlign w:val="bottom"/>
            <w:tcBorders>
              <w:bottom w:val="single" w:sz="8" w:color="D9D9D9"/>
            </w:tcBorders>
          </w:tcPr>
          <w:p>
            <w:pPr>
              <w:spacing w:after="0"/>
              <w:rPr>
                <w:sz w:val="5"/>
                <w:szCs w:val="5"/>
                <w:color w:val="auto"/>
              </w:rPr>
            </w:pPr>
          </w:p>
        </w:tc>
        <w:tc>
          <w:tcPr>
            <w:tcW w:w="1120" w:type="dxa"/>
            <w:vAlign w:val="bottom"/>
            <w:tcBorders>
              <w:bottom w:val="single" w:sz="8" w:color="D9D9D9"/>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454025</wp:posOffset>
            </wp:positionV>
            <wp:extent cx="925830" cy="26606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925830"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auto"/>
        </w:rPr>
        <w:t>78</w:t>
      </w:r>
      <w:r>
        <w:rPr>
          <w:sz w:val="20"/>
          <w:szCs w:val="20"/>
          <w:color w:val="auto"/>
        </w:rPr>
        <w:tab/>
      </w:r>
      <w:r>
        <w:rPr>
          <w:rFonts w:ascii="Arial" w:cs="Arial" w:eastAsia="Arial" w:hAnsi="Arial"/>
          <w:sz w:val="12"/>
          <w:szCs w:val="12"/>
          <w:b w:val="1"/>
          <w:bCs w:val="1"/>
          <w:color w:val="FF7F32"/>
        </w:rPr>
        <w:t xml:space="preserve">2026 </w:t>
      </w:r>
      <w:r>
        <w:rPr>
          <w:rFonts w:ascii="Arial" w:cs="Arial" w:eastAsia="Arial" w:hAnsi="Arial"/>
          <w:sz w:val="12"/>
          <w:szCs w:val="12"/>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9" w:right="339" w:bottom="1440" w:gutter="0" w:footer="0" w:header="0"/>
        </w:sectPr>
      </w:pPr>
    </w:p>
    <w:bookmarkStart w:id="79" w:name="page80"/>
    <w:bookmarkEnd w:id="79"/>
    <w:p>
      <w:pPr>
        <w:spacing w:after="0"/>
        <w:rPr>
          <w:sz w:val="20"/>
          <w:szCs w:val="20"/>
          <w:color w:val="auto"/>
        </w:rPr>
      </w:pPr>
      <w:r>
        <w:rPr>
          <w:rFonts w:ascii="Arial" w:cs="Arial" w:eastAsia="Arial" w:hAnsi="Arial"/>
          <w:sz w:val="13"/>
          <w:szCs w:val="13"/>
          <w:color w:val="auto"/>
        </w:rPr>
        <w:t>Executive Compensation Tables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404040"/>
              </w:rPr>
              <w:t>Number of</w:t>
            </w: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5"/>
        </w:trPr>
        <w:tc>
          <w:tcPr>
            <w:tcW w:w="8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404040"/>
              </w:rPr>
              <w:t>Shares of</w:t>
            </w: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6"/>
        </w:trPr>
        <w:tc>
          <w:tcPr>
            <w:tcW w:w="81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404040"/>
              </w:rPr>
              <w:t>Common Stock</w:t>
            </w: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81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404040"/>
              </w:rPr>
              <w:t>Beneficially</w:t>
            </w:r>
          </w:p>
        </w:tc>
        <w:tc>
          <w:tcPr>
            <w:tcW w:w="4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404040"/>
              </w:rPr>
              <w:t>Percent of</w:t>
            </w:r>
          </w:p>
        </w:tc>
      </w:tr>
      <w:tr>
        <w:trPr>
          <w:trHeight w:val="203"/>
        </w:trPr>
        <w:tc>
          <w:tcPr>
            <w:tcW w:w="8180" w:type="dxa"/>
            <w:vAlign w:val="bottom"/>
          </w:tcPr>
          <w:p>
            <w:pPr>
              <w:ind w:left="20"/>
              <w:spacing w:after="0"/>
              <w:rPr>
                <w:sz w:val="20"/>
                <w:szCs w:val="20"/>
                <w:color w:val="auto"/>
              </w:rPr>
            </w:pPr>
            <w:r>
              <w:rPr>
                <w:rFonts w:ascii="Arial" w:cs="Arial" w:eastAsia="Arial" w:hAnsi="Arial"/>
                <w:sz w:val="14"/>
                <w:szCs w:val="14"/>
                <w:b w:val="1"/>
                <w:bCs w:val="1"/>
                <w:color w:val="404040"/>
              </w:rPr>
              <w:t>Name and Address of Beneficial Owner</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404040"/>
              </w:rPr>
              <w:t>Owned</w:t>
            </w:r>
          </w:p>
        </w:tc>
        <w:tc>
          <w:tcPr>
            <w:tcW w:w="4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404040"/>
              </w:rPr>
              <w:t>Class</w:t>
            </w:r>
          </w:p>
        </w:tc>
      </w:tr>
      <w:tr>
        <w:trPr>
          <w:trHeight w:val="43"/>
        </w:trPr>
        <w:tc>
          <w:tcPr>
            <w:tcW w:w="8180" w:type="dxa"/>
            <w:vAlign w:val="bottom"/>
            <w:tcBorders>
              <w:bottom w:val="single" w:sz="8" w:color="FF7F32"/>
            </w:tcBorders>
          </w:tcPr>
          <w:p>
            <w:pPr>
              <w:spacing w:after="0"/>
              <w:rPr>
                <w:sz w:val="3"/>
                <w:szCs w:val="3"/>
                <w:color w:val="auto"/>
              </w:rPr>
            </w:pPr>
          </w:p>
        </w:tc>
        <w:tc>
          <w:tcPr>
            <w:tcW w:w="1520" w:type="dxa"/>
            <w:vAlign w:val="bottom"/>
            <w:tcBorders>
              <w:bottom w:val="single" w:sz="8" w:color="FF7F32"/>
            </w:tcBorders>
          </w:tcPr>
          <w:p>
            <w:pPr>
              <w:spacing w:after="0"/>
              <w:rPr>
                <w:sz w:val="3"/>
                <w:szCs w:val="3"/>
                <w:color w:val="auto"/>
              </w:rPr>
            </w:pPr>
          </w:p>
        </w:tc>
        <w:tc>
          <w:tcPr>
            <w:tcW w:w="480" w:type="dxa"/>
            <w:vAlign w:val="bottom"/>
            <w:tcBorders>
              <w:bottom w:val="single" w:sz="8" w:color="FF7F32"/>
            </w:tcBorders>
          </w:tcPr>
          <w:p>
            <w:pPr>
              <w:spacing w:after="0"/>
              <w:rPr>
                <w:sz w:val="3"/>
                <w:szCs w:val="3"/>
                <w:color w:val="auto"/>
              </w:rPr>
            </w:pPr>
          </w:p>
        </w:tc>
        <w:tc>
          <w:tcPr>
            <w:tcW w:w="1060" w:type="dxa"/>
            <w:vAlign w:val="bottom"/>
            <w:tcBorders>
              <w:bottom w:val="single" w:sz="8" w:color="FF7F32"/>
            </w:tcBorders>
          </w:tcPr>
          <w:p>
            <w:pPr>
              <w:spacing w:after="0"/>
              <w:rPr>
                <w:sz w:val="3"/>
                <w:szCs w:val="3"/>
                <w:color w:val="auto"/>
              </w:rPr>
            </w:pPr>
          </w:p>
        </w:tc>
      </w:tr>
      <w:tr>
        <w:trPr>
          <w:trHeight w:val="242"/>
        </w:trPr>
        <w:tc>
          <w:tcPr>
            <w:tcW w:w="8180" w:type="dxa"/>
            <w:vAlign w:val="bottom"/>
          </w:tcPr>
          <w:p>
            <w:pPr>
              <w:ind w:left="20"/>
              <w:spacing w:after="0"/>
              <w:rPr>
                <w:sz w:val="20"/>
                <w:szCs w:val="20"/>
                <w:color w:val="auto"/>
              </w:rPr>
            </w:pPr>
            <w:r>
              <w:rPr>
                <w:rFonts w:ascii="Arial" w:cs="Arial" w:eastAsia="Arial" w:hAnsi="Arial"/>
                <w:sz w:val="14"/>
                <w:szCs w:val="14"/>
                <w:color w:val="auto"/>
              </w:rPr>
              <w:t>Hudson Executive Capital LP</w:t>
            </w:r>
          </w:p>
        </w:tc>
        <w:tc>
          <w:tcPr>
            <w:tcW w:w="1520" w:type="dxa"/>
            <w:vAlign w:val="bottom"/>
          </w:tcPr>
          <w:p>
            <w:pPr>
              <w:jc w:val="right"/>
              <w:spacing w:after="0"/>
              <w:rPr>
                <w:sz w:val="20"/>
                <w:szCs w:val="20"/>
                <w:color w:val="auto"/>
              </w:rPr>
            </w:pPr>
            <w:r>
              <w:rPr>
                <w:rFonts w:ascii="Arial" w:cs="Arial" w:eastAsia="Arial" w:hAnsi="Arial"/>
                <w:sz w:val="14"/>
                <w:szCs w:val="14"/>
                <w:color w:val="auto"/>
              </w:rPr>
              <w:t>9,319,372</w:t>
            </w:r>
          </w:p>
        </w:tc>
        <w:tc>
          <w:tcPr>
            <w:tcW w:w="480" w:type="dxa"/>
            <w:vAlign w:val="bottom"/>
          </w:tcPr>
          <w:p>
            <w:pPr>
              <w:jc w:val="right"/>
              <w:ind w:right="293"/>
              <w:spacing w:after="0"/>
              <w:rPr>
                <w:sz w:val="20"/>
                <w:szCs w:val="20"/>
                <w:color w:val="auto"/>
              </w:rPr>
            </w:pPr>
            <w:r>
              <w:rPr>
                <w:rFonts w:ascii="Arial" w:cs="Arial" w:eastAsia="Arial" w:hAnsi="Arial"/>
                <w:sz w:val="9"/>
                <w:szCs w:val="9"/>
                <w:color w:val="auto"/>
              </w:rPr>
              <w:t>(4)</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12.7%</w:t>
            </w:r>
          </w:p>
        </w:tc>
      </w:tr>
      <w:tr>
        <w:trPr>
          <w:trHeight w:val="48"/>
        </w:trPr>
        <w:tc>
          <w:tcPr>
            <w:tcW w:w="8180" w:type="dxa"/>
            <w:vAlign w:val="bottom"/>
            <w:tcBorders>
              <w:bottom w:val="single" w:sz="8" w:color="D9D9D9"/>
            </w:tcBorders>
          </w:tcPr>
          <w:p>
            <w:pPr>
              <w:spacing w:after="0"/>
              <w:rPr>
                <w:sz w:val="4"/>
                <w:szCs w:val="4"/>
                <w:color w:val="auto"/>
              </w:rPr>
            </w:pPr>
          </w:p>
        </w:tc>
        <w:tc>
          <w:tcPr>
            <w:tcW w:w="1520" w:type="dxa"/>
            <w:vAlign w:val="bottom"/>
            <w:tcBorders>
              <w:bottom w:val="single" w:sz="8" w:color="D9D9D9"/>
            </w:tcBorders>
          </w:tcPr>
          <w:p>
            <w:pPr>
              <w:spacing w:after="0"/>
              <w:rPr>
                <w:sz w:val="4"/>
                <w:szCs w:val="4"/>
                <w:color w:val="auto"/>
              </w:rPr>
            </w:pPr>
          </w:p>
        </w:tc>
        <w:tc>
          <w:tcPr>
            <w:tcW w:w="480" w:type="dxa"/>
            <w:vAlign w:val="bottom"/>
            <w:tcBorders>
              <w:bottom w:val="single" w:sz="8" w:color="D9D9D9"/>
            </w:tcBorders>
          </w:tcPr>
          <w:p>
            <w:pPr>
              <w:spacing w:after="0"/>
              <w:rPr>
                <w:sz w:val="4"/>
                <w:szCs w:val="4"/>
                <w:color w:val="auto"/>
              </w:rPr>
            </w:pPr>
          </w:p>
        </w:tc>
        <w:tc>
          <w:tcPr>
            <w:tcW w:w="1060" w:type="dxa"/>
            <w:vAlign w:val="bottom"/>
            <w:tcBorders>
              <w:bottom w:val="single" w:sz="8" w:color="D9D9D9"/>
            </w:tcBorders>
          </w:tcPr>
          <w:p>
            <w:pPr>
              <w:spacing w:after="0"/>
              <w:rPr>
                <w:sz w:val="4"/>
                <w:szCs w:val="4"/>
                <w:color w:val="auto"/>
              </w:rPr>
            </w:pPr>
          </w:p>
        </w:tc>
      </w:tr>
      <w:tr>
        <w:trPr>
          <w:trHeight w:val="242"/>
        </w:trPr>
        <w:tc>
          <w:tcPr>
            <w:tcW w:w="8180" w:type="dxa"/>
            <w:vAlign w:val="bottom"/>
          </w:tcPr>
          <w:p>
            <w:pPr>
              <w:ind w:left="20"/>
              <w:spacing w:after="0"/>
              <w:rPr>
                <w:sz w:val="20"/>
                <w:szCs w:val="20"/>
                <w:color w:val="auto"/>
              </w:rPr>
            </w:pPr>
            <w:r>
              <w:rPr>
                <w:rFonts w:ascii="Arial" w:cs="Arial" w:eastAsia="Arial" w:hAnsi="Arial"/>
                <w:sz w:val="14"/>
                <w:szCs w:val="14"/>
                <w:color w:val="auto"/>
              </w:rPr>
              <w:t>BlackRock, Inc.</w:t>
            </w:r>
          </w:p>
        </w:tc>
        <w:tc>
          <w:tcPr>
            <w:tcW w:w="1520" w:type="dxa"/>
            <w:vAlign w:val="bottom"/>
          </w:tcPr>
          <w:p>
            <w:pPr>
              <w:jc w:val="right"/>
              <w:spacing w:after="0"/>
              <w:rPr>
                <w:sz w:val="20"/>
                <w:szCs w:val="20"/>
                <w:color w:val="auto"/>
              </w:rPr>
            </w:pPr>
            <w:r>
              <w:rPr>
                <w:rFonts w:ascii="Arial" w:cs="Arial" w:eastAsia="Arial" w:hAnsi="Arial"/>
                <w:sz w:val="14"/>
                <w:szCs w:val="14"/>
                <w:color w:val="auto"/>
              </w:rPr>
              <w:t>4,423,558</w:t>
            </w:r>
          </w:p>
        </w:tc>
        <w:tc>
          <w:tcPr>
            <w:tcW w:w="480" w:type="dxa"/>
            <w:vAlign w:val="bottom"/>
          </w:tcPr>
          <w:p>
            <w:pPr>
              <w:jc w:val="right"/>
              <w:ind w:right="293"/>
              <w:spacing w:after="0"/>
              <w:rPr>
                <w:sz w:val="20"/>
                <w:szCs w:val="20"/>
                <w:color w:val="auto"/>
              </w:rPr>
            </w:pPr>
            <w:r>
              <w:rPr>
                <w:rFonts w:ascii="Arial" w:cs="Arial" w:eastAsia="Arial" w:hAnsi="Arial"/>
                <w:sz w:val="9"/>
                <w:szCs w:val="9"/>
                <w:color w:val="auto"/>
              </w:rPr>
              <w:t>(5)</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6.0%</w:t>
            </w:r>
          </w:p>
        </w:tc>
      </w:tr>
      <w:tr>
        <w:trPr>
          <w:trHeight w:val="49"/>
        </w:trPr>
        <w:tc>
          <w:tcPr>
            <w:tcW w:w="8180" w:type="dxa"/>
            <w:vAlign w:val="bottom"/>
            <w:tcBorders>
              <w:bottom w:val="single" w:sz="8" w:color="D9D9D9"/>
            </w:tcBorders>
          </w:tcPr>
          <w:p>
            <w:pPr>
              <w:spacing w:after="0"/>
              <w:rPr>
                <w:sz w:val="4"/>
                <w:szCs w:val="4"/>
                <w:color w:val="auto"/>
              </w:rPr>
            </w:pPr>
          </w:p>
        </w:tc>
        <w:tc>
          <w:tcPr>
            <w:tcW w:w="1520" w:type="dxa"/>
            <w:vAlign w:val="bottom"/>
            <w:tcBorders>
              <w:bottom w:val="single" w:sz="8" w:color="D9D9D9"/>
            </w:tcBorders>
          </w:tcPr>
          <w:p>
            <w:pPr>
              <w:spacing w:after="0"/>
              <w:rPr>
                <w:sz w:val="4"/>
                <w:szCs w:val="4"/>
                <w:color w:val="auto"/>
              </w:rPr>
            </w:pPr>
          </w:p>
        </w:tc>
        <w:tc>
          <w:tcPr>
            <w:tcW w:w="480" w:type="dxa"/>
            <w:vAlign w:val="bottom"/>
            <w:tcBorders>
              <w:bottom w:val="single" w:sz="8" w:color="D9D9D9"/>
            </w:tcBorders>
          </w:tcPr>
          <w:p>
            <w:pPr>
              <w:spacing w:after="0"/>
              <w:rPr>
                <w:sz w:val="4"/>
                <w:szCs w:val="4"/>
                <w:color w:val="auto"/>
              </w:rPr>
            </w:pPr>
          </w:p>
        </w:tc>
        <w:tc>
          <w:tcPr>
            <w:tcW w:w="1060" w:type="dxa"/>
            <w:vAlign w:val="bottom"/>
            <w:tcBorders>
              <w:bottom w:val="single" w:sz="8" w:color="D9D9D9"/>
            </w:tcBorders>
          </w:tcPr>
          <w:p>
            <w:pPr>
              <w:spacing w:after="0"/>
              <w:rPr>
                <w:sz w:val="4"/>
                <w:szCs w:val="4"/>
                <w:color w:val="auto"/>
              </w:rPr>
            </w:pPr>
          </w:p>
        </w:tc>
      </w:tr>
      <w:tr>
        <w:trPr>
          <w:trHeight w:val="242"/>
        </w:trPr>
        <w:tc>
          <w:tcPr>
            <w:tcW w:w="8180" w:type="dxa"/>
            <w:vAlign w:val="bottom"/>
          </w:tcPr>
          <w:p>
            <w:pPr>
              <w:ind w:left="20"/>
              <w:spacing w:after="0"/>
              <w:rPr>
                <w:sz w:val="20"/>
                <w:szCs w:val="20"/>
                <w:color w:val="auto"/>
              </w:rPr>
            </w:pPr>
            <w:r>
              <w:rPr>
                <w:rFonts w:ascii="Arial" w:cs="Arial" w:eastAsia="Arial" w:hAnsi="Arial"/>
                <w:sz w:val="14"/>
                <w:szCs w:val="14"/>
                <w:color w:val="auto"/>
              </w:rPr>
              <w:t>Oakland Hills BV</w:t>
            </w:r>
          </w:p>
        </w:tc>
        <w:tc>
          <w:tcPr>
            <w:tcW w:w="1520" w:type="dxa"/>
            <w:vAlign w:val="bottom"/>
          </w:tcPr>
          <w:p>
            <w:pPr>
              <w:jc w:val="right"/>
              <w:spacing w:after="0"/>
              <w:rPr>
                <w:sz w:val="20"/>
                <w:szCs w:val="20"/>
                <w:color w:val="auto"/>
              </w:rPr>
            </w:pPr>
            <w:r>
              <w:rPr>
                <w:rFonts w:ascii="Arial" w:cs="Arial" w:eastAsia="Arial" w:hAnsi="Arial"/>
                <w:sz w:val="14"/>
                <w:szCs w:val="14"/>
                <w:color w:val="auto"/>
              </w:rPr>
              <w:t>3,667,000</w:t>
            </w:r>
          </w:p>
        </w:tc>
        <w:tc>
          <w:tcPr>
            <w:tcW w:w="480" w:type="dxa"/>
            <w:vAlign w:val="bottom"/>
          </w:tcPr>
          <w:p>
            <w:pPr>
              <w:jc w:val="right"/>
              <w:ind w:right="293"/>
              <w:spacing w:after="0"/>
              <w:rPr>
                <w:sz w:val="20"/>
                <w:szCs w:val="20"/>
                <w:color w:val="auto"/>
              </w:rPr>
            </w:pPr>
            <w:r>
              <w:rPr>
                <w:rFonts w:ascii="Arial" w:cs="Arial" w:eastAsia="Arial" w:hAnsi="Arial"/>
                <w:sz w:val="9"/>
                <w:szCs w:val="9"/>
                <w:color w:val="auto"/>
              </w:rPr>
              <w:t>(6)</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5.0%</w:t>
            </w:r>
          </w:p>
        </w:tc>
      </w:tr>
      <w:tr>
        <w:trPr>
          <w:trHeight w:val="48"/>
        </w:trPr>
        <w:tc>
          <w:tcPr>
            <w:tcW w:w="8180" w:type="dxa"/>
            <w:vAlign w:val="bottom"/>
            <w:tcBorders>
              <w:bottom w:val="single" w:sz="8" w:color="D9D9D9"/>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42"/>
        </w:trPr>
        <w:tc>
          <w:tcPr>
            <w:tcW w:w="8180" w:type="dxa"/>
            <w:vAlign w:val="bottom"/>
          </w:tcPr>
          <w:p>
            <w:pPr>
              <w:ind w:left="20"/>
              <w:spacing w:after="0"/>
              <w:rPr>
                <w:sz w:val="20"/>
                <w:szCs w:val="20"/>
                <w:color w:val="auto"/>
              </w:rPr>
            </w:pPr>
            <w:r>
              <w:rPr>
                <w:rFonts w:ascii="Arial" w:cs="Arial" w:eastAsia="Arial" w:hAnsi="Arial"/>
                <w:sz w:val="14"/>
                <w:szCs w:val="14"/>
                <w:color w:val="auto"/>
              </w:rPr>
              <w:t>All 5% Shareholders</w:t>
            </w:r>
          </w:p>
        </w:tc>
        <w:tc>
          <w:tcPr>
            <w:tcW w:w="1520" w:type="dxa"/>
            <w:vAlign w:val="bottom"/>
          </w:tcPr>
          <w:p>
            <w:pPr>
              <w:jc w:val="right"/>
              <w:spacing w:after="0"/>
              <w:rPr>
                <w:sz w:val="20"/>
                <w:szCs w:val="20"/>
                <w:color w:val="auto"/>
              </w:rPr>
            </w:pPr>
            <w:r>
              <w:rPr>
                <w:rFonts w:ascii="Arial" w:cs="Arial" w:eastAsia="Arial" w:hAnsi="Arial"/>
                <w:sz w:val="14"/>
                <w:szCs w:val="14"/>
                <w:color w:val="auto"/>
              </w:rPr>
              <w:t>17,409,930</w:t>
            </w: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23.7%</w:t>
            </w:r>
          </w:p>
        </w:tc>
      </w:tr>
      <w:tr>
        <w:trPr>
          <w:trHeight w:val="48"/>
        </w:trPr>
        <w:tc>
          <w:tcPr>
            <w:tcW w:w="8180" w:type="dxa"/>
            <w:vAlign w:val="bottom"/>
            <w:tcBorders>
              <w:bottom w:val="single" w:sz="8" w:color="FF7F32"/>
            </w:tcBorders>
          </w:tcPr>
          <w:p>
            <w:pPr>
              <w:spacing w:after="0"/>
              <w:rPr>
                <w:sz w:val="4"/>
                <w:szCs w:val="4"/>
                <w:color w:val="auto"/>
              </w:rPr>
            </w:pPr>
          </w:p>
        </w:tc>
        <w:tc>
          <w:tcPr>
            <w:tcW w:w="1520" w:type="dxa"/>
            <w:vAlign w:val="bottom"/>
            <w:tcBorders>
              <w:bottom w:val="single" w:sz="8" w:color="FF7F32"/>
            </w:tcBorders>
          </w:tcPr>
          <w:p>
            <w:pPr>
              <w:spacing w:after="0"/>
              <w:rPr>
                <w:sz w:val="4"/>
                <w:szCs w:val="4"/>
                <w:color w:val="auto"/>
              </w:rPr>
            </w:pPr>
          </w:p>
        </w:tc>
        <w:tc>
          <w:tcPr>
            <w:tcW w:w="480" w:type="dxa"/>
            <w:vAlign w:val="bottom"/>
            <w:tcBorders>
              <w:bottom w:val="single" w:sz="8" w:color="FF7F32"/>
            </w:tcBorders>
          </w:tcPr>
          <w:p>
            <w:pPr>
              <w:spacing w:after="0"/>
              <w:rPr>
                <w:sz w:val="4"/>
                <w:szCs w:val="4"/>
                <w:color w:val="auto"/>
              </w:rPr>
            </w:pPr>
          </w:p>
        </w:tc>
        <w:tc>
          <w:tcPr>
            <w:tcW w:w="1060" w:type="dxa"/>
            <w:vAlign w:val="bottom"/>
            <w:tcBorders>
              <w:bottom w:val="single" w:sz="8" w:color="FF7F32"/>
            </w:tcBorders>
          </w:tcPr>
          <w:p>
            <w:pPr>
              <w:spacing w:after="0"/>
              <w:rPr>
                <w:sz w:val="4"/>
                <w:szCs w:val="4"/>
                <w:color w:val="auto"/>
              </w:rPr>
            </w:pPr>
          </w:p>
        </w:tc>
      </w:tr>
    </w:tbl>
    <w:p>
      <w:pPr>
        <w:spacing w:after="0" w:line="212" w:lineRule="exact"/>
        <w:rPr>
          <w:sz w:val="20"/>
          <w:szCs w:val="20"/>
          <w:color w:val="auto"/>
        </w:rPr>
      </w:pPr>
    </w:p>
    <w:p>
      <w:pPr>
        <w:ind w:left="200" w:hanging="192"/>
        <w:spacing w:after="0"/>
        <w:tabs>
          <w:tab w:leader="none" w:pos="200" w:val="left"/>
        </w:tabs>
        <w:numPr>
          <w:ilvl w:val="0"/>
          <w:numId w:val="76"/>
        </w:numPr>
        <w:rPr>
          <w:rFonts w:ascii="Arial" w:cs="Arial" w:eastAsia="Arial" w:hAnsi="Arial"/>
          <w:sz w:val="13"/>
          <w:szCs w:val="13"/>
          <w:color w:val="202945"/>
        </w:rPr>
      </w:pPr>
      <w:r>
        <w:rPr>
          <w:rFonts w:ascii="Arial" w:cs="Arial" w:eastAsia="Arial" w:hAnsi="Arial"/>
          <w:sz w:val="13"/>
          <w:szCs w:val="13"/>
          <w:color w:val="202945"/>
        </w:rPr>
        <w:t>Less than one percent (1%)</w:t>
      </w:r>
    </w:p>
    <w:p>
      <w:pPr>
        <w:spacing w:after="0" w:line="107" w:lineRule="exact"/>
        <w:rPr>
          <w:sz w:val="20"/>
          <w:szCs w:val="20"/>
          <w:color w:val="auto"/>
        </w:rPr>
      </w:pPr>
    </w:p>
    <w:p>
      <w:pPr>
        <w:ind w:left="200" w:right="120" w:hanging="192"/>
        <w:spacing w:after="0" w:line="283" w:lineRule="auto"/>
        <w:tabs>
          <w:tab w:leader="none" w:pos="200" w:val="left"/>
        </w:tabs>
        <w:numPr>
          <w:ilvl w:val="0"/>
          <w:numId w:val="77"/>
        </w:numPr>
        <w:rPr>
          <w:rFonts w:ascii="Arial" w:cs="Arial" w:eastAsia="Arial" w:hAnsi="Arial"/>
          <w:sz w:val="16"/>
          <w:szCs w:val="16"/>
          <w:color w:val="202945"/>
          <w:vertAlign w:val="superscript"/>
        </w:rPr>
      </w:pPr>
      <w:r>
        <w:rPr>
          <w:rFonts w:ascii="Arial" w:cs="Arial" w:eastAsia="Arial" w:hAnsi="Arial"/>
          <w:sz w:val="13"/>
          <w:szCs w:val="13"/>
          <w:color w:val="202945"/>
        </w:rPr>
        <w:t>Beneficial ownership is determined in accordance with the rules of the Securities and Exchange Commission and derives from either voting or dispositive power with respect to securities. Shares of Common Stock issuable upon conversion of the Series A Preferred Stock, or shares of Common Stock issuable upon exercise of options currently exercisable, or exercisable within 60 days of September 25, 2025, are deemed to be beneficially owned for purposes hereof.</w:t>
      </w:r>
    </w:p>
    <w:p>
      <w:pPr>
        <w:spacing w:after="0" w:line="60" w:lineRule="exact"/>
        <w:rPr>
          <w:rFonts w:ascii="Arial" w:cs="Arial" w:eastAsia="Arial" w:hAnsi="Arial"/>
          <w:sz w:val="16"/>
          <w:szCs w:val="16"/>
          <w:color w:val="202945"/>
          <w:vertAlign w:val="superscript"/>
        </w:rPr>
      </w:pPr>
    </w:p>
    <w:p>
      <w:pPr>
        <w:ind w:left="180" w:hanging="172"/>
        <w:spacing w:after="0"/>
        <w:tabs>
          <w:tab w:leader="none" w:pos="180" w:val="left"/>
        </w:tabs>
        <w:numPr>
          <w:ilvl w:val="0"/>
          <w:numId w:val="77"/>
        </w:numPr>
        <w:rPr>
          <w:rFonts w:ascii="Arial" w:cs="Arial" w:eastAsia="Arial" w:hAnsi="Arial"/>
          <w:sz w:val="16"/>
          <w:szCs w:val="16"/>
          <w:color w:val="202945"/>
          <w:vertAlign w:val="superscript"/>
        </w:rPr>
      </w:pPr>
      <w:r>
        <w:rPr>
          <w:rFonts w:ascii="Arial" w:cs="Arial" w:eastAsia="Arial" w:hAnsi="Arial"/>
          <w:sz w:val="13"/>
          <w:szCs w:val="13"/>
          <w:color w:val="202945"/>
        </w:rPr>
        <w:t>The percentage of stock beneficially owned is based on 73,691,758 common shares outstanding as of September 25, 2025.</w:t>
      </w:r>
    </w:p>
    <w:p>
      <w:pPr>
        <w:spacing w:after="0" w:line="90" w:lineRule="exact"/>
        <w:rPr>
          <w:rFonts w:ascii="Arial" w:cs="Arial" w:eastAsia="Arial" w:hAnsi="Arial"/>
          <w:sz w:val="16"/>
          <w:szCs w:val="16"/>
          <w:color w:val="202945"/>
          <w:vertAlign w:val="superscript"/>
        </w:rPr>
      </w:pPr>
    </w:p>
    <w:p>
      <w:pPr>
        <w:ind w:left="200" w:right="40" w:hanging="192"/>
        <w:spacing w:after="0" w:line="283" w:lineRule="auto"/>
        <w:tabs>
          <w:tab w:leader="none" w:pos="186" w:val="left"/>
        </w:tabs>
        <w:numPr>
          <w:ilvl w:val="0"/>
          <w:numId w:val="77"/>
        </w:numPr>
        <w:rPr>
          <w:rFonts w:ascii="Arial" w:cs="Arial" w:eastAsia="Arial" w:hAnsi="Arial"/>
          <w:sz w:val="16"/>
          <w:szCs w:val="16"/>
          <w:color w:val="202945"/>
          <w:vertAlign w:val="superscript"/>
        </w:rPr>
      </w:pPr>
      <w:r>
        <w:rPr>
          <w:rFonts w:ascii="Arial" w:cs="Arial" w:eastAsia="Arial" w:hAnsi="Arial"/>
          <w:sz w:val="13"/>
          <w:szCs w:val="13"/>
          <w:color w:val="202945"/>
        </w:rPr>
        <w:t>The total above also includes shares held in a trust account to which Mr. Bergeron controls and has voting power with respect to such shares. In addition to the shares set forth above, Mr. Bergeron also has an economic interest in a Hudson affiliated fund that beneficially owns shares of Cantaloupe’s common stock. Mr. Bergeron does not have investment discretion or voting power with respect to such shares and disclaims beneficial ownership of such shares except to the extent of his pecuniary interest therein.</w:t>
      </w:r>
    </w:p>
    <w:p>
      <w:pPr>
        <w:spacing w:after="0" w:line="78" w:lineRule="exact"/>
        <w:rPr>
          <w:rFonts w:ascii="Arial" w:cs="Arial" w:eastAsia="Arial" w:hAnsi="Arial"/>
          <w:sz w:val="16"/>
          <w:szCs w:val="16"/>
          <w:color w:val="202945"/>
          <w:vertAlign w:val="superscript"/>
        </w:rPr>
      </w:pPr>
    </w:p>
    <w:p>
      <w:pPr>
        <w:ind w:left="200" w:right="20" w:hanging="192"/>
        <w:spacing w:after="0" w:line="293" w:lineRule="auto"/>
        <w:tabs>
          <w:tab w:leader="none" w:pos="186" w:val="left"/>
        </w:tabs>
        <w:numPr>
          <w:ilvl w:val="0"/>
          <w:numId w:val="77"/>
        </w:numPr>
        <w:rPr>
          <w:rFonts w:ascii="Arial" w:cs="Arial" w:eastAsia="Arial" w:hAnsi="Arial"/>
          <w:sz w:val="16"/>
          <w:szCs w:val="16"/>
          <w:color w:val="202945"/>
          <w:vertAlign w:val="superscript"/>
        </w:rPr>
      </w:pPr>
      <w:r>
        <w:rPr>
          <w:rFonts w:ascii="Arial" w:cs="Arial" w:eastAsia="Arial" w:hAnsi="Arial"/>
          <w:sz w:val="13"/>
          <w:szCs w:val="13"/>
          <w:color w:val="202945"/>
        </w:rPr>
        <w:t>Based upon a Schedule 13D filed on June 16, 2025 with the SEC, each of the following persons has shared voting and dispositive power over 9,319,372 shares of common stock: Hudson, which serves as investment advisor to certain affiliated investment funds which have the right to receive dividends from, and the proceeds from the sale of, the 9,319,372 shares; HEC Management GP LLC, which is the general partner of Hudson; and Douglas L. Braunstein, who is the managing partner of Hudson and the managing member of HEC Management GP LLC. Mr. Braunstein’s total includes 20,212 shares of common stock directly owned by him. The business address of each of the foregoing persons is Hudson Executive Capital LP c/o White &amp; Case LLP, 1221 6th Avenue New York, NY, 10020.</w:t>
      </w:r>
    </w:p>
    <w:p>
      <w:pPr>
        <w:spacing w:after="0" w:line="57" w:lineRule="exact"/>
        <w:rPr>
          <w:rFonts w:ascii="Arial" w:cs="Arial" w:eastAsia="Arial" w:hAnsi="Arial"/>
          <w:sz w:val="16"/>
          <w:szCs w:val="16"/>
          <w:color w:val="202945"/>
          <w:vertAlign w:val="superscript"/>
        </w:rPr>
      </w:pPr>
    </w:p>
    <w:p>
      <w:pPr>
        <w:ind w:left="200" w:right="20" w:hanging="192"/>
        <w:spacing w:after="0" w:line="296" w:lineRule="auto"/>
        <w:tabs>
          <w:tab w:leader="none" w:pos="186" w:val="left"/>
        </w:tabs>
        <w:numPr>
          <w:ilvl w:val="0"/>
          <w:numId w:val="77"/>
        </w:numPr>
        <w:rPr>
          <w:rFonts w:ascii="Arial" w:cs="Arial" w:eastAsia="Arial" w:hAnsi="Arial"/>
          <w:sz w:val="16"/>
          <w:szCs w:val="16"/>
          <w:color w:val="202945"/>
          <w:vertAlign w:val="superscript"/>
        </w:rPr>
      </w:pPr>
      <w:r>
        <w:rPr>
          <w:rFonts w:ascii="Arial" w:cs="Arial" w:eastAsia="Arial" w:hAnsi="Arial"/>
          <w:sz w:val="13"/>
          <w:szCs w:val="13"/>
          <w:color w:val="202945"/>
        </w:rPr>
        <w:t>Based upon a Schedule 13G filed on January 29, 2024 with the SEC, each of the following subsidiaries of BlackRock, Inc. have the right to receive or the power to direct the receipt of dividends from, or the proceeds from the sale of, the 4,423,558 shares: Aperio Group, LLC, BlackRock Advisors, LLC, BlackRock Asset Management Canada Limited, BlackRock Fund Advisors, BlackRock Asset Management Ireland Limited, BlackRock Institutional Trust Company, NA, BlackRock Financial Management, Inc., BlackRock Fund Managers Ltd, BlackRock Asset Management Schweiz AG, and BlackRock Investment Management, LLC. The address of BlackRock, Inc. is 55 East 52nd Street, New York, NY 10055.</w:t>
      </w:r>
    </w:p>
    <w:p>
      <w:pPr>
        <w:spacing w:after="0" w:line="56" w:lineRule="exact"/>
        <w:rPr>
          <w:rFonts w:ascii="Arial" w:cs="Arial" w:eastAsia="Arial" w:hAnsi="Arial"/>
          <w:sz w:val="16"/>
          <w:szCs w:val="16"/>
          <w:color w:val="202945"/>
          <w:vertAlign w:val="superscript"/>
        </w:rPr>
      </w:pPr>
    </w:p>
    <w:p>
      <w:pPr>
        <w:ind w:left="200" w:right="60" w:hanging="192"/>
        <w:spacing w:after="0" w:line="293" w:lineRule="auto"/>
        <w:tabs>
          <w:tab w:leader="none" w:pos="186" w:val="left"/>
        </w:tabs>
        <w:numPr>
          <w:ilvl w:val="0"/>
          <w:numId w:val="77"/>
        </w:numPr>
        <w:rPr>
          <w:rFonts w:ascii="Arial" w:cs="Arial" w:eastAsia="Arial" w:hAnsi="Arial"/>
          <w:sz w:val="16"/>
          <w:szCs w:val="16"/>
          <w:color w:val="202945"/>
          <w:vertAlign w:val="superscript"/>
        </w:rPr>
      </w:pPr>
      <w:r>
        <w:rPr>
          <w:rFonts w:ascii="Arial" w:cs="Arial" w:eastAsia="Arial" w:hAnsi="Arial"/>
          <w:sz w:val="13"/>
          <w:szCs w:val="13"/>
          <w:color w:val="202945"/>
        </w:rPr>
        <w:t>Based upon a Schedule 13G filed on February 5, 2025 with the SEC, Oakland Hills BV directly owns 3,667,000 shares of common stock. Malabar Hill NV, is the statutory director of Oakland Hills BV, and Mr. R. Derksen, and Mrs. E.G.J. Labas are each statutory directors of Malabar Hill NV and, acting individually, each have voting and dispositive power over the shares held by Oakland Hills BV. Prior to his death on November 21, 2022, Drs. Frederick Harald Fentener van Vlissingen was statutory director of Malabar Hill NV. As the executor of the estate of Drs. van Vlissingen, Mrs. Eveline Muller has the ability to appoint and remove statutory directors of Malabar Hill NV and may be deemed a beneficial owner of the shares reported on the Schedule 13G. The principal business address of each of the foregoing persons is Albert Hahnplantsoen 23, 1077 BM, Amsterdam, The Netherlands.</w:t>
      </w:r>
    </w:p>
    <w:p>
      <w:pPr>
        <w:spacing w:after="0" w:line="271" w:lineRule="exact"/>
        <w:rPr>
          <w:sz w:val="20"/>
          <w:szCs w:val="20"/>
          <w:color w:val="auto"/>
        </w:rPr>
      </w:pPr>
    </w:p>
    <w:p>
      <w:pPr>
        <w:spacing w:after="0"/>
        <w:rPr>
          <w:sz w:val="20"/>
          <w:szCs w:val="20"/>
          <w:color w:val="auto"/>
        </w:rPr>
      </w:pPr>
      <w:r>
        <w:rPr>
          <w:rFonts w:ascii="Arial" w:cs="Arial" w:eastAsia="Arial" w:hAnsi="Arial"/>
          <w:sz w:val="29"/>
          <w:szCs w:val="29"/>
          <w:b w:val="1"/>
          <w:bCs w:val="1"/>
          <w:color w:val="FF7F32"/>
        </w:rPr>
        <w:t>Preferred Stock</w:t>
      </w:r>
    </w:p>
    <w:p>
      <w:pPr>
        <w:spacing w:after="0" w:line="267" w:lineRule="exact"/>
        <w:rPr>
          <w:sz w:val="20"/>
          <w:szCs w:val="20"/>
          <w:color w:val="auto"/>
        </w:rPr>
      </w:pPr>
    </w:p>
    <w:p>
      <w:pPr>
        <w:ind w:right="460"/>
        <w:spacing w:after="0" w:line="336" w:lineRule="auto"/>
        <w:rPr>
          <w:sz w:val="20"/>
          <w:szCs w:val="20"/>
          <w:color w:val="auto"/>
        </w:rPr>
      </w:pPr>
      <w:r>
        <w:rPr>
          <w:rFonts w:ascii="Arial" w:cs="Arial" w:eastAsia="Arial" w:hAnsi="Arial"/>
          <w:sz w:val="16"/>
          <w:szCs w:val="16"/>
          <w:color w:val="auto"/>
        </w:rPr>
        <w:t>As of October 10, 2025, there were 385,282 shares of Series A Preferred Stock outstanding. None of the Company’s directors or executive officers beneficially own shares of Series A Preferred Stock, and to the Company’s knowledge, there are no beneficial owners of more than 5% of the Series A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144145</wp:posOffset>
            </wp:positionV>
            <wp:extent cx="925830" cy="26606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925830" cy="266065"/>
                    </a:xfrm>
                    <a:prstGeom prst="rect">
                      <a:avLst/>
                    </a:prstGeom>
                    <a:noFill/>
                  </pic:spPr>
                </pic:pic>
              </a:graphicData>
            </a:graphic>
          </wp:anchor>
        </w:drawing>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b w:val="1"/>
                <w:bCs w:val="1"/>
                <w:color w:val="FF7F32"/>
              </w:rPr>
              <w:t xml:space="preserve">2026 </w:t>
            </w:r>
            <w:r>
              <w:rPr>
                <w:rFonts w:ascii="Arial" w:cs="Arial" w:eastAsia="Arial" w:hAnsi="Arial"/>
                <w:sz w:val="13"/>
                <w:szCs w:val="13"/>
                <w:color w:val="000000"/>
              </w:rPr>
              <w:t>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auto"/>
              </w:rPr>
              <w:t>77</w:t>
            </w:r>
          </w:p>
        </w:tc>
      </w:tr>
      <w:tr>
        <w:trPr>
          <w:trHeight w:val="420"/>
        </w:trPr>
        <w:tc>
          <w:tcPr>
            <w:tcW w:w="618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80" w:name="page81"/>
    <w:bookmarkEnd w:id="80"/>
    <w:p>
      <w:pPr>
        <w:spacing w:after="0"/>
        <w:rPr>
          <w:sz w:val="20"/>
          <w:szCs w:val="20"/>
          <w:color w:val="auto"/>
        </w:rPr>
      </w:pPr>
      <w:r>
        <w:rPr>
          <w:rFonts w:ascii="Arial" w:cs="Arial" w:eastAsia="Arial" w:hAnsi="Arial"/>
          <w:sz w:val="13"/>
          <w:szCs w:val="13"/>
          <w:color w:val="auto"/>
        </w:rPr>
        <w:t>Executive Compensation Tables and Related Disclosures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32"/>
          <w:szCs w:val="32"/>
          <w:b w:val="1"/>
          <w:bCs w:val="1"/>
          <w:color w:val="202945"/>
        </w:rPr>
        <w:t>Delinquent Section 16(a) Reports</w:t>
      </w:r>
    </w:p>
    <w:p>
      <w:pPr>
        <w:spacing w:after="0" w:line="283" w:lineRule="exact"/>
        <w:rPr>
          <w:sz w:val="20"/>
          <w:szCs w:val="20"/>
          <w:color w:val="auto"/>
        </w:rPr>
      </w:pPr>
    </w:p>
    <w:p>
      <w:pPr>
        <w:ind w:right="200"/>
        <w:spacing w:after="0" w:line="282" w:lineRule="auto"/>
        <w:rPr>
          <w:sz w:val="20"/>
          <w:szCs w:val="20"/>
          <w:color w:val="auto"/>
        </w:rPr>
      </w:pPr>
      <w:r>
        <w:rPr>
          <w:rFonts w:ascii="Arial" w:cs="Arial" w:eastAsia="Arial" w:hAnsi="Arial"/>
          <w:sz w:val="16"/>
          <w:szCs w:val="16"/>
          <w:color w:val="auto"/>
        </w:rPr>
        <w:t>Section 16(a) of the Securities Exchange Act of 1934 requires the Company’s officers and directors, and persons who own more than ten percent of a registered class of the Company’s equity securities, to file with the Securities and Exchange Commission reports of ownership of Company securities and changes in reported ownership. Based on a review of reports filed with the SEC, or written representations from reporting persons that all reportable transaction were reported, the Company believes that during the fiscal year ended June 30, 2025, the Company’s officers, directors and greater than ten percent owners timely filed all reports they were required to file under Section 16(a), except reports filed by Messrs. Grachek, Stewart, Venkatesan, Singal and Dumbrell and Ms. Novoseletsky regarding historic grants of RSUs, which were similarly filed late as a result of an administrative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93980</wp:posOffset>
            </wp:positionV>
            <wp:extent cx="925830" cy="26543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925830" cy="265430"/>
                    </a:xfrm>
                    <a:prstGeom prst="rect">
                      <a:avLst/>
                    </a:prstGeom>
                    <a:noFill/>
                  </pic:spPr>
                </pic:pic>
              </a:graphicData>
            </a:graphic>
          </wp:anchor>
        </w:drawing>
      </w:r>
    </w:p>
    <w:p>
      <w:pPr>
        <w:spacing w:after="0" w:line="286"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auto"/>
        </w:rPr>
        <w:t>78</w:t>
      </w:r>
      <w:r>
        <w:rPr>
          <w:sz w:val="20"/>
          <w:szCs w:val="20"/>
          <w:color w:val="auto"/>
        </w:rPr>
        <w:tab/>
      </w:r>
      <w:r>
        <w:rPr>
          <w:rFonts w:ascii="Arial" w:cs="Arial" w:eastAsia="Arial" w:hAnsi="Arial"/>
          <w:sz w:val="12"/>
          <w:szCs w:val="12"/>
          <w:b w:val="1"/>
          <w:bCs w:val="1"/>
          <w:color w:val="FF7F32"/>
        </w:rPr>
        <w:t xml:space="preserve">2026 </w:t>
      </w:r>
      <w:r>
        <w:rPr>
          <w:rFonts w:ascii="Arial" w:cs="Arial" w:eastAsia="Arial" w:hAnsi="Arial"/>
          <w:sz w:val="12"/>
          <w:szCs w:val="12"/>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9" w:right="359" w:bottom="1440" w:gutter="0" w:footer="0" w:header="0"/>
        </w:sectPr>
      </w:pPr>
    </w:p>
    <w:bookmarkStart w:id="81" w:name="page82"/>
    <w:bookmarkEnd w:id="81"/>
    <w:p>
      <w:pPr>
        <w:ind w:right="1460"/>
        <w:spacing w:after="0" w:line="343" w:lineRule="auto"/>
        <w:rPr>
          <w:sz w:val="20"/>
          <w:szCs w:val="20"/>
          <w:color w:val="auto"/>
        </w:rPr>
      </w:pPr>
      <w:r>
        <w:rPr>
          <w:rFonts w:ascii="Arial" w:cs="Arial" w:eastAsia="Arial" w:hAnsi="Arial"/>
          <w:sz w:val="50"/>
          <w:szCs w:val="50"/>
          <w:b w:val="1"/>
          <w:bCs w:val="1"/>
          <w:color w:val="FF7F32"/>
        </w:rPr>
        <w:t>Questions and Answers About the Proxy Materials and Annual Meeting</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Why am I receiving a notice regarding the availability of proxy materials on the Internet?</w:t>
      </w:r>
    </w:p>
    <w:p>
      <w:pPr>
        <w:spacing w:after="0" w:line="165" w:lineRule="exact"/>
        <w:rPr>
          <w:sz w:val="20"/>
          <w:szCs w:val="20"/>
          <w:color w:val="auto"/>
        </w:rPr>
      </w:pPr>
    </w:p>
    <w:p>
      <w:pPr>
        <w:ind w:right="100"/>
        <w:spacing w:after="0" w:line="336" w:lineRule="auto"/>
        <w:rPr>
          <w:sz w:val="20"/>
          <w:szCs w:val="20"/>
          <w:color w:val="auto"/>
        </w:rPr>
      </w:pPr>
      <w:r>
        <w:rPr>
          <w:rFonts w:ascii="Arial" w:cs="Arial" w:eastAsia="Arial" w:hAnsi="Arial"/>
          <w:sz w:val="16"/>
          <w:szCs w:val="16"/>
          <w:color w:val="auto"/>
        </w:rPr>
        <w:t>You are receiving a Notice because, as of the close of business on September 25, 2025, you owned shares of Common Stock, or series A convertible preferred stock, no par value (“Series A Preferred Stock”), of the Company. We are providing access to our proxy materials over the Internet pursuant to the Securities and Exchange Commission’s notice and access rules. The Notice will indicate how to access our proxy statement on the Internet and will include instructions on how you can receive a paper copy of the annual meeting materials, including the notice of annual meeting, proxy statement and proxy card.</w:t>
      </w:r>
    </w:p>
    <w:p>
      <w:pPr>
        <w:spacing w:after="0" w:line="63" w:lineRule="exact"/>
        <w:rPr>
          <w:sz w:val="20"/>
          <w:szCs w:val="20"/>
          <w:color w:val="auto"/>
        </w:rPr>
      </w:pPr>
    </w:p>
    <w:p>
      <w:pPr>
        <w:ind w:right="40"/>
        <w:spacing w:after="0" w:line="336" w:lineRule="auto"/>
        <w:rPr>
          <w:sz w:val="20"/>
          <w:szCs w:val="20"/>
          <w:color w:val="auto"/>
        </w:rPr>
      </w:pPr>
      <w:r>
        <w:rPr>
          <w:rFonts w:ascii="Arial" w:cs="Arial" w:eastAsia="Arial" w:hAnsi="Arial"/>
          <w:sz w:val="16"/>
          <w:szCs w:val="16"/>
          <w:color w:val="auto"/>
        </w:rPr>
        <w:t>When you execute your proxy, you appoint Scott Stewart and Anna Novoseletsky each as your representatives at the annual meeting. Mr. Stewart and/or Ms. Novoseletsky will vote your shares at the meeting as you have instructed them on the proxy card. If an issue comes up for vote at the meeting that is not on the proxy card, Mr. Stewart and/or Ms. Novoseletsky will vote your shares, under your proxy, in accordance with their best judgment.</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How can I attend the annual meeting?</w:t>
      </w:r>
    </w:p>
    <w:p>
      <w:pPr>
        <w:spacing w:after="0" w:line="165" w:lineRule="exact"/>
        <w:rPr>
          <w:sz w:val="20"/>
          <w:szCs w:val="20"/>
          <w:color w:val="auto"/>
        </w:rPr>
      </w:pPr>
    </w:p>
    <w:p>
      <w:pPr>
        <w:ind w:right="160"/>
        <w:spacing w:after="0" w:line="326" w:lineRule="auto"/>
        <w:rPr>
          <w:sz w:val="20"/>
          <w:szCs w:val="20"/>
          <w:color w:val="auto"/>
        </w:rPr>
      </w:pPr>
      <w:r>
        <w:rPr>
          <w:rFonts w:ascii="Arial" w:cs="Arial" w:eastAsia="Arial" w:hAnsi="Arial"/>
          <w:sz w:val="16"/>
          <w:szCs w:val="16"/>
          <w:color w:val="auto"/>
        </w:rPr>
        <w:t xml:space="preserve">We look forward to continuing to provide expanded access, improved communication, and cost savings for the Company and our shareholders by holding our Annual Meeting entirely online. We believe a live virtual meeting enables increased shareholder attendance and participation and is an efficient use of resources for our shareholders and the Company. Accordingly, the 2026 Annual Meeting of Shareholders will be held in live virtual format. Only such shareholders as of the close of business on September 25, 2025, their proxy holders, and our invited guests may attend the 2026 Annual Meeting of Shareholders. To participate in the virtual annual meeting, visit </w:t>
      </w:r>
      <w:r>
        <w:rPr>
          <w:rFonts w:ascii="Arial" w:cs="Arial" w:eastAsia="Arial" w:hAnsi="Arial"/>
          <w:sz w:val="16"/>
          <w:szCs w:val="16"/>
          <w:i w:val="1"/>
          <w:iCs w:val="1"/>
          <w:color w:val="auto"/>
        </w:rPr>
        <w:t>www.virtualshareholdermeeting.com/CTLP2025</w:t>
      </w:r>
      <w:r>
        <w:rPr>
          <w:rFonts w:ascii="Arial" w:cs="Arial" w:eastAsia="Arial" w:hAnsi="Arial"/>
          <w:sz w:val="16"/>
          <w:szCs w:val="16"/>
          <w:color w:val="auto"/>
        </w:rPr>
        <w:t xml:space="preserve"> and log in using the 16-digit control number printed in the box marked by the arrow on your proxy card. If you encounter any technical difficulties with the virtual meeting platform on the meeting day, technical support phone numbers will be posted on the virtual meeting log-in page.</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What am I voting on?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At the Annual Meeting, we will ask holders of our Common Stock or Series A Preferred Stock to consider and vote upon the following items:</w:t>
      </w:r>
    </w:p>
    <w:p>
      <w:pPr>
        <w:spacing w:after="0" w:line="169" w:lineRule="exact"/>
        <w:rPr>
          <w:sz w:val="20"/>
          <w:szCs w:val="20"/>
          <w:color w:val="auto"/>
        </w:rPr>
      </w:pPr>
    </w:p>
    <w:p>
      <w:pPr>
        <w:ind w:left="260" w:hanging="252"/>
        <w:spacing w:after="0"/>
        <w:tabs>
          <w:tab w:leader="none" w:pos="260" w:val="left"/>
        </w:tabs>
        <w:numPr>
          <w:ilvl w:val="0"/>
          <w:numId w:val="78"/>
        </w:numPr>
        <w:rPr>
          <w:rFonts w:ascii="Arial" w:cs="Arial" w:eastAsia="Arial" w:hAnsi="Arial"/>
          <w:sz w:val="16"/>
          <w:szCs w:val="16"/>
          <w:b w:val="1"/>
          <w:bCs w:val="1"/>
          <w:color w:val="FF7F32"/>
        </w:rPr>
      </w:pPr>
      <w:r>
        <w:rPr>
          <w:rFonts w:ascii="Arial" w:cs="Arial" w:eastAsia="Arial" w:hAnsi="Arial"/>
          <w:sz w:val="16"/>
          <w:szCs w:val="16"/>
          <w:i w:val="1"/>
          <w:iCs w:val="1"/>
          <w:color w:val="auto"/>
        </w:rPr>
        <w:t>Election of Directors</w:t>
      </w:r>
    </w:p>
    <w:p>
      <w:pPr>
        <w:spacing w:after="0" w:line="165" w:lineRule="exact"/>
        <w:rPr>
          <w:rFonts w:ascii="Arial" w:cs="Arial" w:eastAsia="Arial" w:hAnsi="Arial"/>
          <w:sz w:val="16"/>
          <w:szCs w:val="16"/>
          <w:b w:val="1"/>
          <w:bCs w:val="1"/>
          <w:color w:val="FF7F32"/>
        </w:rPr>
      </w:pPr>
    </w:p>
    <w:p>
      <w:pPr>
        <w:ind w:left="260"/>
        <w:spacing w:after="0"/>
        <w:rPr>
          <w:rFonts w:ascii="Arial" w:cs="Arial" w:eastAsia="Arial" w:hAnsi="Arial"/>
          <w:sz w:val="16"/>
          <w:szCs w:val="16"/>
          <w:b w:val="1"/>
          <w:bCs w:val="1"/>
          <w:color w:val="FF7F32"/>
        </w:rPr>
      </w:pPr>
      <w:r>
        <w:rPr>
          <w:rFonts w:ascii="Arial" w:cs="Arial" w:eastAsia="Arial" w:hAnsi="Arial"/>
          <w:sz w:val="16"/>
          <w:szCs w:val="16"/>
          <w:color w:val="auto"/>
        </w:rPr>
        <w:t>The election of nine directors to serve until the 2026 Annual Meeting of Shareholders.</w:t>
      </w:r>
    </w:p>
    <w:p>
      <w:pPr>
        <w:spacing w:after="0" w:line="169" w:lineRule="exact"/>
        <w:rPr>
          <w:rFonts w:ascii="Arial" w:cs="Arial" w:eastAsia="Arial" w:hAnsi="Arial"/>
          <w:sz w:val="16"/>
          <w:szCs w:val="16"/>
          <w:b w:val="1"/>
          <w:bCs w:val="1"/>
          <w:color w:val="FF7F32"/>
        </w:rPr>
      </w:pPr>
    </w:p>
    <w:p>
      <w:pPr>
        <w:ind w:left="260" w:hanging="252"/>
        <w:spacing w:after="0"/>
        <w:tabs>
          <w:tab w:leader="none" w:pos="260" w:val="left"/>
        </w:tabs>
        <w:numPr>
          <w:ilvl w:val="0"/>
          <w:numId w:val="78"/>
        </w:numPr>
        <w:rPr>
          <w:rFonts w:ascii="Arial" w:cs="Arial" w:eastAsia="Arial" w:hAnsi="Arial"/>
          <w:sz w:val="16"/>
          <w:szCs w:val="16"/>
          <w:b w:val="1"/>
          <w:bCs w:val="1"/>
          <w:color w:val="FF7F32"/>
        </w:rPr>
      </w:pPr>
      <w:r>
        <w:rPr>
          <w:rFonts w:ascii="Arial" w:cs="Arial" w:eastAsia="Arial" w:hAnsi="Arial"/>
          <w:sz w:val="16"/>
          <w:szCs w:val="16"/>
          <w:i w:val="1"/>
          <w:iCs w:val="1"/>
          <w:color w:val="auto"/>
        </w:rPr>
        <w:t>Advisory Vote on the Compensation of our Named Executive Officers</w:t>
      </w:r>
    </w:p>
    <w:p>
      <w:pPr>
        <w:spacing w:after="0" w:line="165" w:lineRule="exact"/>
        <w:rPr>
          <w:rFonts w:ascii="Arial" w:cs="Arial" w:eastAsia="Arial" w:hAnsi="Arial"/>
          <w:sz w:val="16"/>
          <w:szCs w:val="16"/>
          <w:b w:val="1"/>
          <w:bCs w:val="1"/>
          <w:color w:val="FF7F32"/>
        </w:rPr>
      </w:pPr>
    </w:p>
    <w:p>
      <w:pPr>
        <w:ind w:left="260"/>
        <w:spacing w:after="0"/>
        <w:rPr>
          <w:rFonts w:ascii="Arial" w:cs="Arial" w:eastAsia="Arial" w:hAnsi="Arial"/>
          <w:sz w:val="16"/>
          <w:szCs w:val="16"/>
          <w:b w:val="1"/>
          <w:bCs w:val="1"/>
          <w:color w:val="FF7F32"/>
        </w:rPr>
      </w:pPr>
      <w:r>
        <w:rPr>
          <w:rFonts w:ascii="Arial" w:cs="Arial" w:eastAsia="Arial" w:hAnsi="Arial"/>
          <w:sz w:val="16"/>
          <w:szCs w:val="16"/>
          <w:color w:val="auto"/>
        </w:rPr>
        <w:t>A “Say-on-Pay” advisory vote on the approval of the compensation of the Company’s named executive officers.</w:t>
      </w:r>
    </w:p>
    <w:p>
      <w:pPr>
        <w:spacing w:after="0" w:line="182" w:lineRule="exact"/>
        <w:rPr>
          <w:rFonts w:ascii="Arial" w:cs="Arial" w:eastAsia="Arial" w:hAnsi="Arial"/>
          <w:sz w:val="16"/>
          <w:szCs w:val="16"/>
          <w:b w:val="1"/>
          <w:bCs w:val="1"/>
          <w:color w:val="FF7F32"/>
        </w:rPr>
      </w:pPr>
    </w:p>
    <w:p>
      <w:pPr>
        <w:ind w:left="240" w:hanging="232"/>
        <w:spacing w:after="0"/>
        <w:tabs>
          <w:tab w:leader="none" w:pos="240" w:val="left"/>
        </w:tabs>
        <w:numPr>
          <w:ilvl w:val="0"/>
          <w:numId w:val="78"/>
        </w:numPr>
        <w:rPr>
          <w:rFonts w:ascii="Arial" w:cs="Arial" w:eastAsia="Arial" w:hAnsi="Arial"/>
          <w:sz w:val="16"/>
          <w:szCs w:val="16"/>
          <w:b w:val="1"/>
          <w:bCs w:val="1"/>
          <w:color w:val="FF7F32"/>
        </w:rPr>
      </w:pPr>
      <w:r>
        <w:rPr>
          <w:rFonts w:ascii="Arial" w:cs="Arial" w:eastAsia="Arial" w:hAnsi="Arial"/>
          <w:sz w:val="16"/>
          <w:szCs w:val="16"/>
          <w:i w:val="1"/>
          <w:iCs w:val="1"/>
          <w:color w:val="auto"/>
        </w:rPr>
        <w:t>Ratification of Appointment of Independent Registered Public Accounting Firm</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Ratification of the appointment of Deloitte as the Company’s independent registered public accounting firm for the fiscal year ending June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389255</wp:posOffset>
            </wp:positionV>
            <wp:extent cx="925830" cy="26543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92583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b w:val="1"/>
                <w:bCs w:val="1"/>
                <w:color w:val="FF7F32"/>
              </w:rPr>
              <w:t xml:space="preserve">2026 </w:t>
            </w:r>
            <w:r>
              <w:rPr>
                <w:rFonts w:ascii="Arial" w:cs="Arial" w:eastAsia="Arial" w:hAnsi="Arial"/>
                <w:sz w:val="13"/>
                <w:szCs w:val="13"/>
                <w:color w:val="000000"/>
              </w:rPr>
              <w:t>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auto"/>
              </w:rPr>
              <w:t>79</w:t>
            </w:r>
          </w:p>
        </w:tc>
      </w:tr>
      <w:tr>
        <w:trPr>
          <w:trHeight w:val="677"/>
        </w:trPr>
        <w:tc>
          <w:tcPr>
            <w:tcW w:w="618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82" w:name="page83"/>
    <w:bookmarkEnd w:id="82"/>
    <w:p>
      <w:pPr>
        <w:spacing w:after="0"/>
        <w:rPr>
          <w:sz w:val="20"/>
          <w:szCs w:val="20"/>
          <w:color w:val="auto"/>
        </w:rPr>
      </w:pPr>
      <w:r>
        <w:rPr>
          <w:rFonts w:ascii="Arial" w:cs="Arial" w:eastAsia="Arial" w:hAnsi="Arial"/>
          <w:sz w:val="13"/>
          <w:szCs w:val="13"/>
          <w:color w:val="202945"/>
        </w:rPr>
        <w:t>Questions and Answers About the Proxy Materials and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Who is entitled to vote?</w:t>
      </w:r>
    </w:p>
    <w:p>
      <w:pPr>
        <w:spacing w:after="0" w:line="165" w:lineRule="exact"/>
        <w:rPr>
          <w:sz w:val="20"/>
          <w:szCs w:val="20"/>
          <w:color w:val="auto"/>
        </w:rPr>
      </w:pPr>
    </w:p>
    <w:p>
      <w:pPr>
        <w:ind w:right="80"/>
        <w:spacing w:after="0" w:line="336" w:lineRule="auto"/>
        <w:rPr>
          <w:sz w:val="20"/>
          <w:szCs w:val="20"/>
          <w:color w:val="auto"/>
        </w:rPr>
      </w:pPr>
      <w:r>
        <w:rPr>
          <w:rFonts w:ascii="Arial" w:cs="Arial" w:eastAsia="Arial" w:hAnsi="Arial"/>
          <w:sz w:val="16"/>
          <w:szCs w:val="16"/>
          <w:color w:val="auto"/>
        </w:rPr>
        <w:t>Shareholders as of the close of business on September 25, 2025 are entitled to vote. This is referred to as the record date. Each share of Common Stock is entitled to one vote and each share of Series A Preferred Stock is entitled to 0.1988 of a vote on all matters to come before the Annual Meeting, with any fractional vote being rounded to the nearest whole number.</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How do I vote my shares without attending the meeting?</w:t>
      </w:r>
    </w:p>
    <w:p>
      <w:pPr>
        <w:spacing w:after="0" w:line="179" w:lineRule="exact"/>
        <w:rPr>
          <w:sz w:val="20"/>
          <w:szCs w:val="20"/>
          <w:color w:val="auto"/>
        </w:rPr>
      </w:pPr>
    </w:p>
    <w:p>
      <w:pPr>
        <w:ind w:right="160"/>
        <w:spacing w:after="0" w:line="356" w:lineRule="auto"/>
        <w:rPr>
          <w:sz w:val="20"/>
          <w:szCs w:val="20"/>
          <w:color w:val="auto"/>
        </w:rPr>
      </w:pPr>
      <w:r>
        <w:rPr>
          <w:rFonts w:ascii="Arial" w:cs="Arial" w:eastAsia="Arial" w:hAnsi="Arial"/>
          <w:sz w:val="16"/>
          <w:szCs w:val="16"/>
          <w:color w:val="auto"/>
        </w:rPr>
        <w:t>If you are a shareholder of record as of the record date for the Annual Meeting, you may vote by granting a proxy. For shares held in street name, you may vote by submitting voting instructions to your broker or nominee. In most circumstances, you may vote:</w:t>
      </w:r>
    </w:p>
    <w:p>
      <w:pPr>
        <w:spacing w:after="0" w:line="21"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i w:val="1"/>
          <w:iCs w:val="1"/>
          <w:color w:val="auto"/>
        </w:rPr>
        <w:t xml:space="preserve">By Internet or Telephone </w:t>
      </w:r>
      <w:r>
        <w:rPr>
          <w:rFonts w:ascii="Arial" w:cs="Arial" w:eastAsia="Arial" w:hAnsi="Arial"/>
          <w:sz w:val="16"/>
          <w:szCs w:val="16"/>
          <w:color w:val="auto"/>
        </w:rPr>
        <w:t>- If you have internet or telephone access, you may submit your proxy by following the voting instructions in the Notice of Annual</w:t>
      </w:r>
      <w:r>
        <w:rPr>
          <w:rFonts w:ascii="Arial" w:cs="Arial" w:eastAsia="Arial" w:hAnsi="Arial"/>
          <w:sz w:val="16"/>
          <w:szCs w:val="16"/>
          <w:i w:val="1"/>
          <w:iCs w:val="1"/>
          <w:color w:val="auto"/>
        </w:rPr>
        <w:t xml:space="preserve"> </w:t>
      </w:r>
      <w:r>
        <w:rPr>
          <w:rFonts w:ascii="Arial" w:cs="Arial" w:eastAsia="Arial" w:hAnsi="Arial"/>
          <w:sz w:val="16"/>
          <w:szCs w:val="16"/>
          <w:color w:val="auto"/>
        </w:rPr>
        <w:t>Meeting no later than 11:59 p.m., ET, on November 18, 2025. If you vote by internet or telephone, you need not return your proxy card.</w:t>
      </w:r>
    </w:p>
    <w:p>
      <w:pPr>
        <w:spacing w:after="0" w:line="88" w:lineRule="exact"/>
        <w:rPr>
          <w:sz w:val="20"/>
          <w:szCs w:val="20"/>
          <w:color w:val="auto"/>
        </w:rPr>
      </w:pPr>
    </w:p>
    <w:p>
      <w:pPr>
        <w:ind w:right="20"/>
        <w:spacing w:after="0" w:line="336" w:lineRule="auto"/>
        <w:rPr>
          <w:sz w:val="20"/>
          <w:szCs w:val="20"/>
          <w:color w:val="auto"/>
        </w:rPr>
      </w:pPr>
      <w:r>
        <w:rPr>
          <w:rFonts w:ascii="Arial" w:cs="Arial" w:eastAsia="Arial" w:hAnsi="Arial"/>
          <w:sz w:val="16"/>
          <w:szCs w:val="16"/>
          <w:i w:val="1"/>
          <w:iCs w:val="1"/>
          <w:color w:val="auto"/>
        </w:rPr>
        <w:t xml:space="preserve">By Mail </w:t>
      </w:r>
      <w:r>
        <w:rPr>
          <w:rFonts w:ascii="Arial" w:cs="Arial" w:eastAsia="Arial" w:hAnsi="Arial"/>
          <w:sz w:val="16"/>
          <w:szCs w:val="16"/>
          <w:color w:val="auto"/>
        </w:rPr>
        <w:t>- If you received a paper copy of this proxy statement, you may vote by mail by signing, dating and mailing your proxy card in the envelope provided.</w:t>
      </w:r>
      <w:r>
        <w:rPr>
          <w:rFonts w:ascii="Arial" w:cs="Arial" w:eastAsia="Arial" w:hAnsi="Arial"/>
          <w:sz w:val="16"/>
          <w:szCs w:val="16"/>
          <w:i w:val="1"/>
          <w:iCs w:val="1"/>
          <w:color w:val="auto"/>
        </w:rPr>
        <w:t xml:space="preserve"> </w:t>
      </w:r>
      <w:r>
        <w:rPr>
          <w:rFonts w:ascii="Arial" w:cs="Arial" w:eastAsia="Arial" w:hAnsi="Arial"/>
          <w:sz w:val="16"/>
          <w:szCs w:val="16"/>
          <w:color w:val="auto"/>
        </w:rPr>
        <w:t>You should sign your name exactly as it appears on the proxy card. If you are signing in a representative capacity (for example, as guardian, executor, trustee, custodian, or attorney or an officer of a corporation), you should indicate your name and title or capacity.</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How do I vote my shares virtually at the meeting?</w:t>
      </w:r>
    </w:p>
    <w:p>
      <w:pPr>
        <w:spacing w:after="0" w:line="165" w:lineRule="exact"/>
        <w:rPr>
          <w:sz w:val="20"/>
          <w:szCs w:val="20"/>
          <w:color w:val="auto"/>
        </w:rPr>
      </w:pPr>
    </w:p>
    <w:p>
      <w:pPr>
        <w:ind w:right="140"/>
        <w:spacing w:after="0" w:line="330" w:lineRule="auto"/>
        <w:rPr>
          <w:sz w:val="20"/>
          <w:szCs w:val="20"/>
          <w:color w:val="auto"/>
        </w:rPr>
      </w:pPr>
      <w:r>
        <w:rPr>
          <w:rFonts w:ascii="Arial" w:cs="Arial" w:eastAsia="Arial" w:hAnsi="Arial"/>
          <w:sz w:val="16"/>
          <w:szCs w:val="16"/>
          <w:color w:val="auto"/>
        </w:rPr>
        <w:t xml:space="preserve">If you are a shareholder of record as of the record date for the Annual Meeting, you can participate in the Annual Meeting live online at </w:t>
      </w:r>
      <w:r>
        <w:rPr>
          <w:rFonts w:ascii="Arial" w:cs="Arial" w:eastAsia="Arial" w:hAnsi="Arial"/>
          <w:sz w:val="16"/>
          <w:szCs w:val="16"/>
          <w:i w:val="1"/>
          <w:iCs w:val="1"/>
          <w:color w:val="auto"/>
        </w:rPr>
        <w:t>www.virtualshareholdermeeting.com/CTLP2026</w:t>
      </w:r>
      <w:r>
        <w:rPr>
          <w:rFonts w:ascii="Arial" w:cs="Arial" w:eastAsia="Arial" w:hAnsi="Arial"/>
          <w:sz w:val="16"/>
          <w:szCs w:val="16"/>
          <w:color w:val="auto"/>
        </w:rPr>
        <w:t>. The webcast will start on November 19, 2025 at 11:00 a.m., ET. You may vote and submit questions while</w:t>
      </w:r>
      <w:r>
        <w:rPr>
          <w:rFonts w:ascii="Arial" w:cs="Arial" w:eastAsia="Arial" w:hAnsi="Arial"/>
          <w:sz w:val="16"/>
          <w:szCs w:val="16"/>
          <w:i w:val="1"/>
          <w:iCs w:val="1"/>
          <w:color w:val="auto"/>
        </w:rPr>
        <w:t xml:space="preserve"> </w:t>
      </w:r>
      <w:r>
        <w:rPr>
          <w:rFonts w:ascii="Arial" w:cs="Arial" w:eastAsia="Arial" w:hAnsi="Arial"/>
          <w:sz w:val="16"/>
          <w:szCs w:val="16"/>
          <w:color w:val="auto"/>
        </w:rPr>
        <w:t>attending the Annual Meeting online. You will need the sixteen-digit control number included on your Notice, on your proxy card or on the instructions that accompanied your proxy materials in order to be able to enter the meeting.</w:t>
      </w:r>
    </w:p>
    <w:p>
      <w:pPr>
        <w:spacing w:after="0" w:line="68" w:lineRule="exact"/>
        <w:rPr>
          <w:sz w:val="20"/>
          <w:szCs w:val="20"/>
          <w:color w:val="auto"/>
        </w:rPr>
      </w:pPr>
    </w:p>
    <w:p>
      <w:pPr>
        <w:ind w:right="120"/>
        <w:spacing w:after="0" w:line="345" w:lineRule="auto"/>
        <w:rPr>
          <w:sz w:val="20"/>
          <w:szCs w:val="20"/>
          <w:color w:val="auto"/>
        </w:rPr>
      </w:pPr>
      <w:r>
        <w:rPr>
          <w:rFonts w:ascii="Arial" w:cs="Arial" w:eastAsia="Arial" w:hAnsi="Arial"/>
          <w:sz w:val="16"/>
          <w:szCs w:val="16"/>
          <w:color w:val="auto"/>
        </w:rPr>
        <w:t>Street name shareholders must provide specific instructions on how to vote your shares by completing and returning the voting instruction form provided by your bank, broker, trustee or other nominee. Even if you plan to attend the virtual meeting, we encourage you to vote in advance by internet, telephone or mail so that your vote will be counted in the event you are unable to attend.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Are voting procedures different if I hold my shares in the name of a broker, bank or other nominee?</w:t>
      </w:r>
    </w:p>
    <w:p>
      <w:pPr>
        <w:spacing w:after="0" w:line="165" w:lineRule="exact"/>
        <w:rPr>
          <w:sz w:val="20"/>
          <w:szCs w:val="20"/>
          <w:color w:val="auto"/>
        </w:rPr>
      </w:pPr>
    </w:p>
    <w:p>
      <w:pPr>
        <w:ind w:right="20"/>
        <w:spacing w:after="0" w:line="336" w:lineRule="auto"/>
        <w:rPr>
          <w:sz w:val="20"/>
          <w:szCs w:val="20"/>
          <w:color w:val="auto"/>
        </w:rPr>
      </w:pPr>
      <w:r>
        <w:rPr>
          <w:rFonts w:ascii="Arial" w:cs="Arial" w:eastAsia="Arial" w:hAnsi="Arial"/>
          <w:sz w:val="16"/>
          <w:szCs w:val="16"/>
          <w:color w:val="auto"/>
        </w:rPr>
        <w:t>If your shares are held in “street name” through a broker, bank or other nominee, please refer to the instructions they provide regarding how to vote your shares or to revoke your voting instructions. If you hold your shares in the name of a broker, bank or other nominee, the availability of telephone and Internet voting depends on their voting processes. Street name holders may vote in person only if they have a legal proxy as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478155</wp:posOffset>
            </wp:positionV>
            <wp:extent cx="925830" cy="26543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92583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auto"/>
        </w:rPr>
        <w:t>80</w:t>
      </w:r>
      <w:r>
        <w:rPr>
          <w:sz w:val="20"/>
          <w:szCs w:val="20"/>
          <w:color w:val="auto"/>
        </w:rPr>
        <w:tab/>
      </w:r>
      <w:r>
        <w:rPr>
          <w:rFonts w:ascii="Arial" w:cs="Arial" w:eastAsia="Arial" w:hAnsi="Arial"/>
          <w:sz w:val="12"/>
          <w:szCs w:val="12"/>
          <w:b w:val="1"/>
          <w:bCs w:val="1"/>
          <w:color w:val="FF7F32"/>
        </w:rPr>
        <w:t xml:space="preserve">2026 </w:t>
      </w:r>
      <w:r>
        <w:rPr>
          <w:rFonts w:ascii="Arial" w:cs="Arial" w:eastAsia="Arial" w:hAnsi="Arial"/>
          <w:sz w:val="12"/>
          <w:szCs w:val="12"/>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7" w:right="359" w:bottom="1440" w:gutter="0" w:footer="0" w:header="0"/>
        </w:sectPr>
      </w:pPr>
    </w:p>
    <w:bookmarkStart w:id="83" w:name="page84"/>
    <w:bookmarkEnd w:id="83"/>
    <w:p>
      <w:pPr>
        <w:jc w:val="right"/>
        <w:spacing w:after="0"/>
        <w:rPr>
          <w:sz w:val="20"/>
          <w:szCs w:val="20"/>
          <w:color w:val="auto"/>
        </w:rPr>
      </w:pPr>
      <w:r>
        <w:rPr>
          <w:rFonts w:ascii="Arial" w:cs="Arial" w:eastAsia="Arial" w:hAnsi="Arial"/>
          <w:sz w:val="13"/>
          <w:szCs w:val="13"/>
          <w:color w:val="202945"/>
        </w:rPr>
        <w:t>Questions and Answers About the Proxy Materials and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How many votes do you need to hold the meeting?</w:t>
      </w:r>
    </w:p>
    <w:p>
      <w:pPr>
        <w:spacing w:after="0" w:line="165" w:lineRule="exact"/>
        <w:rPr>
          <w:sz w:val="20"/>
          <w:szCs w:val="20"/>
          <w:color w:val="auto"/>
        </w:rPr>
      </w:pPr>
    </w:p>
    <w:p>
      <w:pPr>
        <w:ind w:right="160"/>
        <w:spacing w:after="0" w:line="326" w:lineRule="auto"/>
        <w:rPr>
          <w:sz w:val="20"/>
          <w:szCs w:val="20"/>
          <w:color w:val="auto"/>
        </w:rPr>
      </w:pPr>
      <w:r>
        <w:rPr>
          <w:rFonts w:ascii="Arial" w:cs="Arial" w:eastAsia="Arial" w:hAnsi="Arial"/>
          <w:sz w:val="16"/>
          <w:szCs w:val="16"/>
          <w:color w:val="auto"/>
        </w:rPr>
        <w:t>As of September 25, 2025, the record date for the Annual Meeting, there were 73,391,758 shares of Common Stock and 385,282 shares of Series A Preferred Stock of the Company. Only holders of Common Stock or Series A Preferred Stock of record at the close of business on September 25, 2025 will be entitled to vote. Each share of Common Stock is entitled to one vote and each share of Series A Preferred Stock is entitled to 0.1988 of a vote on all matters to come before the Annual Meeting, with any fractional vote being rounded to the nearest whole number. The number of votes to which each share of Series A Preferred Stock is entitled is equal to the votes attributable to that number of shares of Common Stock into which each share of Series A Preferred Stock is convertible. A majority of the Company’s outstanding shares as of the record date must be present at the meeting either in person or by proxy in order to hold the meeting and conduct business. This is called a quorum.</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Your shares will be counted as present at the meeting if you:</w:t>
      </w:r>
    </w:p>
    <w:p>
      <w:pPr>
        <w:spacing w:after="0" w:line="167" w:lineRule="exact"/>
        <w:rPr>
          <w:sz w:val="20"/>
          <w:szCs w:val="20"/>
          <w:color w:val="auto"/>
        </w:rPr>
      </w:pPr>
    </w:p>
    <w:p>
      <w:pPr>
        <w:ind w:left="180" w:hanging="172"/>
        <w:spacing w:after="0"/>
        <w:tabs>
          <w:tab w:leader="none" w:pos="180" w:val="left"/>
        </w:tabs>
        <w:numPr>
          <w:ilvl w:val="0"/>
          <w:numId w:val="79"/>
        </w:numPr>
        <w:rPr>
          <w:rFonts w:ascii="Arial" w:cs="Arial" w:eastAsia="Arial" w:hAnsi="Arial"/>
          <w:sz w:val="16"/>
          <w:szCs w:val="16"/>
          <w:b w:val="1"/>
          <w:bCs w:val="1"/>
          <w:color w:val="FF7F32"/>
        </w:rPr>
      </w:pPr>
      <w:r>
        <w:rPr>
          <w:rFonts w:ascii="Arial" w:cs="Arial" w:eastAsia="Arial" w:hAnsi="Arial"/>
          <w:sz w:val="16"/>
          <w:szCs w:val="16"/>
          <w:color w:val="auto"/>
        </w:rPr>
        <w:t>vote via the Internet or by telephone, if available;</w:t>
      </w:r>
    </w:p>
    <w:p>
      <w:pPr>
        <w:spacing w:after="0" w:line="126" w:lineRule="exact"/>
        <w:rPr>
          <w:rFonts w:ascii="Arial" w:cs="Arial" w:eastAsia="Arial" w:hAnsi="Arial"/>
          <w:sz w:val="16"/>
          <w:szCs w:val="16"/>
          <w:b w:val="1"/>
          <w:bCs w:val="1"/>
          <w:color w:val="FF7F32"/>
        </w:rPr>
      </w:pPr>
    </w:p>
    <w:p>
      <w:pPr>
        <w:ind w:left="180" w:hanging="172"/>
        <w:spacing w:after="0"/>
        <w:tabs>
          <w:tab w:leader="none" w:pos="180" w:val="left"/>
        </w:tabs>
        <w:numPr>
          <w:ilvl w:val="0"/>
          <w:numId w:val="79"/>
        </w:numPr>
        <w:rPr>
          <w:rFonts w:ascii="Arial" w:cs="Arial" w:eastAsia="Arial" w:hAnsi="Arial"/>
          <w:sz w:val="16"/>
          <w:szCs w:val="16"/>
          <w:b w:val="1"/>
          <w:bCs w:val="1"/>
          <w:color w:val="FF7F32"/>
        </w:rPr>
      </w:pPr>
      <w:r>
        <w:rPr>
          <w:rFonts w:ascii="Arial" w:cs="Arial" w:eastAsia="Arial" w:hAnsi="Arial"/>
          <w:sz w:val="16"/>
          <w:szCs w:val="16"/>
          <w:color w:val="auto"/>
        </w:rPr>
        <w:t>properly submit a proxy (even if you do not provide voting instructions); or</w:t>
      </w:r>
    </w:p>
    <w:p>
      <w:pPr>
        <w:spacing w:after="0" w:line="140" w:lineRule="exact"/>
        <w:rPr>
          <w:rFonts w:ascii="Arial" w:cs="Arial" w:eastAsia="Arial" w:hAnsi="Arial"/>
          <w:sz w:val="16"/>
          <w:szCs w:val="16"/>
          <w:b w:val="1"/>
          <w:bCs w:val="1"/>
          <w:color w:val="FF7F32"/>
        </w:rPr>
      </w:pPr>
    </w:p>
    <w:p>
      <w:pPr>
        <w:ind w:left="180" w:hanging="172"/>
        <w:spacing w:after="0"/>
        <w:tabs>
          <w:tab w:leader="none" w:pos="180" w:val="left"/>
        </w:tabs>
        <w:numPr>
          <w:ilvl w:val="0"/>
          <w:numId w:val="79"/>
        </w:numPr>
        <w:rPr>
          <w:rFonts w:ascii="Arial" w:cs="Arial" w:eastAsia="Arial" w:hAnsi="Arial"/>
          <w:sz w:val="16"/>
          <w:szCs w:val="16"/>
          <w:b w:val="1"/>
          <w:bCs w:val="1"/>
          <w:color w:val="FF7F32"/>
        </w:rPr>
      </w:pPr>
      <w:r>
        <w:rPr>
          <w:rFonts w:ascii="Arial" w:cs="Arial" w:eastAsia="Arial" w:hAnsi="Arial"/>
          <w:sz w:val="16"/>
          <w:szCs w:val="16"/>
          <w:color w:val="auto"/>
        </w:rPr>
        <w:t>attend the virtual meeting and vote electronically.</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What does it mean if I receive more than one Notice?</w:t>
      </w:r>
    </w:p>
    <w:p>
      <w:pPr>
        <w:spacing w:after="0" w:line="165" w:lineRule="exact"/>
        <w:rPr>
          <w:sz w:val="20"/>
          <w:szCs w:val="20"/>
          <w:color w:val="auto"/>
        </w:rPr>
      </w:pPr>
    </w:p>
    <w:p>
      <w:pPr>
        <w:ind w:right="160"/>
        <w:spacing w:after="0" w:line="336" w:lineRule="auto"/>
        <w:rPr>
          <w:sz w:val="20"/>
          <w:szCs w:val="20"/>
          <w:color w:val="auto"/>
        </w:rPr>
      </w:pPr>
      <w:r>
        <w:rPr>
          <w:rFonts w:ascii="Arial" w:cs="Arial" w:eastAsia="Arial" w:hAnsi="Arial"/>
          <w:sz w:val="16"/>
          <w:szCs w:val="16"/>
          <w:color w:val="auto"/>
        </w:rPr>
        <w:t>It means that you have multiple accounts at the transfer agent and/or with a broker, bank or other nominee. Please vote all proxies to ensure that all your shares are represented at the meeting. In the future, you may wish to consolidate as many of your transfer agent accounts or accounts with brokers, banks or other nominees as possible under the same name and address for better customer service.</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What if I change my mind after I return my proxy?</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You may revoke your proxy and change your vote at any time before the polls close at the meeting. You may do this by:</w:t>
      </w:r>
    </w:p>
    <w:p>
      <w:pPr>
        <w:spacing w:after="0" w:line="167" w:lineRule="exact"/>
        <w:rPr>
          <w:sz w:val="20"/>
          <w:szCs w:val="20"/>
          <w:color w:val="auto"/>
        </w:rPr>
      </w:pPr>
    </w:p>
    <w:p>
      <w:pPr>
        <w:ind w:left="200" w:right="680" w:hanging="192"/>
        <w:spacing w:after="0" w:line="356" w:lineRule="auto"/>
        <w:tabs>
          <w:tab w:leader="none" w:pos="184" w:val="left"/>
        </w:tabs>
        <w:numPr>
          <w:ilvl w:val="0"/>
          <w:numId w:val="80"/>
        </w:numPr>
        <w:rPr>
          <w:rFonts w:ascii="Arial" w:cs="Arial" w:eastAsia="Arial" w:hAnsi="Arial"/>
          <w:sz w:val="16"/>
          <w:szCs w:val="16"/>
          <w:b w:val="1"/>
          <w:bCs w:val="1"/>
          <w:color w:val="FF7F32"/>
        </w:rPr>
      </w:pPr>
      <w:r>
        <w:rPr>
          <w:rFonts w:ascii="Arial" w:cs="Arial" w:eastAsia="Arial" w:hAnsi="Arial"/>
          <w:sz w:val="16"/>
          <w:szCs w:val="16"/>
          <w:color w:val="auto"/>
        </w:rPr>
        <w:t>sending written notice to the Corporate Secretary at 101 Lindenwood Drive, Suite 120, Malvern, Pennsylvania 19355 so that it is received prior to November 19, 2025;</w:t>
      </w:r>
    </w:p>
    <w:p>
      <w:pPr>
        <w:spacing w:after="0" w:line="7" w:lineRule="exact"/>
        <w:rPr>
          <w:rFonts w:ascii="Arial" w:cs="Arial" w:eastAsia="Arial" w:hAnsi="Arial"/>
          <w:sz w:val="16"/>
          <w:szCs w:val="16"/>
          <w:b w:val="1"/>
          <w:bCs w:val="1"/>
          <w:color w:val="FF7F32"/>
        </w:rPr>
      </w:pPr>
    </w:p>
    <w:p>
      <w:pPr>
        <w:ind w:left="180" w:hanging="172"/>
        <w:spacing w:after="0"/>
        <w:tabs>
          <w:tab w:leader="none" w:pos="180" w:val="left"/>
        </w:tabs>
        <w:numPr>
          <w:ilvl w:val="0"/>
          <w:numId w:val="80"/>
        </w:numPr>
        <w:rPr>
          <w:rFonts w:ascii="Arial" w:cs="Arial" w:eastAsia="Arial" w:hAnsi="Arial"/>
          <w:sz w:val="16"/>
          <w:szCs w:val="16"/>
          <w:b w:val="1"/>
          <w:bCs w:val="1"/>
          <w:color w:val="FF7F32"/>
        </w:rPr>
      </w:pPr>
      <w:r>
        <w:rPr>
          <w:rFonts w:ascii="Arial" w:cs="Arial" w:eastAsia="Arial" w:hAnsi="Arial"/>
          <w:sz w:val="16"/>
          <w:szCs w:val="16"/>
          <w:color w:val="auto"/>
        </w:rPr>
        <w:t>voting again over the Internet or via telephone, if available, prior to 11:59 p.m., ET, on November 18, 2025;</w:t>
      </w:r>
    </w:p>
    <w:p>
      <w:pPr>
        <w:spacing w:after="0" w:line="140" w:lineRule="exact"/>
        <w:rPr>
          <w:rFonts w:ascii="Arial" w:cs="Arial" w:eastAsia="Arial" w:hAnsi="Arial"/>
          <w:sz w:val="16"/>
          <w:szCs w:val="16"/>
          <w:b w:val="1"/>
          <w:bCs w:val="1"/>
          <w:color w:val="FF7F32"/>
        </w:rPr>
      </w:pPr>
    </w:p>
    <w:p>
      <w:pPr>
        <w:ind w:left="180" w:hanging="172"/>
        <w:spacing w:after="0"/>
        <w:tabs>
          <w:tab w:leader="none" w:pos="180" w:val="left"/>
        </w:tabs>
        <w:numPr>
          <w:ilvl w:val="0"/>
          <w:numId w:val="80"/>
        </w:numPr>
        <w:rPr>
          <w:rFonts w:ascii="Arial" w:cs="Arial" w:eastAsia="Arial" w:hAnsi="Arial"/>
          <w:sz w:val="16"/>
          <w:szCs w:val="16"/>
          <w:b w:val="1"/>
          <w:bCs w:val="1"/>
          <w:color w:val="FF7F32"/>
        </w:rPr>
      </w:pPr>
      <w:r>
        <w:rPr>
          <w:rFonts w:ascii="Arial" w:cs="Arial" w:eastAsia="Arial" w:hAnsi="Arial"/>
          <w:sz w:val="16"/>
          <w:szCs w:val="16"/>
          <w:color w:val="202945"/>
        </w:rPr>
        <w:t>signing another proxy with a later date and sending it so that it is received prior to November 17, 2025; or</w:t>
      </w:r>
    </w:p>
    <w:p>
      <w:pPr>
        <w:spacing w:after="0" w:line="126" w:lineRule="exact"/>
        <w:rPr>
          <w:rFonts w:ascii="Arial" w:cs="Arial" w:eastAsia="Arial" w:hAnsi="Arial"/>
          <w:sz w:val="16"/>
          <w:szCs w:val="16"/>
          <w:b w:val="1"/>
          <w:bCs w:val="1"/>
          <w:color w:val="FF7F32"/>
        </w:rPr>
      </w:pPr>
    </w:p>
    <w:p>
      <w:pPr>
        <w:ind w:left="180" w:hanging="172"/>
        <w:spacing w:after="0"/>
        <w:tabs>
          <w:tab w:leader="none" w:pos="180" w:val="left"/>
        </w:tabs>
        <w:numPr>
          <w:ilvl w:val="0"/>
          <w:numId w:val="80"/>
        </w:numPr>
        <w:rPr>
          <w:rFonts w:ascii="Arial" w:cs="Arial" w:eastAsia="Arial" w:hAnsi="Arial"/>
          <w:sz w:val="16"/>
          <w:szCs w:val="16"/>
          <w:b w:val="1"/>
          <w:bCs w:val="1"/>
          <w:color w:val="FF7F32"/>
        </w:rPr>
      </w:pPr>
      <w:r>
        <w:rPr>
          <w:rFonts w:ascii="Arial" w:cs="Arial" w:eastAsia="Arial" w:hAnsi="Arial"/>
          <w:sz w:val="16"/>
          <w:szCs w:val="16"/>
          <w:color w:val="auto"/>
        </w:rPr>
        <w:t>attending the virtual meeting and voting electronically.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303530</wp:posOffset>
            </wp:positionV>
            <wp:extent cx="925830" cy="26543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92583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b w:val="1"/>
                <w:bCs w:val="1"/>
                <w:color w:val="FF7F32"/>
              </w:rPr>
              <w:t xml:space="preserve">2026 </w:t>
            </w:r>
            <w:r>
              <w:rPr>
                <w:rFonts w:ascii="Arial" w:cs="Arial" w:eastAsia="Arial" w:hAnsi="Arial"/>
                <w:sz w:val="13"/>
                <w:szCs w:val="13"/>
                <w:color w:val="000000"/>
              </w:rPr>
              <w:t>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auto"/>
              </w:rPr>
              <w:t>81</w:t>
            </w:r>
          </w:p>
        </w:tc>
      </w:tr>
      <w:tr>
        <w:trPr>
          <w:trHeight w:val="420"/>
        </w:trPr>
        <w:tc>
          <w:tcPr>
            <w:tcW w:w="618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84" w:name="page85"/>
    <w:bookmarkEnd w:id="84"/>
    <w:p>
      <w:pPr>
        <w:spacing w:after="0"/>
        <w:rPr>
          <w:sz w:val="20"/>
          <w:szCs w:val="20"/>
          <w:color w:val="auto"/>
        </w:rPr>
      </w:pPr>
      <w:r>
        <w:rPr>
          <w:rFonts w:ascii="Arial" w:cs="Arial" w:eastAsia="Arial" w:hAnsi="Arial"/>
          <w:sz w:val="16"/>
          <w:szCs w:val="16"/>
          <w:b w:val="1"/>
          <w:bCs w:val="1"/>
          <w:i w:val="1"/>
          <w:iCs w:val="1"/>
          <w:color w:val="auto"/>
        </w:rPr>
        <w:t>How are votes counted?</w:t>
      </w:r>
    </w:p>
    <w:p>
      <w:pPr>
        <w:spacing w:after="0" w:line="152" w:lineRule="exact"/>
        <w:rPr>
          <w:sz w:val="20"/>
          <w:szCs w:val="20"/>
          <w:color w:val="auto"/>
        </w:rPr>
      </w:pPr>
    </w:p>
    <w:p>
      <w:pPr>
        <w:ind w:right="80"/>
        <w:spacing w:after="0" w:line="318" w:lineRule="auto"/>
        <w:rPr>
          <w:sz w:val="20"/>
          <w:szCs w:val="20"/>
          <w:color w:val="auto"/>
        </w:rPr>
      </w:pPr>
      <w:r>
        <w:rPr>
          <w:rFonts w:ascii="Arial" w:cs="Arial" w:eastAsia="Arial" w:hAnsi="Arial"/>
          <w:sz w:val="16"/>
          <w:szCs w:val="16"/>
          <w:color w:val="auto"/>
        </w:rPr>
        <w:t>Shares of Common Stock or Series A Preferred Stock represented by properly executed proxy cards, or voted by proxy over the Internet or telephone, and received in time for the Annual Meeting will be voted in accordance with the instructions specified in the proxies. Any proxy not specifying to the contrary will be voted (1) for the nine Board nominees in Proposal 1; (2) in favor of the ratification of Proposal 2; and (3) in favor of the recommendation in Proposal 3. If, for any unforeseen reason, any of our nominees is not available as a candidate for director, the persons named as proxy holders will vote your proxy for another candidate or other candidates nominated by our Board.</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How may I vote for each proposal?</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With respect to each proposal, you may:</w:t>
      </w:r>
    </w:p>
    <w:p>
      <w:pPr>
        <w:spacing w:after="0" w:line="154" w:lineRule="exact"/>
        <w:rPr>
          <w:sz w:val="20"/>
          <w:szCs w:val="20"/>
          <w:color w:val="auto"/>
        </w:rPr>
      </w:pPr>
    </w:p>
    <w:p>
      <w:pPr>
        <w:ind w:left="180" w:hanging="172"/>
        <w:spacing w:after="0"/>
        <w:tabs>
          <w:tab w:leader="none" w:pos="180" w:val="left"/>
        </w:tabs>
        <w:numPr>
          <w:ilvl w:val="0"/>
          <w:numId w:val="81"/>
        </w:numPr>
        <w:rPr>
          <w:rFonts w:ascii="Arial" w:cs="Arial" w:eastAsia="Arial" w:hAnsi="Arial"/>
          <w:sz w:val="16"/>
          <w:szCs w:val="16"/>
          <w:b w:val="1"/>
          <w:bCs w:val="1"/>
          <w:color w:val="FF7F32"/>
        </w:rPr>
      </w:pPr>
      <w:r>
        <w:rPr>
          <w:rFonts w:ascii="Arial" w:cs="Arial" w:eastAsia="Arial" w:hAnsi="Arial"/>
          <w:sz w:val="16"/>
          <w:szCs w:val="16"/>
          <w:color w:val="auto"/>
        </w:rPr>
        <w:t>vote FOR the proposal;</w:t>
      </w:r>
    </w:p>
    <w:p>
      <w:pPr>
        <w:spacing w:after="0" w:line="126" w:lineRule="exact"/>
        <w:rPr>
          <w:rFonts w:ascii="Arial" w:cs="Arial" w:eastAsia="Arial" w:hAnsi="Arial"/>
          <w:sz w:val="16"/>
          <w:szCs w:val="16"/>
          <w:b w:val="1"/>
          <w:bCs w:val="1"/>
          <w:color w:val="FF7F32"/>
        </w:rPr>
      </w:pPr>
    </w:p>
    <w:p>
      <w:pPr>
        <w:ind w:left="180" w:hanging="172"/>
        <w:spacing w:after="0"/>
        <w:tabs>
          <w:tab w:leader="none" w:pos="180" w:val="left"/>
        </w:tabs>
        <w:numPr>
          <w:ilvl w:val="0"/>
          <w:numId w:val="81"/>
        </w:numPr>
        <w:rPr>
          <w:rFonts w:ascii="Arial" w:cs="Arial" w:eastAsia="Arial" w:hAnsi="Arial"/>
          <w:sz w:val="16"/>
          <w:szCs w:val="16"/>
          <w:b w:val="1"/>
          <w:bCs w:val="1"/>
          <w:color w:val="FF7F32"/>
        </w:rPr>
      </w:pPr>
      <w:r>
        <w:rPr>
          <w:rFonts w:ascii="Arial" w:cs="Arial" w:eastAsia="Arial" w:hAnsi="Arial"/>
          <w:sz w:val="16"/>
          <w:szCs w:val="16"/>
          <w:color w:val="auto"/>
        </w:rPr>
        <w:t>vote AGAINST the proposal; or</w:t>
      </w:r>
    </w:p>
    <w:p>
      <w:pPr>
        <w:spacing w:after="0" w:line="126" w:lineRule="exact"/>
        <w:rPr>
          <w:rFonts w:ascii="Arial" w:cs="Arial" w:eastAsia="Arial" w:hAnsi="Arial"/>
          <w:sz w:val="16"/>
          <w:szCs w:val="16"/>
          <w:b w:val="1"/>
          <w:bCs w:val="1"/>
          <w:color w:val="FF7F32"/>
        </w:rPr>
      </w:pPr>
    </w:p>
    <w:p>
      <w:pPr>
        <w:ind w:left="180" w:hanging="172"/>
        <w:spacing w:after="0"/>
        <w:tabs>
          <w:tab w:leader="none" w:pos="180" w:val="left"/>
        </w:tabs>
        <w:numPr>
          <w:ilvl w:val="0"/>
          <w:numId w:val="81"/>
        </w:numPr>
        <w:rPr>
          <w:rFonts w:ascii="Arial" w:cs="Arial" w:eastAsia="Arial" w:hAnsi="Arial"/>
          <w:sz w:val="16"/>
          <w:szCs w:val="16"/>
          <w:b w:val="1"/>
          <w:bCs w:val="1"/>
          <w:color w:val="FF7F32"/>
        </w:rPr>
      </w:pPr>
      <w:r>
        <w:rPr>
          <w:rFonts w:ascii="Arial" w:cs="Arial" w:eastAsia="Arial" w:hAnsi="Arial"/>
          <w:sz w:val="16"/>
          <w:szCs w:val="16"/>
          <w:color w:val="auto"/>
        </w:rPr>
        <w:t>ABSTAIN from voting</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How many votes are needed for each proposal?</w:t>
      </w:r>
    </w:p>
    <w:p>
      <w:pPr>
        <w:spacing w:after="0" w:line="251" w:lineRule="exact"/>
        <w:rPr>
          <w:sz w:val="20"/>
          <w:szCs w:val="20"/>
          <w:color w:val="auto"/>
        </w:rPr>
      </w:pPr>
    </w:p>
    <w:p>
      <w:pPr>
        <w:jc w:val="center"/>
        <w:ind w:right="960"/>
        <w:spacing w:after="0"/>
        <w:rPr>
          <w:sz w:val="20"/>
          <w:szCs w:val="20"/>
          <w:color w:val="auto"/>
        </w:rPr>
      </w:pPr>
      <w:r>
        <w:rPr>
          <w:rFonts w:ascii="Arial" w:cs="Arial" w:eastAsia="Arial" w:hAnsi="Arial"/>
          <w:sz w:val="14"/>
          <w:szCs w:val="14"/>
          <w:b w:val="1"/>
          <w:bCs w:val="1"/>
          <w:color w:val="404040"/>
        </w:rPr>
        <w:t>Votes Required for</w:t>
      </w:r>
    </w:p>
    <w:p>
      <w:pPr>
        <w:spacing w:after="0" w:line="42" w:lineRule="exact"/>
        <w:rPr>
          <w:sz w:val="20"/>
          <w:szCs w:val="20"/>
          <w:color w:val="auto"/>
        </w:rPr>
      </w:pPr>
    </w:p>
    <w:p>
      <w:pPr>
        <w:ind w:left="20"/>
        <w:spacing w:after="0"/>
        <w:tabs>
          <w:tab w:leader="none" w:pos="4720" w:val="left"/>
          <w:tab w:leader="none" w:pos="6580" w:val="left"/>
          <w:tab w:leader="none" w:pos="7920" w:val="left"/>
          <w:tab w:leader="none" w:pos="9800" w:val="left"/>
        </w:tabs>
        <w:rPr>
          <w:sz w:val="20"/>
          <w:szCs w:val="20"/>
          <w:color w:val="auto"/>
        </w:rPr>
      </w:pPr>
      <w:r>
        <w:rPr>
          <w:rFonts w:ascii="Arial" w:cs="Arial" w:eastAsia="Arial" w:hAnsi="Arial"/>
          <w:sz w:val="14"/>
          <w:szCs w:val="14"/>
          <w:b w:val="1"/>
          <w:bCs w:val="1"/>
          <w:color w:val="404040"/>
        </w:rPr>
        <w:t>Proposal</w:t>
      </w:r>
      <w:r>
        <w:rPr>
          <w:sz w:val="20"/>
          <w:szCs w:val="20"/>
          <w:color w:val="auto"/>
        </w:rPr>
        <w:tab/>
      </w:r>
      <w:r>
        <w:rPr>
          <w:rFonts w:ascii="Arial" w:cs="Arial" w:eastAsia="Arial" w:hAnsi="Arial"/>
          <w:sz w:val="14"/>
          <w:szCs w:val="14"/>
          <w:b w:val="1"/>
          <w:bCs w:val="1"/>
          <w:color w:val="404040"/>
        </w:rPr>
        <w:t>Approval or</w:t>
      </w:r>
      <w:r>
        <w:rPr>
          <w:sz w:val="20"/>
          <w:szCs w:val="20"/>
          <w:color w:val="auto"/>
        </w:rPr>
        <w:tab/>
      </w:r>
      <w:r>
        <w:rPr>
          <w:rFonts w:ascii="Arial" w:cs="Arial" w:eastAsia="Arial" w:hAnsi="Arial"/>
          <w:sz w:val="14"/>
          <w:szCs w:val="14"/>
          <w:b w:val="1"/>
          <w:bCs w:val="1"/>
          <w:color w:val="404040"/>
        </w:rPr>
        <w:t>Effect of</w:t>
      </w:r>
      <w:r>
        <w:rPr>
          <w:sz w:val="20"/>
          <w:szCs w:val="20"/>
          <w:color w:val="auto"/>
        </w:rPr>
        <w:tab/>
      </w:r>
      <w:r>
        <w:rPr>
          <w:rFonts w:ascii="Arial" w:cs="Arial" w:eastAsia="Arial" w:hAnsi="Arial"/>
          <w:sz w:val="14"/>
          <w:szCs w:val="14"/>
          <w:b w:val="1"/>
          <w:bCs w:val="1"/>
          <w:color w:val="404040"/>
        </w:rPr>
        <w:t>Effect of Broker</w:t>
      </w:r>
      <w:r>
        <w:rPr>
          <w:sz w:val="20"/>
          <w:szCs w:val="20"/>
          <w:color w:val="auto"/>
        </w:rPr>
        <w:tab/>
      </w:r>
      <w:r>
        <w:rPr>
          <w:rFonts w:ascii="Arial" w:cs="Arial" w:eastAsia="Arial" w:hAnsi="Arial"/>
          <w:sz w:val="14"/>
          <w:szCs w:val="14"/>
          <w:b w:val="1"/>
          <w:bCs w:val="1"/>
          <w:color w:val="404040"/>
        </w:rPr>
        <w:t>Board Voting</w:t>
      </w:r>
    </w:p>
    <w:p>
      <w:pPr>
        <w:spacing w:after="0" w:line="39" w:lineRule="exact"/>
        <w:rPr>
          <w:sz w:val="20"/>
          <w:szCs w:val="20"/>
          <w:color w:val="auto"/>
        </w:rPr>
      </w:pPr>
    </w:p>
    <w:p>
      <w:pPr>
        <w:ind w:left="20"/>
        <w:spacing w:after="0"/>
        <w:tabs>
          <w:tab w:leader="none" w:pos="2380" w:val="left"/>
          <w:tab w:leader="none" w:pos="4740" w:val="left"/>
          <w:tab w:leader="none" w:pos="6400" w:val="left"/>
          <w:tab w:leader="none" w:pos="8040" w:val="left"/>
          <w:tab w:leader="none" w:pos="9640" w:val="left"/>
        </w:tabs>
        <w:rPr>
          <w:sz w:val="20"/>
          <w:szCs w:val="20"/>
          <w:color w:val="auto"/>
        </w:rPr>
      </w:pPr>
      <w:r>
        <w:rPr>
          <w:rFonts w:ascii="Arial" w:cs="Arial" w:eastAsia="Arial" w:hAnsi="Arial"/>
          <w:sz w:val="14"/>
          <w:szCs w:val="14"/>
          <w:b w:val="1"/>
          <w:bCs w:val="1"/>
          <w:color w:val="404040"/>
        </w:rPr>
        <w:t>Number</w:t>
      </w:r>
      <w:r>
        <w:rPr>
          <w:sz w:val="20"/>
          <w:szCs w:val="20"/>
          <w:color w:val="auto"/>
        </w:rPr>
        <w:tab/>
      </w:r>
      <w:r>
        <w:rPr>
          <w:rFonts w:ascii="Arial" w:cs="Arial" w:eastAsia="Arial" w:hAnsi="Arial"/>
          <w:sz w:val="14"/>
          <w:szCs w:val="14"/>
          <w:b w:val="1"/>
          <w:bCs w:val="1"/>
          <w:color w:val="404040"/>
        </w:rPr>
        <w:t>Item</w:t>
      </w:r>
      <w:r>
        <w:rPr>
          <w:sz w:val="20"/>
          <w:szCs w:val="20"/>
          <w:color w:val="auto"/>
        </w:rPr>
        <w:tab/>
      </w:r>
      <w:r>
        <w:rPr>
          <w:rFonts w:ascii="Arial" w:cs="Arial" w:eastAsia="Arial" w:hAnsi="Arial"/>
          <w:sz w:val="14"/>
          <w:szCs w:val="14"/>
          <w:b w:val="1"/>
          <w:bCs w:val="1"/>
          <w:color w:val="404040"/>
        </w:rPr>
        <w:t>Ratification</w:t>
      </w:r>
      <w:r>
        <w:rPr>
          <w:sz w:val="20"/>
          <w:szCs w:val="20"/>
          <w:color w:val="auto"/>
        </w:rPr>
        <w:tab/>
      </w:r>
      <w:r>
        <w:rPr>
          <w:rFonts w:ascii="Arial" w:cs="Arial" w:eastAsia="Arial" w:hAnsi="Arial"/>
          <w:sz w:val="14"/>
          <w:szCs w:val="14"/>
          <w:b w:val="1"/>
          <w:bCs w:val="1"/>
          <w:color w:val="404040"/>
        </w:rPr>
        <w:t>Abstentions</w:t>
      </w:r>
      <w:r>
        <w:rPr>
          <w:rFonts w:ascii="Arial" w:cs="Arial" w:eastAsia="Arial" w:hAnsi="Arial"/>
          <w:sz w:val="18"/>
          <w:szCs w:val="18"/>
          <w:b w:val="1"/>
          <w:bCs w:val="1"/>
          <w:color w:val="404040"/>
          <w:vertAlign w:val="superscript"/>
        </w:rPr>
        <w:t>(2)</w:t>
      </w:r>
      <w:r>
        <w:rPr>
          <w:sz w:val="20"/>
          <w:szCs w:val="20"/>
          <w:color w:val="auto"/>
        </w:rPr>
        <w:tab/>
      </w:r>
      <w:r>
        <w:rPr>
          <w:rFonts w:ascii="Arial" w:cs="Arial" w:eastAsia="Arial" w:hAnsi="Arial"/>
          <w:sz w:val="14"/>
          <w:szCs w:val="14"/>
          <w:b w:val="1"/>
          <w:bCs w:val="1"/>
          <w:color w:val="404040"/>
        </w:rPr>
        <w:t>Non-Votes</w:t>
      </w:r>
      <w:r>
        <w:rPr>
          <w:rFonts w:ascii="Arial" w:cs="Arial" w:eastAsia="Arial" w:hAnsi="Arial"/>
          <w:sz w:val="18"/>
          <w:szCs w:val="18"/>
          <w:b w:val="1"/>
          <w:bCs w:val="1"/>
          <w:color w:val="404040"/>
          <w:vertAlign w:val="superscript"/>
        </w:rPr>
        <w:t>(3)</w:t>
      </w:r>
      <w:r>
        <w:rPr>
          <w:sz w:val="20"/>
          <w:szCs w:val="20"/>
          <w:color w:val="auto"/>
        </w:rPr>
        <w:tab/>
      </w:r>
      <w:r>
        <w:rPr>
          <w:rFonts w:ascii="Arial" w:cs="Arial" w:eastAsia="Arial" w:hAnsi="Arial"/>
          <w:sz w:val="14"/>
          <w:szCs w:val="14"/>
          <w:b w:val="1"/>
          <w:bCs w:val="1"/>
          <w:color w:val="404040"/>
        </w:rPr>
        <w:t>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29" w:right="339" w:bottom="1440" w:gutter="0" w:footer="0" w:header="0"/>
        </w:sectPr>
      </w:pPr>
    </w:p>
    <w:p>
      <w:pPr>
        <w:spacing w:after="0" w:line="82" w:lineRule="exact"/>
        <w:rPr>
          <w:sz w:val="20"/>
          <w:szCs w:val="20"/>
          <w:color w:val="auto"/>
        </w:rPr>
      </w:pPr>
    </w:p>
    <w:p>
      <w:pPr>
        <w:ind w:left="20"/>
        <w:spacing w:after="0"/>
        <w:rPr>
          <w:sz w:val="20"/>
          <w:szCs w:val="20"/>
          <w:color w:val="auto"/>
        </w:rPr>
      </w:pPr>
      <w:r>
        <w:rPr>
          <w:rFonts w:ascii="Arial" w:cs="Arial" w:eastAsia="Arial" w:hAnsi="Arial"/>
          <w:sz w:val="45"/>
          <w:szCs w:val="45"/>
          <w:color w:val="5576D1"/>
        </w:rPr>
        <w:t>1</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45"/>
          <w:szCs w:val="45"/>
          <w:color w:val="5576D1"/>
        </w:rPr>
        <w:t>2</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45"/>
          <w:szCs w:val="45"/>
          <w:color w:val="5576D1"/>
        </w:rPr>
        <w:t>3</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508"/>
        </w:trPr>
        <w:tc>
          <w:tcPr>
            <w:tcW w:w="3200" w:type="dxa"/>
            <w:vAlign w:val="bottom"/>
          </w:tcPr>
          <w:p>
            <w:pPr>
              <w:spacing w:after="0"/>
              <w:rPr>
                <w:sz w:val="20"/>
                <w:szCs w:val="20"/>
                <w:color w:val="auto"/>
              </w:rPr>
            </w:pPr>
            <w:r>
              <w:rPr>
                <w:rFonts w:ascii="Arial" w:cs="Arial" w:eastAsia="Arial" w:hAnsi="Arial"/>
                <w:sz w:val="16"/>
                <w:szCs w:val="16"/>
                <w:color w:val="auto"/>
              </w:rPr>
              <w:t>Election of Nine Directors</w:t>
            </w:r>
          </w:p>
        </w:tc>
        <w:tc>
          <w:tcPr>
            <w:tcW w:w="2200" w:type="dxa"/>
            <w:vAlign w:val="bottom"/>
          </w:tcPr>
          <w:p>
            <w:pPr>
              <w:jc w:val="center"/>
              <w:ind w:right="99"/>
              <w:spacing w:after="0"/>
              <w:rPr>
                <w:sz w:val="20"/>
                <w:szCs w:val="20"/>
                <w:color w:val="auto"/>
              </w:rPr>
            </w:pPr>
            <w:r>
              <w:rPr>
                <w:rFonts w:ascii="Arial" w:cs="Arial" w:eastAsia="Arial" w:hAnsi="Arial"/>
                <w:sz w:val="16"/>
                <w:szCs w:val="16"/>
                <w:color w:val="auto"/>
                <w:w w:val="99"/>
              </w:rPr>
              <w:t>Majority of votes cast</w:t>
            </w:r>
            <w:r>
              <w:rPr>
                <w:rFonts w:ascii="Arial" w:cs="Arial" w:eastAsia="Arial" w:hAnsi="Arial"/>
                <w:sz w:val="21"/>
                <w:szCs w:val="21"/>
                <w:color w:val="auto"/>
                <w:w w:val="99"/>
                <w:vertAlign w:val="superscript"/>
              </w:rPr>
              <w:t>(1)</w:t>
            </w:r>
          </w:p>
        </w:tc>
        <w:tc>
          <w:tcPr>
            <w:tcW w:w="1140" w:type="dxa"/>
            <w:vAlign w:val="bottom"/>
          </w:tcPr>
          <w:p>
            <w:pPr>
              <w:ind w:left="360"/>
              <w:spacing w:after="0"/>
              <w:rPr>
                <w:sz w:val="20"/>
                <w:szCs w:val="20"/>
                <w:color w:val="auto"/>
              </w:rPr>
            </w:pPr>
            <w:r>
              <w:rPr>
                <w:rFonts w:ascii="Arial" w:cs="Arial" w:eastAsia="Arial" w:hAnsi="Arial"/>
                <w:sz w:val="16"/>
                <w:szCs w:val="16"/>
                <w:color w:val="auto"/>
              </w:rPr>
              <w:t>None</w:t>
            </w:r>
          </w:p>
        </w:tc>
        <w:tc>
          <w:tcPr>
            <w:tcW w:w="1800" w:type="dxa"/>
            <w:vAlign w:val="bottom"/>
          </w:tcPr>
          <w:p>
            <w:pPr>
              <w:jc w:val="center"/>
              <w:ind w:left="99"/>
              <w:spacing w:after="0"/>
              <w:rPr>
                <w:sz w:val="20"/>
                <w:szCs w:val="20"/>
                <w:color w:val="auto"/>
              </w:rPr>
            </w:pPr>
            <w:r>
              <w:rPr>
                <w:rFonts w:ascii="Arial" w:cs="Arial" w:eastAsia="Arial" w:hAnsi="Arial"/>
                <w:sz w:val="16"/>
                <w:szCs w:val="16"/>
                <w:color w:val="auto"/>
                <w:w w:val="99"/>
              </w:rPr>
              <w:t>None</w:t>
            </w:r>
          </w:p>
        </w:tc>
        <w:tc>
          <w:tcPr>
            <w:tcW w:w="1960" w:type="dxa"/>
            <w:vAlign w:val="bottom"/>
            <w:shd w:val="clear" w:color="auto" w:fill="EBEBEB"/>
          </w:tcPr>
          <w:p>
            <w:pPr>
              <w:jc w:val="center"/>
              <w:spacing w:after="0"/>
              <w:rPr>
                <w:sz w:val="20"/>
                <w:szCs w:val="20"/>
                <w:color w:val="auto"/>
              </w:rPr>
            </w:pPr>
            <w:r>
              <w:rPr>
                <w:rFonts w:ascii="Arial" w:cs="Arial" w:eastAsia="Arial" w:hAnsi="Arial"/>
                <w:sz w:val="25"/>
                <w:szCs w:val="25"/>
                <w:b w:val="1"/>
                <w:bCs w:val="1"/>
                <w:color w:val="FF7F32"/>
              </w:rPr>
              <w:t xml:space="preserve">FOR </w:t>
            </w:r>
            <w:r>
              <w:rPr>
                <w:rFonts w:ascii="Arial" w:cs="Arial" w:eastAsia="Arial" w:hAnsi="Arial"/>
                <w:sz w:val="14"/>
                <w:szCs w:val="14"/>
                <w:color w:val="000000"/>
              </w:rPr>
              <w:t>each nominee</w:t>
            </w:r>
          </w:p>
        </w:tc>
        <w:tc>
          <w:tcPr>
            <w:tcW w:w="0" w:type="dxa"/>
            <w:vAlign w:val="bottom"/>
          </w:tcPr>
          <w:p>
            <w:pPr>
              <w:spacing w:after="0"/>
              <w:rPr>
                <w:sz w:val="1"/>
                <w:szCs w:val="1"/>
                <w:color w:val="auto"/>
              </w:rPr>
            </w:pPr>
          </w:p>
        </w:tc>
      </w:tr>
      <w:tr>
        <w:trPr>
          <w:trHeight w:val="496"/>
        </w:trPr>
        <w:tc>
          <w:tcPr>
            <w:tcW w:w="3200" w:type="dxa"/>
            <w:vAlign w:val="bottom"/>
          </w:tcPr>
          <w:p>
            <w:pPr>
              <w:spacing w:after="0"/>
              <w:rPr>
                <w:sz w:val="20"/>
                <w:szCs w:val="20"/>
                <w:color w:val="auto"/>
              </w:rPr>
            </w:pPr>
            <w:r>
              <w:rPr>
                <w:rFonts w:ascii="Arial" w:cs="Arial" w:eastAsia="Arial" w:hAnsi="Arial"/>
                <w:sz w:val="16"/>
                <w:szCs w:val="16"/>
                <w:color w:val="auto"/>
              </w:rPr>
              <w:t>Approve, on an advisory basis, the</w:t>
            </w:r>
          </w:p>
        </w:tc>
        <w:tc>
          <w:tcPr>
            <w:tcW w:w="2200" w:type="dxa"/>
            <w:vAlign w:val="bottom"/>
            <w:vMerge w:val="restart"/>
          </w:tcPr>
          <w:p>
            <w:pPr>
              <w:jc w:val="center"/>
              <w:ind w:right="119"/>
              <w:spacing w:after="0"/>
              <w:rPr>
                <w:sz w:val="20"/>
                <w:szCs w:val="20"/>
                <w:color w:val="auto"/>
              </w:rPr>
            </w:pPr>
            <w:r>
              <w:rPr>
                <w:rFonts w:ascii="Arial" w:cs="Arial" w:eastAsia="Arial" w:hAnsi="Arial"/>
                <w:sz w:val="16"/>
                <w:szCs w:val="16"/>
                <w:color w:val="auto"/>
              </w:rPr>
              <w:t>Majority of votes cast</w:t>
            </w:r>
          </w:p>
        </w:tc>
        <w:tc>
          <w:tcPr>
            <w:tcW w:w="1140" w:type="dxa"/>
            <w:vAlign w:val="bottom"/>
            <w:vMerge w:val="restart"/>
          </w:tcPr>
          <w:p>
            <w:pPr>
              <w:ind w:left="360"/>
              <w:spacing w:after="0"/>
              <w:rPr>
                <w:sz w:val="20"/>
                <w:szCs w:val="20"/>
                <w:color w:val="auto"/>
              </w:rPr>
            </w:pPr>
            <w:r>
              <w:rPr>
                <w:rFonts w:ascii="Arial" w:cs="Arial" w:eastAsia="Arial" w:hAnsi="Arial"/>
                <w:sz w:val="16"/>
                <w:szCs w:val="16"/>
                <w:color w:val="auto"/>
              </w:rPr>
              <w:t>None</w:t>
            </w:r>
          </w:p>
        </w:tc>
        <w:tc>
          <w:tcPr>
            <w:tcW w:w="1800" w:type="dxa"/>
            <w:vAlign w:val="bottom"/>
            <w:vMerge w:val="restart"/>
          </w:tcPr>
          <w:p>
            <w:pPr>
              <w:jc w:val="center"/>
              <w:ind w:left="99"/>
              <w:spacing w:after="0"/>
              <w:rPr>
                <w:sz w:val="20"/>
                <w:szCs w:val="20"/>
                <w:color w:val="auto"/>
              </w:rPr>
            </w:pPr>
            <w:r>
              <w:rPr>
                <w:rFonts w:ascii="Arial" w:cs="Arial" w:eastAsia="Arial" w:hAnsi="Arial"/>
                <w:sz w:val="16"/>
                <w:szCs w:val="16"/>
                <w:color w:val="auto"/>
                <w:w w:val="99"/>
              </w:rPr>
              <w:t>None</w:t>
            </w:r>
          </w:p>
        </w:tc>
        <w:tc>
          <w:tcPr>
            <w:tcW w:w="1960" w:type="dxa"/>
            <w:vAlign w:val="bottom"/>
            <w:vMerge w:val="restart"/>
            <w:shd w:val="clear" w:color="auto" w:fill="EBEBEB"/>
          </w:tcPr>
          <w:p>
            <w:pPr>
              <w:jc w:val="center"/>
              <w:spacing w:after="0"/>
              <w:rPr>
                <w:sz w:val="20"/>
                <w:szCs w:val="20"/>
                <w:color w:val="auto"/>
              </w:rPr>
            </w:pPr>
            <w:r>
              <w:rPr>
                <w:rFonts w:ascii="Arial" w:cs="Arial" w:eastAsia="Arial" w:hAnsi="Arial"/>
                <w:sz w:val="25"/>
                <w:szCs w:val="25"/>
                <w:b w:val="1"/>
                <w:bCs w:val="1"/>
                <w:color w:val="FF7F32"/>
                <w:w w:val="98"/>
              </w:rPr>
              <w:t>FOR</w:t>
            </w:r>
          </w:p>
        </w:tc>
        <w:tc>
          <w:tcPr>
            <w:tcW w:w="0" w:type="dxa"/>
            <w:vAlign w:val="bottom"/>
          </w:tcPr>
          <w:p>
            <w:pPr>
              <w:spacing w:after="0"/>
              <w:rPr>
                <w:sz w:val="1"/>
                <w:szCs w:val="1"/>
                <w:color w:val="auto"/>
              </w:rPr>
            </w:pPr>
          </w:p>
        </w:tc>
      </w:tr>
      <w:tr>
        <w:trPr>
          <w:trHeight w:val="122"/>
        </w:trPr>
        <w:tc>
          <w:tcPr>
            <w:tcW w:w="3200" w:type="dxa"/>
            <w:vAlign w:val="bottom"/>
            <w:vMerge w:val="restart"/>
          </w:tcPr>
          <w:p>
            <w:pPr>
              <w:spacing w:after="0"/>
              <w:rPr>
                <w:sz w:val="20"/>
                <w:szCs w:val="20"/>
                <w:color w:val="auto"/>
              </w:rPr>
            </w:pPr>
            <w:r>
              <w:rPr>
                <w:rFonts w:ascii="Arial" w:cs="Arial" w:eastAsia="Arial" w:hAnsi="Arial"/>
                <w:sz w:val="16"/>
                <w:szCs w:val="16"/>
                <w:color w:val="auto"/>
              </w:rPr>
              <w:t>compensation of named executive officers</w:t>
            </w:r>
          </w:p>
        </w:tc>
        <w:tc>
          <w:tcPr>
            <w:tcW w:w="220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800" w:type="dxa"/>
            <w:vAlign w:val="bottom"/>
            <w:vMerge w:val="continue"/>
          </w:tcPr>
          <w:p>
            <w:pPr>
              <w:spacing w:after="0"/>
              <w:rPr>
                <w:sz w:val="10"/>
                <w:szCs w:val="10"/>
                <w:color w:val="auto"/>
              </w:rPr>
            </w:pPr>
          </w:p>
        </w:tc>
        <w:tc>
          <w:tcPr>
            <w:tcW w:w="1960" w:type="dxa"/>
            <w:vAlign w:val="bottom"/>
            <w:vMerge w:val="continue"/>
            <w:shd w:val="clear" w:color="auto" w:fill="EBEBEB"/>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00" w:type="dxa"/>
            <w:vAlign w:val="bottom"/>
            <w:vMerge w:val="continue"/>
          </w:tcPr>
          <w:p>
            <w:pPr>
              <w:spacing w:after="0"/>
              <w:rPr>
                <w:sz w:val="10"/>
                <w:szCs w:val="10"/>
                <w:color w:val="auto"/>
              </w:rPr>
            </w:pPr>
          </w:p>
        </w:tc>
        <w:tc>
          <w:tcPr>
            <w:tcW w:w="2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960" w:type="dxa"/>
            <w:vAlign w:val="bottom"/>
            <w:vMerge w:val="continue"/>
            <w:shd w:val="clear" w:color="auto" w:fill="EBEBEB"/>
          </w:tcPr>
          <w:p>
            <w:pPr>
              <w:spacing w:after="0"/>
              <w:rPr>
                <w:sz w:val="10"/>
                <w:szCs w:val="10"/>
                <w:color w:val="auto"/>
              </w:rPr>
            </w:pPr>
          </w:p>
        </w:tc>
        <w:tc>
          <w:tcPr>
            <w:tcW w:w="0" w:type="dxa"/>
            <w:vAlign w:val="bottom"/>
          </w:tcPr>
          <w:p>
            <w:pPr>
              <w:spacing w:after="0"/>
              <w:rPr>
                <w:sz w:val="1"/>
                <w:szCs w:val="1"/>
                <w:color w:val="auto"/>
              </w:rPr>
            </w:pPr>
          </w:p>
        </w:tc>
      </w:tr>
      <w:tr>
        <w:trPr>
          <w:trHeight w:val="638"/>
        </w:trPr>
        <w:tc>
          <w:tcPr>
            <w:tcW w:w="3200" w:type="dxa"/>
            <w:vAlign w:val="bottom"/>
          </w:tcPr>
          <w:p>
            <w:pPr>
              <w:spacing w:after="0"/>
              <w:rPr>
                <w:sz w:val="20"/>
                <w:szCs w:val="20"/>
                <w:color w:val="auto"/>
              </w:rPr>
            </w:pPr>
            <w:r>
              <w:rPr>
                <w:rFonts w:ascii="Arial" w:cs="Arial" w:eastAsia="Arial" w:hAnsi="Arial"/>
                <w:sz w:val="16"/>
                <w:szCs w:val="16"/>
                <w:color w:val="auto"/>
              </w:rPr>
              <w:t>Ratify the Appointment of Deloitte</w:t>
            </w:r>
          </w:p>
        </w:tc>
        <w:tc>
          <w:tcPr>
            <w:tcW w:w="2200" w:type="dxa"/>
            <w:vAlign w:val="bottom"/>
          </w:tcPr>
          <w:p>
            <w:pPr>
              <w:jc w:val="center"/>
              <w:ind w:right="119"/>
              <w:spacing w:after="0"/>
              <w:rPr>
                <w:sz w:val="20"/>
                <w:szCs w:val="20"/>
                <w:color w:val="auto"/>
              </w:rPr>
            </w:pPr>
            <w:r>
              <w:rPr>
                <w:rFonts w:ascii="Arial" w:cs="Arial" w:eastAsia="Arial" w:hAnsi="Arial"/>
                <w:sz w:val="16"/>
                <w:szCs w:val="16"/>
                <w:color w:val="auto"/>
              </w:rPr>
              <w:t>Majority of votes cast</w:t>
            </w:r>
          </w:p>
        </w:tc>
        <w:tc>
          <w:tcPr>
            <w:tcW w:w="1140" w:type="dxa"/>
            <w:vAlign w:val="bottom"/>
          </w:tcPr>
          <w:p>
            <w:pPr>
              <w:ind w:left="360"/>
              <w:spacing w:after="0"/>
              <w:rPr>
                <w:sz w:val="20"/>
                <w:szCs w:val="20"/>
                <w:color w:val="auto"/>
              </w:rPr>
            </w:pPr>
            <w:r>
              <w:rPr>
                <w:rFonts w:ascii="Arial" w:cs="Arial" w:eastAsia="Arial" w:hAnsi="Arial"/>
                <w:sz w:val="16"/>
                <w:szCs w:val="16"/>
                <w:color w:val="auto"/>
              </w:rPr>
              <w:t>None</w:t>
            </w:r>
          </w:p>
        </w:tc>
        <w:tc>
          <w:tcPr>
            <w:tcW w:w="1800" w:type="dxa"/>
            <w:vAlign w:val="bottom"/>
          </w:tcPr>
          <w:p>
            <w:pPr>
              <w:jc w:val="center"/>
              <w:ind w:left="99"/>
              <w:spacing w:after="0"/>
              <w:rPr>
                <w:sz w:val="20"/>
                <w:szCs w:val="20"/>
                <w:color w:val="auto"/>
              </w:rPr>
            </w:pPr>
            <w:r>
              <w:rPr>
                <w:rFonts w:ascii="Arial" w:cs="Arial" w:eastAsia="Arial" w:hAnsi="Arial"/>
                <w:sz w:val="16"/>
                <w:szCs w:val="16"/>
                <w:color w:val="auto"/>
                <w:w w:val="98"/>
              </w:rPr>
              <w:t>Not Applicable</w:t>
            </w:r>
            <w:r>
              <w:rPr>
                <w:rFonts w:ascii="Arial" w:cs="Arial" w:eastAsia="Arial" w:hAnsi="Arial"/>
                <w:sz w:val="21"/>
                <w:szCs w:val="21"/>
                <w:color w:val="auto"/>
                <w:w w:val="98"/>
                <w:vertAlign w:val="superscript"/>
              </w:rPr>
              <w:t>(4)</w:t>
            </w:r>
          </w:p>
        </w:tc>
        <w:tc>
          <w:tcPr>
            <w:tcW w:w="1960" w:type="dxa"/>
            <w:vAlign w:val="bottom"/>
            <w:shd w:val="clear" w:color="auto" w:fill="EBEBEB"/>
          </w:tcPr>
          <w:p>
            <w:pPr>
              <w:jc w:val="center"/>
              <w:spacing w:after="0"/>
              <w:rPr>
                <w:sz w:val="20"/>
                <w:szCs w:val="20"/>
                <w:color w:val="auto"/>
              </w:rPr>
            </w:pPr>
            <w:r>
              <w:rPr>
                <w:rFonts w:ascii="Arial" w:cs="Arial" w:eastAsia="Arial" w:hAnsi="Arial"/>
                <w:sz w:val="25"/>
                <w:szCs w:val="25"/>
                <w:b w:val="1"/>
                <w:bCs w:val="1"/>
                <w:color w:val="FF7F32"/>
                <w:w w:val="98"/>
              </w:rPr>
              <w:t>FOR</w:t>
            </w:r>
          </w:p>
        </w:tc>
        <w:tc>
          <w:tcPr>
            <w:tcW w:w="0" w:type="dxa"/>
            <w:vAlign w:val="bottom"/>
          </w:tcPr>
          <w:p>
            <w:pPr>
              <w:spacing w:after="0"/>
              <w:rPr>
                <w:sz w:val="1"/>
                <w:szCs w:val="1"/>
                <w:color w:val="auto"/>
              </w:rPr>
            </w:pPr>
          </w:p>
        </w:tc>
      </w:tr>
      <w:tr>
        <w:trPr>
          <w:trHeight w:val="161"/>
        </w:trPr>
        <w:tc>
          <w:tcPr>
            <w:tcW w:w="32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960" w:type="dxa"/>
            <w:vAlign w:val="bottom"/>
            <w:shd w:val="clear" w:color="auto" w:fill="EBEBEB"/>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0</wp:posOffset>
            </wp:positionV>
            <wp:extent cx="713232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wp:posOffset>
            </wp:positionH>
            <wp:positionV relativeFrom="paragraph">
              <wp:posOffset>-436245</wp:posOffset>
            </wp:positionV>
            <wp:extent cx="713232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-591185</wp:posOffset>
            </wp:positionH>
            <wp:positionV relativeFrom="paragraph">
              <wp:posOffset>-873760</wp:posOffset>
            </wp:positionV>
            <wp:extent cx="713232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0" w:space="660"/>
            <w:col w:w="10300"/>
          </w:cols>
          <w:pgMar w:left="320" w:top="1329" w:right="339" w:bottom="1440" w:gutter="0" w:footer="0" w:header="0"/>
          <w:type w:val="continuous"/>
        </w:sectPr>
      </w:pPr>
    </w:p>
    <w:p>
      <w:pPr>
        <w:spacing w:after="0" w:line="12" w:lineRule="exact"/>
        <w:rPr>
          <w:sz w:val="20"/>
          <w:szCs w:val="20"/>
          <w:color w:val="auto"/>
        </w:rPr>
      </w:pPr>
    </w:p>
    <w:p>
      <w:pPr>
        <w:ind w:left="200" w:right="40" w:hanging="192"/>
        <w:spacing w:after="0" w:line="283" w:lineRule="auto"/>
        <w:tabs>
          <w:tab w:leader="none" w:pos="200" w:val="left"/>
        </w:tabs>
        <w:numPr>
          <w:ilvl w:val="0"/>
          <w:numId w:val="82"/>
        </w:numPr>
        <w:rPr>
          <w:rFonts w:ascii="Arial" w:cs="Arial" w:eastAsia="Arial" w:hAnsi="Arial"/>
          <w:sz w:val="16"/>
          <w:szCs w:val="16"/>
          <w:color w:val="202945"/>
          <w:vertAlign w:val="superscript"/>
        </w:rPr>
      </w:pPr>
      <w:r>
        <w:rPr>
          <w:rFonts w:ascii="Arial" w:cs="Arial" w:eastAsia="Arial" w:hAnsi="Arial"/>
          <w:sz w:val="13"/>
          <w:szCs w:val="13"/>
          <w:color w:val="202945"/>
        </w:rPr>
        <w:t>Directors will be elected by a majority of the votes cast by all holders of the issued and outstanding shares of Common Stock and Series A Preferred Stock voting together (with each share of Common Stock entitled to one vote, and each share of Series A Preferred Stock entitled to 0.1988 of a vote, with any fractional vote being rounded to the nearest whole number). Pursuant to the Company’s Director Majority Voting Policy, any nominee for director in an uncontested election who receives a greater number of votes “against” his or her election than votes “for” such election shall promptly submit to the Board a letter of resignation to the Secretary of the Company.</w:t>
      </w:r>
    </w:p>
    <w:p>
      <w:pPr>
        <w:spacing w:after="0" w:line="32" w:lineRule="exact"/>
        <w:rPr>
          <w:rFonts w:ascii="Arial" w:cs="Arial" w:eastAsia="Arial" w:hAnsi="Arial"/>
          <w:sz w:val="16"/>
          <w:szCs w:val="16"/>
          <w:color w:val="202945"/>
          <w:vertAlign w:val="superscript"/>
        </w:rPr>
      </w:pPr>
    </w:p>
    <w:p>
      <w:pPr>
        <w:ind w:left="180" w:hanging="172"/>
        <w:spacing w:after="0"/>
        <w:tabs>
          <w:tab w:leader="none" w:pos="180" w:val="left"/>
        </w:tabs>
        <w:numPr>
          <w:ilvl w:val="0"/>
          <w:numId w:val="82"/>
        </w:numPr>
        <w:rPr>
          <w:rFonts w:ascii="Arial" w:cs="Arial" w:eastAsia="Arial" w:hAnsi="Arial"/>
          <w:sz w:val="16"/>
          <w:szCs w:val="16"/>
          <w:color w:val="202945"/>
          <w:vertAlign w:val="superscript"/>
        </w:rPr>
      </w:pPr>
      <w:r>
        <w:rPr>
          <w:rFonts w:ascii="Arial" w:cs="Arial" w:eastAsia="Arial" w:hAnsi="Arial"/>
          <w:sz w:val="13"/>
          <w:szCs w:val="13"/>
          <w:color w:val="202945"/>
        </w:rPr>
        <w:t>Abstentions with respect to a proposal are counted for purposes of establishing a quorum.</w:t>
      </w:r>
    </w:p>
    <w:p>
      <w:pPr>
        <w:spacing w:after="0" w:line="90" w:lineRule="exact"/>
        <w:rPr>
          <w:rFonts w:ascii="Arial" w:cs="Arial" w:eastAsia="Arial" w:hAnsi="Arial"/>
          <w:sz w:val="16"/>
          <w:szCs w:val="16"/>
          <w:color w:val="202945"/>
          <w:vertAlign w:val="superscript"/>
        </w:rPr>
      </w:pPr>
    </w:p>
    <w:p>
      <w:pPr>
        <w:ind w:left="200" w:right="40" w:hanging="192"/>
        <w:spacing w:after="0" w:line="274" w:lineRule="auto"/>
        <w:tabs>
          <w:tab w:leader="none" w:pos="186" w:val="left"/>
        </w:tabs>
        <w:numPr>
          <w:ilvl w:val="0"/>
          <w:numId w:val="82"/>
        </w:numPr>
        <w:rPr>
          <w:rFonts w:ascii="Arial" w:cs="Arial" w:eastAsia="Arial" w:hAnsi="Arial"/>
          <w:sz w:val="16"/>
          <w:szCs w:val="16"/>
          <w:color w:val="202945"/>
          <w:vertAlign w:val="superscript"/>
        </w:rPr>
      </w:pPr>
      <w:r>
        <w:rPr>
          <w:rFonts w:ascii="Arial" w:cs="Arial" w:eastAsia="Arial" w:hAnsi="Arial"/>
          <w:sz w:val="13"/>
          <w:szCs w:val="13"/>
          <w:color w:val="202945"/>
        </w:rPr>
        <w:t>Broker non-votes refer to shares of stock held in street name with regard to which the broker or other nominee holding them indicates on a proxy that the broker has not received instructions from the beneficial owner to vote those shares in a particular manner on a proposal for which the broker or other nominee does not have discretion to vote without specific instructions from the beneficial owner. Broker non-votes will be counted as present for purposes of determining the existence of a quorum.</w:t>
      </w:r>
    </w:p>
    <w:p>
      <w:pPr>
        <w:spacing w:after="0" w:line="69" w:lineRule="exact"/>
        <w:rPr>
          <w:rFonts w:ascii="Arial" w:cs="Arial" w:eastAsia="Arial" w:hAnsi="Arial"/>
          <w:sz w:val="16"/>
          <w:szCs w:val="16"/>
          <w:color w:val="202945"/>
          <w:vertAlign w:val="superscript"/>
        </w:rPr>
      </w:pPr>
    </w:p>
    <w:p>
      <w:pPr>
        <w:ind w:left="200" w:right="60" w:hanging="192"/>
        <w:spacing w:after="0" w:line="311" w:lineRule="auto"/>
        <w:tabs>
          <w:tab w:leader="none" w:pos="186" w:val="left"/>
        </w:tabs>
        <w:numPr>
          <w:ilvl w:val="0"/>
          <w:numId w:val="82"/>
        </w:numPr>
        <w:rPr>
          <w:rFonts w:ascii="Arial" w:cs="Arial" w:eastAsia="Arial" w:hAnsi="Arial"/>
          <w:sz w:val="15"/>
          <w:szCs w:val="15"/>
          <w:color w:val="202945"/>
          <w:vertAlign w:val="superscript"/>
        </w:rPr>
      </w:pPr>
      <w:r>
        <w:rPr>
          <w:rFonts w:ascii="Arial" w:cs="Arial" w:eastAsia="Arial" w:hAnsi="Arial"/>
          <w:sz w:val="12"/>
          <w:szCs w:val="12"/>
          <w:color w:val="202945"/>
        </w:rPr>
        <w:t>If your shares are held in “street name” through a bank, broker or other nominee, your brokerage firm may vote your shares under certain circumstances if you do not provide voting instructions. These circumstances include certain “routine” matters, such as the ratification of the appointment of our independent registered public accountants. Therefore, if you do not vote your proxy, your brokerage firm may either vote your shares on routine matters or leave your shares unvoted. When a brokerage firm votes its customers’ unvoted shares on routine matters without receiving voting instructions, these shares are counted for purposes of establishing a quorum to conduct business at the meeting and in determining the number of shares voted FOR or AGAINST the routine matter.</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What happens if a nominee is unable to stand for re-election?</w:t>
      </w:r>
    </w:p>
    <w:p>
      <w:pPr>
        <w:spacing w:after="0" w:line="165" w:lineRule="exact"/>
        <w:rPr>
          <w:sz w:val="20"/>
          <w:szCs w:val="20"/>
          <w:color w:val="auto"/>
        </w:rPr>
      </w:pPr>
    </w:p>
    <w:p>
      <w:pPr>
        <w:ind w:right="140"/>
        <w:spacing w:after="0" w:line="339" w:lineRule="auto"/>
        <w:rPr>
          <w:sz w:val="20"/>
          <w:szCs w:val="20"/>
          <w:color w:val="auto"/>
        </w:rPr>
      </w:pPr>
      <w:r>
        <w:rPr>
          <w:rFonts w:ascii="Arial" w:cs="Arial" w:eastAsia="Arial" w:hAnsi="Arial"/>
          <w:sz w:val="16"/>
          <w:szCs w:val="16"/>
          <w:color w:val="auto"/>
        </w:rPr>
        <w:t>The Board may, by resolution, provide for a lesser number of directors or designate a substitute nominee. In the latter event, shares represented by proxies may be voted for a substitute nominee.</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What happens if I sign and return my proxy card but do not provide voting instructions?</w:t>
      </w:r>
    </w:p>
    <w:p>
      <w:pPr>
        <w:spacing w:after="0" w:line="152" w:lineRule="exact"/>
        <w:rPr>
          <w:sz w:val="20"/>
          <w:szCs w:val="20"/>
          <w:color w:val="auto"/>
        </w:rPr>
      </w:pPr>
    </w:p>
    <w:p>
      <w:pPr>
        <w:ind w:right="240"/>
        <w:spacing w:after="0" w:line="339" w:lineRule="auto"/>
        <w:rPr>
          <w:sz w:val="20"/>
          <w:szCs w:val="20"/>
          <w:color w:val="auto"/>
        </w:rPr>
      </w:pPr>
      <w:r>
        <w:rPr>
          <w:rFonts w:ascii="Arial" w:cs="Arial" w:eastAsia="Arial" w:hAnsi="Arial"/>
          <w:sz w:val="16"/>
          <w:szCs w:val="16"/>
          <w:color w:val="auto"/>
        </w:rPr>
        <w:t>If you return a signed card but do not provide voting instructions, your shares will be voted FOR the nine named director nominees, FOR the ratification of the appointment of the independent registered public accountants, and FOR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107315</wp:posOffset>
            </wp:positionV>
            <wp:extent cx="925830" cy="26543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925830" cy="265430"/>
                    </a:xfrm>
                    <a:prstGeom prst="rect">
                      <a:avLst/>
                    </a:prstGeom>
                    <a:noFill/>
                  </pic:spPr>
                </pic:pic>
              </a:graphicData>
            </a:graphic>
          </wp:anchor>
        </w:drawing>
      </w:r>
    </w:p>
    <w:p>
      <w:pPr>
        <w:spacing w:after="0" w:line="307"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auto"/>
        </w:rPr>
        <w:t>82</w:t>
      </w:r>
      <w:r>
        <w:rPr>
          <w:sz w:val="20"/>
          <w:szCs w:val="20"/>
          <w:color w:val="auto"/>
        </w:rPr>
        <w:tab/>
      </w:r>
      <w:r>
        <w:rPr>
          <w:rFonts w:ascii="Arial" w:cs="Arial" w:eastAsia="Arial" w:hAnsi="Arial"/>
          <w:sz w:val="12"/>
          <w:szCs w:val="12"/>
          <w:b w:val="1"/>
          <w:bCs w:val="1"/>
          <w:color w:val="FF7F32"/>
        </w:rPr>
        <w:t xml:space="preserve">2026 </w:t>
      </w:r>
      <w:r>
        <w:rPr>
          <w:rFonts w:ascii="Arial" w:cs="Arial" w:eastAsia="Arial" w:hAnsi="Arial"/>
          <w:sz w:val="12"/>
          <w:szCs w:val="12"/>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433705</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9" w:right="339" w:bottom="1440" w:gutter="0" w:footer="0" w:header="0"/>
          <w:type w:val="continuous"/>
        </w:sectPr>
      </w:pPr>
    </w:p>
    <w:bookmarkStart w:id="85" w:name="page86"/>
    <w:bookmarkEnd w:id="85"/>
    <w:p>
      <w:pPr>
        <w:jc w:val="right"/>
        <w:spacing w:after="0"/>
        <w:rPr>
          <w:sz w:val="20"/>
          <w:szCs w:val="20"/>
          <w:color w:val="auto"/>
        </w:rPr>
      </w:pPr>
      <w:r>
        <w:rPr>
          <w:rFonts w:ascii="Arial" w:cs="Arial" w:eastAsia="Arial" w:hAnsi="Arial"/>
          <w:sz w:val="13"/>
          <w:szCs w:val="13"/>
          <w:color w:val="202945"/>
        </w:rPr>
        <w:t>Questions and Answers About the Proxy Materials and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color w:val="auto"/>
        </w:rPr>
        <w:t>of the compensation of the Company’s named executive officers. In addition, your proxy will be voted in the discretion of Mr. Stewart and/or Ms.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Novoseletsky with respect to any other business that properly comes before the meeting.</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If you mark your voting instructions on the proxy card, your shares will be voted as you instruct.</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Where do I find the voting results of the meeting?</w:t>
      </w:r>
    </w:p>
    <w:p>
      <w:pPr>
        <w:spacing w:after="0" w:line="165" w:lineRule="exact"/>
        <w:rPr>
          <w:sz w:val="20"/>
          <w:szCs w:val="20"/>
          <w:color w:val="auto"/>
        </w:rPr>
      </w:pPr>
    </w:p>
    <w:p>
      <w:pPr>
        <w:ind w:right="300"/>
        <w:spacing w:after="0" w:line="339" w:lineRule="auto"/>
        <w:rPr>
          <w:sz w:val="20"/>
          <w:szCs w:val="20"/>
          <w:color w:val="auto"/>
        </w:rPr>
      </w:pPr>
      <w:r>
        <w:rPr>
          <w:rFonts w:ascii="Arial" w:cs="Arial" w:eastAsia="Arial" w:hAnsi="Arial"/>
          <w:sz w:val="16"/>
          <w:szCs w:val="16"/>
          <w:color w:val="auto"/>
        </w:rPr>
        <w:t>We will announce preliminary voting results at the meeting and will publish the final results in a Current Report on Form 8-K filed with the SEC within four business days after the meeting.</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Is the proposed Merger with 365 conditioned on the results of the Annual Meeting?</w:t>
      </w:r>
    </w:p>
    <w:p>
      <w:pPr>
        <w:spacing w:after="0" w:line="165" w:lineRule="exact"/>
        <w:rPr>
          <w:sz w:val="20"/>
          <w:szCs w:val="20"/>
          <w:color w:val="auto"/>
        </w:rPr>
      </w:pPr>
    </w:p>
    <w:p>
      <w:pPr>
        <w:ind w:right="120"/>
        <w:spacing w:after="0" w:line="318" w:lineRule="auto"/>
        <w:rPr>
          <w:sz w:val="20"/>
          <w:szCs w:val="20"/>
          <w:color w:val="auto"/>
        </w:rPr>
      </w:pPr>
      <w:r>
        <w:rPr>
          <w:rFonts w:ascii="Arial" w:cs="Arial" w:eastAsia="Arial" w:hAnsi="Arial"/>
          <w:sz w:val="16"/>
          <w:szCs w:val="16"/>
          <w:color w:val="auto"/>
        </w:rPr>
        <w:t>As previously disclosed, on June 15, 2025, the Company entered into a Merger Agreement with 365. Pursuant to the terms and conditions set forth in the Merger Agreement, a wholly-owned subsidiary of 365 will merge with and into the Company, with the Company surviving the Merger as a wholly-owned indirect subsidiary of 365. The Merger Agreement has been unanimously adopted by the Board, and, at a special meeting of shareholders on September 4, 2025, the Company’s shareholders approved a proposal to approve and adopt the Merger Agreement, including the Merger.</w:t>
      </w:r>
    </w:p>
    <w:p>
      <w:pPr>
        <w:spacing w:after="0" w:line="51" w:lineRule="exact"/>
        <w:rPr>
          <w:sz w:val="20"/>
          <w:szCs w:val="20"/>
          <w:color w:val="auto"/>
        </w:rPr>
      </w:pPr>
    </w:p>
    <w:p>
      <w:pPr>
        <w:ind w:right="260"/>
        <w:spacing w:after="0" w:line="292" w:lineRule="auto"/>
        <w:rPr>
          <w:sz w:val="20"/>
          <w:szCs w:val="20"/>
          <w:color w:val="auto"/>
        </w:rPr>
      </w:pPr>
      <w:r>
        <w:rPr>
          <w:rFonts w:ascii="Arial" w:cs="Arial" w:eastAsia="Arial" w:hAnsi="Arial"/>
          <w:sz w:val="16"/>
          <w:szCs w:val="16"/>
          <w:color w:val="auto"/>
        </w:rPr>
        <w:t>Completion of the Merger is subject to the satisfaction of several conditions, including receipt of required clearance under the HSR Act. The proposed Merger is not conditioned on the results of the Annual Meeting. Assuming receipt of required clearance pursuant to the HSR Act and timely satisfaction of the other then-remanding closing conditions, we currently expect the closing of the Merger to occur in the first half of calendar year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268605</wp:posOffset>
            </wp:positionV>
            <wp:extent cx="925830" cy="26543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925830" cy="26543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b w:val="1"/>
                <w:bCs w:val="1"/>
                <w:color w:val="FF7F32"/>
              </w:rPr>
              <w:t xml:space="preserve">2026 </w:t>
            </w:r>
            <w:r>
              <w:rPr>
                <w:rFonts w:ascii="Arial" w:cs="Arial" w:eastAsia="Arial" w:hAnsi="Arial"/>
                <w:sz w:val="13"/>
                <w:szCs w:val="13"/>
                <w:color w:val="000000"/>
              </w:rPr>
              <w:t>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auto"/>
              </w:rPr>
              <w:t>83</w:t>
            </w:r>
          </w:p>
        </w:tc>
      </w:tr>
      <w:tr>
        <w:trPr>
          <w:trHeight w:val="420"/>
        </w:trPr>
        <w:tc>
          <w:tcPr>
            <w:tcW w:w="618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86" w:name="page87"/>
    <w:bookmarkEnd w:id="86"/>
    <w:p>
      <w:pPr>
        <w:spacing w:after="0"/>
        <w:rPr>
          <w:sz w:val="20"/>
          <w:szCs w:val="20"/>
          <w:color w:val="auto"/>
        </w:rPr>
      </w:pPr>
      <w:r>
        <w:rPr>
          <w:rFonts w:ascii="Arial" w:cs="Arial" w:eastAsia="Arial" w:hAnsi="Arial"/>
          <w:sz w:val="50"/>
          <w:szCs w:val="50"/>
          <w:b w:val="1"/>
          <w:bCs w:val="1"/>
          <w:color w:val="FF7F32"/>
        </w:rPr>
        <w:t>Other Information About the Annual Meeting</w:t>
      </w:r>
    </w:p>
    <w:p>
      <w:pPr>
        <w:spacing w:after="0" w:line="132" w:lineRule="exact"/>
        <w:rPr>
          <w:sz w:val="20"/>
          <w:szCs w:val="20"/>
          <w:color w:val="auto"/>
        </w:rPr>
      </w:pPr>
    </w:p>
    <w:p>
      <w:pPr>
        <w:spacing w:after="0"/>
        <w:rPr>
          <w:sz w:val="20"/>
          <w:szCs w:val="20"/>
          <w:color w:val="auto"/>
        </w:rPr>
      </w:pPr>
      <w:r>
        <w:rPr>
          <w:rFonts w:ascii="Arial" w:cs="Arial" w:eastAsia="Arial" w:hAnsi="Arial"/>
          <w:sz w:val="32"/>
          <w:szCs w:val="32"/>
          <w:b w:val="1"/>
          <w:bCs w:val="1"/>
          <w:color w:val="202945"/>
        </w:rPr>
        <w:t>Expenses of Solicitation</w:t>
      </w:r>
    </w:p>
    <w:p>
      <w:pPr>
        <w:spacing w:after="0" w:line="79"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All costs of solicitation of proxies will be borne by the Company. In addition to solicitations by mail, our directors, officers and employees, without additional remuneration, may solicit proxies by telephone and personal interviews. Brokers, custodians and fiduciaries will be requested to forward proxy soliciting material to the owners of stock held in their names, and we will reimburse them for their related out-of-pocket expenses.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32"/>
          <w:szCs w:val="32"/>
          <w:b w:val="1"/>
          <w:bCs w:val="1"/>
          <w:color w:val="202945"/>
        </w:rPr>
        <w:t>Householding</w:t>
      </w:r>
    </w:p>
    <w:p>
      <w:pPr>
        <w:spacing w:after="0" w:line="256" w:lineRule="exact"/>
        <w:rPr>
          <w:sz w:val="20"/>
          <w:szCs w:val="20"/>
          <w:color w:val="auto"/>
        </w:rPr>
      </w:pPr>
    </w:p>
    <w:p>
      <w:pPr>
        <w:jc w:val="both"/>
        <w:ind w:right="200"/>
        <w:spacing w:after="0" w:line="322" w:lineRule="auto"/>
        <w:rPr>
          <w:sz w:val="20"/>
          <w:szCs w:val="20"/>
          <w:color w:val="auto"/>
        </w:rPr>
      </w:pPr>
      <w:r>
        <w:rPr>
          <w:rFonts w:ascii="Arial" w:cs="Arial" w:eastAsia="Arial" w:hAnsi="Arial"/>
          <w:sz w:val="16"/>
          <w:szCs w:val="16"/>
          <w:color w:val="auto"/>
        </w:rPr>
        <w:t>As permitted by the Exchange Act, only one copy of the Notice is being delivered to shareholders residing at the same address, unless such shareholders have notified us of their desire to receive multiple copies of the proxy statement or Annual Report. We will promptly deliver, upon oral or written request, a separate copy of the Annual Report or proxy statement, as applicable, to any shareholder residing at an address to which only one copy was mailed.</w:t>
      </w:r>
    </w:p>
    <w:p>
      <w:pPr>
        <w:spacing w:after="0" w:line="2" w:lineRule="exact"/>
        <w:rPr>
          <w:sz w:val="20"/>
          <w:szCs w:val="20"/>
          <w:color w:val="auto"/>
        </w:rPr>
      </w:pPr>
    </w:p>
    <w:p>
      <w:pPr>
        <w:ind w:right="280"/>
        <w:spacing w:after="0" w:line="356" w:lineRule="auto"/>
        <w:rPr>
          <w:sz w:val="20"/>
          <w:szCs w:val="20"/>
          <w:color w:val="auto"/>
        </w:rPr>
      </w:pPr>
      <w:r>
        <w:rPr>
          <w:rFonts w:ascii="Arial" w:cs="Arial" w:eastAsia="Arial" w:hAnsi="Arial"/>
          <w:sz w:val="16"/>
          <w:szCs w:val="16"/>
          <w:color w:val="auto"/>
        </w:rPr>
        <w:t>Requests for additional copies should be directed to the Corporate Secretary at 101 Lindenwood Drive, Suite 120, Malvern, Pennsylvania 19355 or (800) 633-0340.</w:t>
      </w:r>
    </w:p>
    <w:p>
      <w:pPr>
        <w:spacing w:after="0" w:line="48" w:lineRule="exact"/>
        <w:rPr>
          <w:sz w:val="20"/>
          <w:szCs w:val="20"/>
          <w:color w:val="auto"/>
        </w:rPr>
      </w:pPr>
    </w:p>
    <w:p>
      <w:pPr>
        <w:ind w:right="180"/>
        <w:spacing w:after="0" w:line="336" w:lineRule="auto"/>
        <w:rPr>
          <w:sz w:val="20"/>
          <w:szCs w:val="20"/>
          <w:color w:val="auto"/>
        </w:rPr>
      </w:pPr>
      <w:r>
        <w:rPr>
          <w:rFonts w:ascii="Arial" w:cs="Arial" w:eastAsia="Arial" w:hAnsi="Arial"/>
          <w:sz w:val="16"/>
          <w:szCs w:val="16"/>
          <w:color w:val="auto"/>
        </w:rPr>
        <w:t>Shareholders residing at the same address and currently receiving only one copy of the Notice may contact the Corporate Secretary at 101 Lindenwood Drive, Suite 120, Malvern, Pennsylvania 19355 or (800) 633-0340, to request multiple copies in the future. Shareholders residing at the same address and currently receiving multiple copies may contact the Corporate Secretary to request that only a single copy of the Notice be mailed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100965</wp:posOffset>
            </wp:positionV>
            <wp:extent cx="925830" cy="26543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925830" cy="265430"/>
                    </a:xfrm>
                    <a:prstGeom prst="rect">
                      <a:avLst/>
                    </a:prstGeom>
                    <a:noFill/>
                  </pic:spPr>
                </pic:pic>
              </a:graphicData>
            </a:graphic>
          </wp:anchor>
        </w:drawing>
      </w:r>
    </w:p>
    <w:p>
      <w:pPr>
        <w:spacing w:after="0" w:line="297"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auto"/>
        </w:rPr>
        <w:t>84</w:t>
      </w:r>
      <w:r>
        <w:rPr>
          <w:sz w:val="20"/>
          <w:szCs w:val="20"/>
          <w:color w:val="auto"/>
        </w:rPr>
        <w:tab/>
      </w:r>
      <w:r>
        <w:rPr>
          <w:rFonts w:ascii="Arial" w:cs="Arial" w:eastAsia="Arial" w:hAnsi="Arial"/>
          <w:sz w:val="12"/>
          <w:szCs w:val="12"/>
          <w:b w:val="1"/>
          <w:bCs w:val="1"/>
          <w:color w:val="FF7F32"/>
        </w:rPr>
        <w:t xml:space="preserve">2026 </w:t>
      </w:r>
      <w:r>
        <w:rPr>
          <w:rFonts w:ascii="Arial" w:cs="Arial" w:eastAsia="Arial" w:hAnsi="Arial"/>
          <w:sz w:val="12"/>
          <w:szCs w:val="12"/>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433705</wp:posOffset>
            </wp:positionV>
            <wp:extent cx="71577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87" w:name="page88"/>
    <w:bookmarkEnd w:id="87"/>
    <w:p>
      <w:pPr>
        <w:spacing w:after="0"/>
        <w:rPr>
          <w:sz w:val="20"/>
          <w:szCs w:val="20"/>
          <w:color w:val="auto"/>
        </w:rPr>
      </w:pPr>
      <w:r>
        <w:rPr>
          <w:rFonts w:ascii="Arial" w:cs="Arial" w:eastAsia="Arial" w:hAnsi="Arial"/>
          <w:sz w:val="13"/>
          <w:szCs w:val="13"/>
          <w:color w:val="auto"/>
        </w:rPr>
        <w:t>Other Information About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32"/>
          <w:szCs w:val="32"/>
          <w:b w:val="1"/>
          <w:bCs w:val="1"/>
          <w:color w:val="202945"/>
        </w:rPr>
        <w:t>2027 Shareholder Proposals and Director Nominations</w:t>
      </w:r>
    </w:p>
    <w:p>
      <w:pPr>
        <w:spacing w:after="0" w:line="269" w:lineRule="exact"/>
        <w:rPr>
          <w:sz w:val="20"/>
          <w:szCs w:val="20"/>
          <w:color w:val="auto"/>
        </w:rPr>
      </w:pPr>
    </w:p>
    <w:p>
      <w:pPr>
        <w:jc w:val="both"/>
        <w:ind w:right="240"/>
        <w:spacing w:after="0" w:line="336" w:lineRule="auto"/>
        <w:rPr>
          <w:sz w:val="20"/>
          <w:szCs w:val="20"/>
          <w:color w:val="auto"/>
        </w:rPr>
      </w:pPr>
      <w:r>
        <w:rPr>
          <w:rFonts w:ascii="Arial" w:cs="Arial" w:eastAsia="Arial" w:hAnsi="Arial"/>
          <w:sz w:val="16"/>
          <w:szCs w:val="16"/>
          <w:color w:val="auto"/>
        </w:rPr>
        <w:t>Pursuant to Rule 14a-8 of the Exchange Act, proposals of shareholders for possible consideration at the 2027 Annual Meeting of Shareholders (the “2027 Annual Meeting”) must be received by the Corporate Secretary of the Company before the close of business on June 12, 2026 to be included in the proxy statement for that meeting, if appropriate for consideration under applicable securities laws.</w:t>
      </w:r>
    </w:p>
    <w:p>
      <w:pPr>
        <w:spacing w:after="0" w:line="64" w:lineRule="exact"/>
        <w:rPr>
          <w:sz w:val="20"/>
          <w:szCs w:val="20"/>
          <w:color w:val="auto"/>
        </w:rPr>
      </w:pPr>
    </w:p>
    <w:p>
      <w:pPr>
        <w:ind w:right="60"/>
        <w:spacing w:after="0" w:line="324" w:lineRule="auto"/>
        <w:rPr>
          <w:sz w:val="20"/>
          <w:szCs w:val="20"/>
          <w:color w:val="auto"/>
        </w:rPr>
      </w:pPr>
      <w:r>
        <w:rPr>
          <w:rFonts w:ascii="Arial" w:cs="Arial" w:eastAsia="Arial" w:hAnsi="Arial"/>
          <w:sz w:val="16"/>
          <w:szCs w:val="16"/>
          <w:color w:val="auto"/>
        </w:rPr>
        <w:t>Our bylaws provide for the right of proxy access, which enables shareholders, under specified conditions, to include their nominees for election as directors in our proxy statement. Pursuant to our bylaws, a shareholder (or group of up to 20 shareholders) who has continuously owned at least 3% of our outstanding capital stock for at least three consecutive years may nominate up to 20% of the Board (but in any event at least two directors) and have such nominee(s) included in the our proxy statement, if the shareholder(s) and the nominee(s) satisfy the applicable requirements set forth in our bylaws. If a shareholder is seeking to have one or more nominees included in our 2026 proxy statement, the notice required by our bylaws must be received by the Secretary of the Company not later than June 12, 2026, and not earlier than May 13, 2026 unless our annual meeting date occurs more than 30 days before or 60 days after November 19, 2026. In that case, we must receive the nominations not earlier than the close of business on the 180th day prior to the date of the 2027 Annual Meeting and not later than the close of business on the later of: (i) the 90 days prior to the date of the 2026 Annual Meeting; or (ii) the 10 days following the day on which we first make a public announcement of the date of the 2027 Annual Meeting.</w:t>
      </w:r>
    </w:p>
    <w:p>
      <w:pPr>
        <w:spacing w:after="0" w:line="73" w:lineRule="exact"/>
        <w:rPr>
          <w:sz w:val="20"/>
          <w:szCs w:val="20"/>
          <w:color w:val="auto"/>
        </w:rPr>
      </w:pPr>
    </w:p>
    <w:p>
      <w:pPr>
        <w:spacing w:after="0" w:line="324" w:lineRule="auto"/>
        <w:rPr>
          <w:sz w:val="20"/>
          <w:szCs w:val="20"/>
          <w:color w:val="auto"/>
        </w:rPr>
      </w:pPr>
      <w:r>
        <w:rPr>
          <w:rFonts w:ascii="Arial" w:cs="Arial" w:eastAsia="Arial" w:hAnsi="Arial"/>
          <w:sz w:val="16"/>
          <w:szCs w:val="16"/>
          <w:color w:val="auto"/>
        </w:rPr>
        <w:t>In addition, our bylaws provide that, in order to be properly brought before the 2027 Annual Meeting, a shareholder’s notice of a matter that the shareholder wishes to present (other than a matter brought pursuant to Rule 14a-8 promulgated under the Exchange Act), as well as any director nominations (other than the proxy access provisions described above), must be received by the Secretary of the Company not less than 60 nor more than 90 days before the first anniversary of the date of the 2026 Annual Meeting. As a result, any notice given by a shareholder pursuant to these provisions of our Bylaws (and not pursuant to Rule 14a-8 promulgated under the Exchange Act) must be received no earlier than August 21, 2026, and no later than the close of business on September 20, 2026, unless our annual meeting date occurs more than 30 days before or 60 days after November 19, 2026. In that case, we must receive proposals not earlier than the close of business on the 90th day prior to the date of the 2026 Annual Meeting and not later than the close of business on the later of: (i) the 60th day prior to the date of the 2027 Annual Meeting; or (ii) the 10th day following the day on which we first make a public announcement of the date of the 2027 Annual Meeting.</w:t>
      </w:r>
    </w:p>
    <w:p>
      <w:pPr>
        <w:spacing w:after="0" w:line="73" w:lineRule="exact"/>
        <w:rPr>
          <w:sz w:val="20"/>
          <w:szCs w:val="20"/>
          <w:color w:val="auto"/>
        </w:rPr>
      </w:pPr>
    </w:p>
    <w:p>
      <w:pPr>
        <w:jc w:val="both"/>
        <w:ind w:right="240"/>
        <w:spacing w:after="0" w:line="336" w:lineRule="auto"/>
        <w:rPr>
          <w:sz w:val="20"/>
          <w:szCs w:val="20"/>
          <w:color w:val="auto"/>
        </w:rPr>
      </w:pPr>
      <w:r>
        <w:rPr>
          <w:rFonts w:ascii="Arial" w:cs="Arial" w:eastAsia="Arial" w:hAnsi="Arial"/>
          <w:sz w:val="16"/>
          <w:szCs w:val="16"/>
          <w:color w:val="auto"/>
        </w:rPr>
        <w:t>In addition to satisfying the foregoing requirements under our bylaws, to comply with the universal proxy rules under the Exchange Act, shareholders who intend to solicit proxies in support of director nominees other than the Company’s nominees must provide notice that sets forth the information required by Rule 14a-19 under the Exchange Act.</w:t>
      </w:r>
    </w:p>
    <w:p>
      <w:pPr>
        <w:spacing w:after="0" w:line="64" w:lineRule="exact"/>
        <w:rPr>
          <w:sz w:val="20"/>
          <w:szCs w:val="20"/>
          <w:color w:val="auto"/>
        </w:rPr>
      </w:pPr>
    </w:p>
    <w:p>
      <w:pPr>
        <w:ind w:right="60"/>
        <w:spacing w:after="0" w:line="345" w:lineRule="auto"/>
        <w:rPr>
          <w:sz w:val="20"/>
          <w:szCs w:val="20"/>
          <w:color w:val="auto"/>
        </w:rPr>
      </w:pPr>
      <w:r>
        <w:rPr>
          <w:rFonts w:ascii="Arial" w:cs="Arial" w:eastAsia="Arial" w:hAnsi="Arial"/>
          <w:sz w:val="16"/>
          <w:szCs w:val="16"/>
          <w:color w:val="auto"/>
        </w:rPr>
        <w:t>Notices discussed above and requests for copies of the relevant bylaw provisions regarding the requirements for making shareholder proposals and director nominations may be sent to our Corporate Secretary at our principal executive office as follows: Cantaloupe, Inc., 101 Lindenwood Drive, Suite 120, Malvern, Pennsylvania 19355, Attn: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353695</wp:posOffset>
            </wp:positionV>
            <wp:extent cx="925830" cy="26543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92583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b w:val="1"/>
                <w:bCs w:val="1"/>
                <w:color w:val="FF7F32"/>
              </w:rPr>
              <w:t xml:space="preserve">2026 </w:t>
            </w:r>
            <w:r>
              <w:rPr>
                <w:rFonts w:ascii="Arial" w:cs="Arial" w:eastAsia="Arial" w:hAnsi="Arial"/>
                <w:sz w:val="13"/>
                <w:szCs w:val="13"/>
                <w:color w:val="000000"/>
              </w:rPr>
              <w:t>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auto"/>
              </w:rPr>
              <w:t>85</w:t>
            </w:r>
          </w:p>
        </w:tc>
      </w:tr>
      <w:tr>
        <w:trPr>
          <w:trHeight w:val="434"/>
        </w:trPr>
        <w:tc>
          <w:tcPr>
            <w:tcW w:w="618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88" w:name="page89"/>
    <w:bookmarkEnd w:id="88"/>
    <w:p>
      <w:pPr>
        <w:spacing w:after="0"/>
        <w:rPr>
          <w:sz w:val="20"/>
          <w:szCs w:val="20"/>
          <w:color w:val="auto"/>
        </w:rPr>
      </w:pPr>
      <w:r>
        <w:rPr>
          <w:rFonts w:ascii="Arial" w:cs="Arial" w:eastAsia="Arial" w:hAnsi="Arial"/>
          <w:sz w:val="50"/>
          <w:szCs w:val="50"/>
          <w:b w:val="1"/>
          <w:bCs w:val="1"/>
          <w:color w:val="FF7F32"/>
        </w:rPr>
        <w:t>Other Matters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240"/>
        <w:spacing w:after="0" w:line="356" w:lineRule="auto"/>
        <w:rPr>
          <w:sz w:val="20"/>
          <w:szCs w:val="20"/>
          <w:color w:val="auto"/>
        </w:rPr>
      </w:pPr>
      <w:r>
        <w:rPr>
          <w:rFonts w:ascii="Arial" w:cs="Arial" w:eastAsia="Arial" w:hAnsi="Arial"/>
          <w:sz w:val="16"/>
          <w:szCs w:val="16"/>
          <w:color w:val="auto"/>
        </w:rPr>
        <w:t>The Board does not know of any other matters which may come before the meeting. If any other matters are properly presented to the meeting, the proxy holders intend to vote, or otherwise to act, in accordance with their judgment on such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614045</wp:posOffset>
            </wp:positionV>
            <wp:extent cx="925830" cy="26543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92583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auto"/>
        </w:rPr>
        <w:t>86</w:t>
      </w:r>
      <w:r>
        <w:rPr>
          <w:sz w:val="20"/>
          <w:szCs w:val="20"/>
          <w:color w:val="auto"/>
        </w:rPr>
        <w:tab/>
      </w:r>
      <w:r>
        <w:rPr>
          <w:rFonts w:ascii="Arial" w:cs="Arial" w:eastAsia="Arial" w:hAnsi="Arial"/>
          <w:sz w:val="12"/>
          <w:szCs w:val="12"/>
          <w:b w:val="1"/>
          <w:bCs w:val="1"/>
          <w:color w:val="FF7F32"/>
        </w:rPr>
        <w:t xml:space="preserve">2026 </w:t>
      </w:r>
      <w:r>
        <w:rPr>
          <w:rFonts w:ascii="Arial" w:cs="Arial" w:eastAsia="Arial" w:hAnsi="Arial"/>
          <w:sz w:val="12"/>
          <w:szCs w:val="12"/>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425450</wp:posOffset>
            </wp:positionV>
            <wp:extent cx="715772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89" w:name="page90"/>
    <w:bookmarkEnd w:id="89"/>
    <w:p>
      <w:pPr>
        <w:ind w:right="1320"/>
        <w:spacing w:after="0" w:line="339" w:lineRule="auto"/>
        <w:rPr>
          <w:sz w:val="20"/>
          <w:szCs w:val="20"/>
          <w:color w:val="auto"/>
        </w:rPr>
      </w:pPr>
      <w:r>
        <w:rPr>
          <w:rFonts w:ascii="Arial" w:cs="Arial" w:eastAsia="Arial" w:hAnsi="Arial"/>
          <w:sz w:val="50"/>
          <w:szCs w:val="50"/>
          <w:b w:val="1"/>
          <w:bCs w:val="1"/>
          <w:color w:val="FF7F32"/>
        </w:rPr>
        <w:t>Special Note Regarding Forward-Looking Statements</w:t>
      </w:r>
    </w:p>
    <w:p>
      <w:pPr>
        <w:spacing w:after="0" w:line="4" w:lineRule="exact"/>
        <w:rPr>
          <w:sz w:val="20"/>
          <w:szCs w:val="20"/>
          <w:color w:val="auto"/>
        </w:rPr>
      </w:pPr>
    </w:p>
    <w:p>
      <w:pPr>
        <w:ind w:right="20"/>
        <w:spacing w:after="0" w:line="321" w:lineRule="auto"/>
        <w:rPr>
          <w:sz w:val="20"/>
          <w:szCs w:val="20"/>
          <w:color w:val="auto"/>
        </w:rPr>
      </w:pPr>
      <w:r>
        <w:rPr>
          <w:rFonts w:ascii="Arial" w:cs="Arial" w:eastAsia="Arial" w:hAnsi="Arial"/>
          <w:sz w:val="16"/>
          <w:szCs w:val="16"/>
          <w:color w:val="auto"/>
        </w:rPr>
        <w:t>This proxy statement contains certain forward-looking statements within the meaning of Section 21E of the Securities Exchange Act of 1934, as amended. For this purpose, forward-looking statements are any statements contained herein that are not statements of historical fact and include, but are not limited to, those preceded by or that include the words “estimate,” “could,” “should,” “would,” “likely,” “may,” “will,” “plan,” “intend,” “believes,” “expects,” “anticipates,” “projected,” or similar expressions. Those statements are subject to known and unknown risks, uncertainties and other factors that could cause the actual results to differ materially from those contemplated by the statements. The forward-looking information is based on various factors and was derived using numerous assumptions. Important factors that could cause the Company’s actual results to differ materially from those projected include, for example: disruption to our business caused by the acquisition of us by 365; our ability to consummate the transaction with 365 within the contemplated timeframe, or at all, including risks and uncertainties related to securing the necessary regulatory approvals and the satisfaction of other closing conditions; the impact on our stock price, business, financial condition and results of operations if the proposed transaction with 365 is not consummated; costs, charges and expenses relating to the proposed transaction with 365; proceedings, including litigation that seeks to prevent the proposed transaction with 365 from being consummated within the contemplated timeframe, or at all; general economic, market or business conditions unrelated to our operating performance, including inflation, elevated interests rates, supply chain disruptions, financial institution disruptions, geopolitical conflicts, public health emergencies, and declines in consumer confidence and discretionary spending; our ability to compete with our competitors and increase market share; failure to comply with the financial covenants in our debt facilities; our ability to maintain compliance with rules and regulations applicable to our business operations and industry; disruptions in other card payment processors, software and manufacturing partners upon whom we rely; whether our customers continue to utilize our transaction processing and related services, as our customer agreements are generally cancellable by the customer with thirty days’ notice; our ability to acquire and develop relevant technology offerings for current, new and potential customers and partners; risks and uncertainties associated with our expansion into and our operations in Europe, Mexico and other foreign markets, including general economic conditions, policy changes affecting international trade (including the imposition of new tariffs, or changes and adjustments to existing tariffs), political instability, inflation rates, recessions, sanctions, foreign currency exchange rates and controls, foreign investment and repatriation restrictions, legal and regulatory constraints, civil unrest, armed conflict, war, and other economic and political factors; our ability to satisfy our trade obligations included in accounts payable and accrued expenses; our ability to attract, develop and retain key personnel, or our loss of the services of our key executives; the incurrence by us of any unanticipated or unusual non-operating expenses, which may require us to divert our cash resources from achieving our business plan; our ability to predict or estimate our future quarterly or annual revenue and expenses given the developing and unpredictable market for our products; our ability to successfully integrate acquired companies into our current products and services structure; our ability to add new customers and retain key existing customers from whom a significant portion of our revenue is derived; the ability of a key customer to reduce or delay purchasing products from us; our ability to obtain widespread commercial acceptance of our products and service offerings; whether any patents issued to us will provide any competitive advantages or adequate protection for our products, or would be challenged, invalidated or circumvented by others; the ability of our products and services to avoid disruptions to our systems or unauthorized hacking or credit card fraud; risks associated with cyber-attacks and data breaches; and our ability to maintain effective internal controls and to timely file periodic and current reports with the Securities and Exchange Commission (“SEC”). Actual results or business conditions may differ materially from those projected or suggested in forward-looking statements as a result of various factors including, but not limited to, those described above and in Part I, Item 1A, “Risk Factors” of our Annual Report on Form 10-K, filed with the SEC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263525</wp:posOffset>
            </wp:positionV>
            <wp:extent cx="925830" cy="26543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925830" cy="26543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b w:val="1"/>
                <w:bCs w:val="1"/>
                <w:color w:val="FF7F32"/>
              </w:rPr>
              <w:t xml:space="preserve">2026 </w:t>
            </w:r>
            <w:r>
              <w:rPr>
                <w:rFonts w:ascii="Arial" w:cs="Arial" w:eastAsia="Arial" w:hAnsi="Arial"/>
                <w:sz w:val="13"/>
                <w:szCs w:val="13"/>
                <w:color w:val="000000"/>
              </w:rPr>
              <w:t>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auto"/>
              </w:rPr>
              <w:t>87</w:t>
            </w:r>
          </w:p>
        </w:tc>
      </w:tr>
      <w:tr>
        <w:trPr>
          <w:trHeight w:val="420"/>
        </w:trPr>
        <w:tc>
          <w:tcPr>
            <w:tcW w:w="618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90" w:name="page91"/>
    <w:bookmarkEnd w:id="90"/>
    <w:p>
      <w:pPr>
        <w:spacing w:after="0" w:line="328" w:lineRule="auto"/>
        <w:rPr>
          <w:sz w:val="20"/>
          <w:szCs w:val="20"/>
          <w:color w:val="auto"/>
        </w:rPr>
      </w:pPr>
      <w:r>
        <w:rPr>
          <w:rFonts w:ascii="Arial" w:cs="Arial" w:eastAsia="Arial" w:hAnsi="Arial"/>
          <w:sz w:val="16"/>
          <w:szCs w:val="16"/>
          <w:color w:val="auto"/>
        </w:rPr>
        <w:t>September 8, 2025.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forward-looking statements. Any forward-looking statement made by us in this proxy statement speaks only as of the date of this proxy statement. Unless required by law, we undertake no obligation to publicly revise any forward-looking statement to reflect circumstances or events after the date of this proxy statement or to reflect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928370</wp:posOffset>
            </wp:positionV>
            <wp:extent cx="925830" cy="26543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92583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auto"/>
        </w:rPr>
        <w:t>88</w:t>
      </w:r>
      <w:r>
        <w:rPr>
          <w:sz w:val="20"/>
          <w:szCs w:val="20"/>
          <w:color w:val="auto"/>
        </w:rPr>
        <w:tab/>
      </w:r>
      <w:r>
        <w:rPr>
          <w:rFonts w:ascii="Arial" w:cs="Arial" w:eastAsia="Arial" w:hAnsi="Arial"/>
          <w:sz w:val="12"/>
          <w:szCs w:val="12"/>
          <w:b w:val="1"/>
          <w:bCs w:val="1"/>
          <w:color w:val="FF7F32"/>
        </w:rPr>
        <w:t xml:space="preserve">2026 </w:t>
      </w:r>
      <w:r>
        <w:rPr>
          <w:rFonts w:ascii="Arial" w:cs="Arial" w:eastAsia="Arial" w:hAnsi="Arial"/>
          <w:sz w:val="12"/>
          <w:szCs w:val="12"/>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32" w:right="359" w:bottom="1440" w:gutter="0" w:footer="0" w:header="0"/>
        </w:sectPr>
      </w:pPr>
    </w:p>
    <w:bookmarkStart w:id="91" w:name="page92"/>
    <w:bookmarkEnd w:id="91"/>
    <w:p>
      <w:pPr>
        <w:ind w:right="2860"/>
        <w:spacing w:after="0" w:line="343" w:lineRule="auto"/>
        <w:rPr>
          <w:sz w:val="20"/>
          <w:szCs w:val="20"/>
          <w:color w:val="auto"/>
        </w:rPr>
      </w:pPr>
      <w:r>
        <w:rPr>
          <w:rFonts w:ascii="Arial" w:cs="Arial" w:eastAsia="Arial" w:hAnsi="Arial"/>
          <w:sz w:val="50"/>
          <w:szCs w:val="50"/>
          <w:b w:val="1"/>
          <w:bCs w:val="1"/>
          <w:color w:val="FF7F32"/>
        </w:rPr>
        <w:t>Appendix A - GAAP to Non-GAAP Reconciliation of Adjusted EBITDA</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Below is a reconciliation of U.S. GAAP net (income) loss to Adjusted EBITDA for the fiscal years ended June 30, 2025, 2024, and 2023:</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404040"/>
              </w:rPr>
              <w:t>Year ended June 30,</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
        </w:trPr>
        <w:tc>
          <w:tcPr>
            <w:tcW w:w="6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Borders>
              <w:bottom w:val="single" w:sz="8" w:color="FF7F32"/>
            </w:tcBorders>
          </w:tcPr>
          <w:p>
            <w:pPr>
              <w:spacing w:after="0"/>
              <w:rPr>
                <w:sz w:val="3"/>
                <w:szCs w:val="3"/>
                <w:color w:val="auto"/>
              </w:rPr>
            </w:pPr>
          </w:p>
        </w:tc>
        <w:tc>
          <w:tcPr>
            <w:tcW w:w="460" w:type="dxa"/>
            <w:vAlign w:val="bottom"/>
            <w:tcBorders>
              <w:bottom w:val="single" w:sz="8" w:color="FF7F32"/>
            </w:tcBorders>
          </w:tcPr>
          <w:p>
            <w:pPr>
              <w:spacing w:after="0"/>
              <w:rPr>
                <w:sz w:val="3"/>
                <w:szCs w:val="3"/>
                <w:color w:val="auto"/>
              </w:rPr>
            </w:pPr>
          </w:p>
        </w:tc>
        <w:tc>
          <w:tcPr>
            <w:tcW w:w="1040" w:type="dxa"/>
            <w:vAlign w:val="bottom"/>
            <w:tcBorders>
              <w:bottom w:val="single" w:sz="8" w:color="FF7F32"/>
            </w:tcBorders>
          </w:tcPr>
          <w:p>
            <w:pPr>
              <w:spacing w:after="0"/>
              <w:rPr>
                <w:sz w:val="3"/>
                <w:szCs w:val="3"/>
                <w:color w:val="auto"/>
              </w:rPr>
            </w:pPr>
          </w:p>
        </w:tc>
        <w:tc>
          <w:tcPr>
            <w:tcW w:w="200" w:type="dxa"/>
            <w:vAlign w:val="bottom"/>
            <w:tcBorders>
              <w:bottom w:val="single" w:sz="8" w:color="FF7F32"/>
            </w:tcBorders>
          </w:tcPr>
          <w:p>
            <w:pPr>
              <w:spacing w:after="0"/>
              <w:rPr>
                <w:sz w:val="3"/>
                <w:szCs w:val="3"/>
                <w:color w:val="auto"/>
              </w:rPr>
            </w:pPr>
          </w:p>
        </w:tc>
        <w:tc>
          <w:tcPr>
            <w:tcW w:w="680" w:type="dxa"/>
            <w:vAlign w:val="bottom"/>
            <w:tcBorders>
              <w:bottom w:val="single" w:sz="8" w:color="FF7F32"/>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6800" w:type="dxa"/>
            <w:vAlign w:val="bottom"/>
          </w:tcPr>
          <w:p>
            <w:pPr>
              <w:ind w:left="20"/>
              <w:spacing w:after="0"/>
              <w:rPr>
                <w:sz w:val="20"/>
                <w:szCs w:val="20"/>
                <w:color w:val="auto"/>
              </w:rPr>
            </w:pPr>
            <w:r>
              <w:rPr>
                <w:rFonts w:ascii="Arial" w:cs="Arial" w:eastAsia="Arial" w:hAnsi="Arial"/>
                <w:sz w:val="14"/>
                <w:szCs w:val="14"/>
                <w:b w:val="1"/>
                <w:bCs w:val="1"/>
                <w:color w:val="404040"/>
              </w:rPr>
              <w:t>($ in thousands)</w:t>
            </w:r>
          </w:p>
        </w:tc>
        <w:tc>
          <w:tcPr>
            <w:tcW w:w="880" w:type="dxa"/>
            <w:vAlign w:val="bottom"/>
          </w:tcPr>
          <w:p>
            <w:pPr>
              <w:spacing w:after="0"/>
              <w:rPr>
                <w:sz w:val="21"/>
                <w:szCs w:val="21"/>
                <w:color w:val="auto"/>
              </w:rPr>
            </w:pPr>
          </w:p>
        </w:tc>
        <w:tc>
          <w:tcPr>
            <w:tcW w:w="102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404040"/>
              </w:rPr>
              <w:t>2025</w:t>
            </w:r>
          </w:p>
        </w:tc>
        <w:tc>
          <w:tcPr>
            <w:tcW w:w="460" w:type="dxa"/>
            <w:vAlign w:val="bottom"/>
          </w:tcPr>
          <w:p>
            <w:pPr>
              <w:spacing w:after="0"/>
              <w:rPr>
                <w:sz w:val="21"/>
                <w:szCs w:val="21"/>
                <w:color w:val="auto"/>
              </w:rPr>
            </w:pPr>
          </w:p>
        </w:tc>
        <w:tc>
          <w:tcPr>
            <w:tcW w:w="1040" w:type="dxa"/>
            <w:vAlign w:val="bottom"/>
          </w:tcPr>
          <w:p>
            <w:pPr>
              <w:jc w:val="right"/>
              <w:ind w:right="328"/>
              <w:spacing w:after="0"/>
              <w:rPr>
                <w:sz w:val="20"/>
                <w:szCs w:val="20"/>
                <w:color w:val="auto"/>
              </w:rPr>
            </w:pPr>
            <w:r>
              <w:rPr>
                <w:rFonts w:ascii="Arial" w:cs="Arial" w:eastAsia="Arial" w:hAnsi="Arial"/>
                <w:sz w:val="14"/>
                <w:szCs w:val="14"/>
                <w:b w:val="1"/>
                <w:bCs w:val="1"/>
                <w:color w:val="404040"/>
              </w:rPr>
              <w:t>2024</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404040"/>
              </w:rPr>
              <w:t>2023</w:t>
            </w:r>
          </w:p>
        </w:tc>
        <w:tc>
          <w:tcPr>
            <w:tcW w:w="0" w:type="dxa"/>
            <w:vAlign w:val="bottom"/>
          </w:tcPr>
          <w:p>
            <w:pPr>
              <w:spacing w:after="0"/>
              <w:rPr>
                <w:sz w:val="1"/>
                <w:szCs w:val="1"/>
                <w:color w:val="auto"/>
              </w:rPr>
            </w:pPr>
          </w:p>
        </w:tc>
      </w:tr>
      <w:tr>
        <w:trPr>
          <w:trHeight w:val="43"/>
        </w:trPr>
        <w:tc>
          <w:tcPr>
            <w:tcW w:w="6800" w:type="dxa"/>
            <w:vAlign w:val="bottom"/>
            <w:tcBorders>
              <w:bottom w:val="single" w:sz="8" w:color="FF7F32"/>
            </w:tcBorders>
          </w:tcPr>
          <w:p>
            <w:pPr>
              <w:spacing w:after="0"/>
              <w:rPr>
                <w:sz w:val="3"/>
                <w:szCs w:val="3"/>
                <w:color w:val="auto"/>
              </w:rPr>
            </w:pPr>
          </w:p>
        </w:tc>
        <w:tc>
          <w:tcPr>
            <w:tcW w:w="880" w:type="dxa"/>
            <w:vAlign w:val="bottom"/>
            <w:tcBorders>
              <w:bottom w:val="single" w:sz="8" w:color="FF7F32"/>
            </w:tcBorders>
          </w:tcPr>
          <w:p>
            <w:pPr>
              <w:spacing w:after="0"/>
              <w:rPr>
                <w:sz w:val="3"/>
                <w:szCs w:val="3"/>
                <w:color w:val="auto"/>
              </w:rPr>
            </w:pPr>
          </w:p>
        </w:tc>
        <w:tc>
          <w:tcPr>
            <w:tcW w:w="260" w:type="dxa"/>
            <w:vAlign w:val="bottom"/>
            <w:tcBorders>
              <w:bottom w:val="single" w:sz="8" w:color="FF7F32"/>
            </w:tcBorders>
          </w:tcPr>
          <w:p>
            <w:pPr>
              <w:spacing w:after="0"/>
              <w:rPr>
                <w:sz w:val="3"/>
                <w:szCs w:val="3"/>
                <w:color w:val="auto"/>
              </w:rPr>
            </w:pPr>
          </w:p>
        </w:tc>
        <w:tc>
          <w:tcPr>
            <w:tcW w:w="760" w:type="dxa"/>
            <w:vAlign w:val="bottom"/>
            <w:tcBorders>
              <w:bottom w:val="single" w:sz="8" w:color="FF7F32"/>
            </w:tcBorders>
          </w:tcPr>
          <w:p>
            <w:pPr>
              <w:spacing w:after="0"/>
              <w:rPr>
                <w:sz w:val="3"/>
                <w:szCs w:val="3"/>
                <w:color w:val="auto"/>
              </w:rPr>
            </w:pPr>
          </w:p>
        </w:tc>
        <w:tc>
          <w:tcPr>
            <w:tcW w:w="460" w:type="dxa"/>
            <w:vAlign w:val="bottom"/>
            <w:tcBorders>
              <w:bottom w:val="single" w:sz="8" w:color="FF7F32"/>
            </w:tcBorders>
          </w:tcPr>
          <w:p>
            <w:pPr>
              <w:spacing w:after="0"/>
              <w:rPr>
                <w:sz w:val="3"/>
                <w:szCs w:val="3"/>
                <w:color w:val="auto"/>
              </w:rPr>
            </w:pPr>
          </w:p>
        </w:tc>
        <w:tc>
          <w:tcPr>
            <w:tcW w:w="1040" w:type="dxa"/>
            <w:vAlign w:val="bottom"/>
            <w:tcBorders>
              <w:bottom w:val="single" w:sz="8" w:color="FF7F32"/>
            </w:tcBorders>
          </w:tcPr>
          <w:p>
            <w:pPr>
              <w:spacing w:after="0"/>
              <w:rPr>
                <w:sz w:val="3"/>
                <w:szCs w:val="3"/>
                <w:color w:val="auto"/>
              </w:rPr>
            </w:pPr>
          </w:p>
        </w:tc>
        <w:tc>
          <w:tcPr>
            <w:tcW w:w="200" w:type="dxa"/>
            <w:vAlign w:val="bottom"/>
            <w:tcBorders>
              <w:bottom w:val="single" w:sz="8" w:color="FF7F32"/>
            </w:tcBorders>
          </w:tcPr>
          <w:p>
            <w:pPr>
              <w:spacing w:after="0"/>
              <w:rPr>
                <w:sz w:val="3"/>
                <w:szCs w:val="3"/>
                <w:color w:val="auto"/>
              </w:rPr>
            </w:pPr>
          </w:p>
        </w:tc>
        <w:tc>
          <w:tcPr>
            <w:tcW w:w="680" w:type="dxa"/>
            <w:vAlign w:val="bottom"/>
            <w:tcBorders>
              <w:bottom w:val="single" w:sz="8" w:color="FF7F32"/>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6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Net income (loss)</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68"/>
              <w:spacing w:after="0"/>
              <w:rPr>
                <w:sz w:val="20"/>
                <w:szCs w:val="20"/>
                <w:color w:val="auto"/>
              </w:rPr>
            </w:pPr>
            <w:r>
              <w:rPr>
                <w:rFonts w:ascii="Arial" w:cs="Arial" w:eastAsia="Arial" w:hAnsi="Arial"/>
                <w:sz w:val="14"/>
                <w:szCs w:val="14"/>
                <w:color w:val="auto"/>
              </w:rPr>
              <w:t>64,533</w:t>
            </w:r>
          </w:p>
        </w:tc>
        <w:tc>
          <w:tcPr>
            <w:tcW w:w="4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488"/>
              <w:spacing w:after="0"/>
              <w:rPr>
                <w:sz w:val="20"/>
                <w:szCs w:val="20"/>
                <w:color w:val="auto"/>
              </w:rPr>
            </w:pPr>
            <w:r>
              <w:rPr>
                <w:rFonts w:ascii="Arial" w:cs="Arial" w:eastAsia="Arial" w:hAnsi="Arial"/>
                <w:sz w:val="14"/>
                <w:szCs w:val="14"/>
                <w:color w:val="auto"/>
              </w:rPr>
              <w:t>11,993</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228"/>
              <w:spacing w:after="0"/>
              <w:rPr>
                <w:sz w:val="20"/>
                <w:szCs w:val="20"/>
                <w:color w:val="auto"/>
              </w:rPr>
            </w:pPr>
            <w:r>
              <w:rPr>
                <w:rFonts w:ascii="Arial" w:cs="Arial" w:eastAsia="Arial" w:hAnsi="Arial"/>
                <w:sz w:val="14"/>
                <w:szCs w:val="14"/>
                <w:color w:val="auto"/>
              </w:rPr>
              <w:t>633</w:t>
            </w:r>
          </w:p>
        </w:tc>
        <w:tc>
          <w:tcPr>
            <w:tcW w:w="0" w:type="dxa"/>
            <w:vAlign w:val="bottom"/>
          </w:tcPr>
          <w:p>
            <w:pPr>
              <w:spacing w:after="0"/>
              <w:rPr>
                <w:sz w:val="1"/>
                <w:szCs w:val="1"/>
                <w:color w:val="auto"/>
              </w:rPr>
            </w:pPr>
          </w:p>
        </w:tc>
      </w:tr>
      <w:tr>
        <w:trPr>
          <w:trHeight w:val="60"/>
        </w:trPr>
        <w:tc>
          <w:tcPr>
            <w:tcW w:w="680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6800" w:type="dxa"/>
            <w:vAlign w:val="bottom"/>
            <w:tcBorders>
              <w:bottom w:val="single" w:sz="8" w:color="D9D9D9"/>
            </w:tcBorders>
          </w:tcPr>
          <w:p>
            <w:pPr>
              <w:spacing w:after="0"/>
              <w:rPr>
                <w:sz w:val="3"/>
                <w:szCs w:val="3"/>
                <w:color w:val="auto"/>
              </w:rPr>
            </w:pPr>
          </w:p>
        </w:tc>
        <w:tc>
          <w:tcPr>
            <w:tcW w:w="880" w:type="dxa"/>
            <w:vAlign w:val="bottom"/>
            <w:tcBorders>
              <w:bottom w:val="single" w:sz="8" w:color="D9D9D9"/>
            </w:tcBorders>
          </w:tcPr>
          <w:p>
            <w:pPr>
              <w:spacing w:after="0"/>
              <w:rPr>
                <w:sz w:val="3"/>
                <w:szCs w:val="3"/>
                <w:color w:val="auto"/>
              </w:rPr>
            </w:pPr>
          </w:p>
        </w:tc>
        <w:tc>
          <w:tcPr>
            <w:tcW w:w="260" w:type="dxa"/>
            <w:vAlign w:val="bottom"/>
            <w:tcBorders>
              <w:bottom w:val="single" w:sz="8" w:color="D9D9D9"/>
            </w:tcBorders>
          </w:tcPr>
          <w:p>
            <w:pPr>
              <w:spacing w:after="0"/>
              <w:rPr>
                <w:sz w:val="3"/>
                <w:szCs w:val="3"/>
                <w:color w:val="auto"/>
              </w:rPr>
            </w:pPr>
          </w:p>
        </w:tc>
        <w:tc>
          <w:tcPr>
            <w:tcW w:w="760" w:type="dxa"/>
            <w:vAlign w:val="bottom"/>
            <w:tcBorders>
              <w:bottom w:val="single" w:sz="8" w:color="D9D9D9"/>
            </w:tcBorders>
          </w:tcPr>
          <w:p>
            <w:pPr>
              <w:spacing w:after="0"/>
              <w:rPr>
                <w:sz w:val="3"/>
                <w:szCs w:val="3"/>
                <w:color w:val="auto"/>
              </w:rPr>
            </w:pPr>
          </w:p>
        </w:tc>
        <w:tc>
          <w:tcPr>
            <w:tcW w:w="460" w:type="dxa"/>
            <w:vAlign w:val="bottom"/>
            <w:tcBorders>
              <w:bottom w:val="single" w:sz="8" w:color="D9D9D9"/>
            </w:tcBorders>
          </w:tcPr>
          <w:p>
            <w:pPr>
              <w:spacing w:after="0"/>
              <w:rPr>
                <w:sz w:val="3"/>
                <w:szCs w:val="3"/>
                <w:color w:val="auto"/>
              </w:rPr>
            </w:pPr>
          </w:p>
        </w:tc>
        <w:tc>
          <w:tcPr>
            <w:tcW w:w="1040" w:type="dxa"/>
            <w:vAlign w:val="bottom"/>
            <w:tcBorders>
              <w:bottom w:val="single" w:sz="8" w:color="D9D9D9"/>
            </w:tcBorders>
          </w:tcPr>
          <w:p>
            <w:pPr>
              <w:spacing w:after="0"/>
              <w:rPr>
                <w:sz w:val="3"/>
                <w:szCs w:val="3"/>
                <w:color w:val="auto"/>
              </w:rPr>
            </w:pPr>
          </w:p>
        </w:tc>
        <w:tc>
          <w:tcPr>
            <w:tcW w:w="200" w:type="dxa"/>
            <w:vAlign w:val="bottom"/>
            <w:tcBorders>
              <w:bottom w:val="single" w:sz="8" w:color="D9D9D9"/>
            </w:tcBorders>
          </w:tcPr>
          <w:p>
            <w:pPr>
              <w:spacing w:after="0"/>
              <w:rPr>
                <w:sz w:val="3"/>
                <w:szCs w:val="3"/>
                <w:color w:val="auto"/>
              </w:rPr>
            </w:pPr>
          </w:p>
        </w:tc>
        <w:tc>
          <w:tcPr>
            <w:tcW w:w="680" w:type="dxa"/>
            <w:vAlign w:val="bottom"/>
            <w:tcBorders>
              <w:bottom w:val="single" w:sz="8" w:color="D9D9D9"/>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6800" w:type="dxa"/>
            <w:vAlign w:val="bottom"/>
            <w:vMerge w:val="restart"/>
          </w:tcPr>
          <w:p>
            <w:pPr>
              <w:ind w:left="140"/>
              <w:spacing w:after="0"/>
              <w:rPr>
                <w:sz w:val="20"/>
                <w:szCs w:val="20"/>
                <w:color w:val="auto"/>
              </w:rPr>
            </w:pPr>
            <w:r>
              <w:rPr>
                <w:rFonts w:ascii="Arial" w:cs="Arial" w:eastAsia="Arial" w:hAnsi="Arial"/>
                <w:sz w:val="14"/>
                <w:szCs w:val="14"/>
                <w:color w:val="auto"/>
              </w:rPr>
              <w:t>Less: interest income</w:t>
            </w:r>
          </w:p>
        </w:tc>
        <w:tc>
          <w:tcPr>
            <w:tcW w:w="880" w:type="dxa"/>
            <w:vAlign w:val="bottom"/>
          </w:tcPr>
          <w:p>
            <w:pPr>
              <w:spacing w:after="0"/>
              <w:rPr>
                <w:sz w:val="16"/>
                <w:szCs w:val="16"/>
                <w:color w:val="auto"/>
              </w:rPr>
            </w:pPr>
          </w:p>
        </w:tc>
        <w:tc>
          <w:tcPr>
            <w:tcW w:w="1020" w:type="dxa"/>
            <w:vAlign w:val="bottom"/>
            <w:gridSpan w:val="2"/>
          </w:tcPr>
          <w:p>
            <w:pPr>
              <w:jc w:val="right"/>
              <w:ind w:right="28"/>
              <w:spacing w:after="0"/>
              <w:rPr>
                <w:sz w:val="20"/>
                <w:szCs w:val="20"/>
                <w:color w:val="auto"/>
              </w:rPr>
            </w:pPr>
            <w:r>
              <w:rPr>
                <w:rFonts w:ascii="Arial" w:cs="Arial" w:eastAsia="Arial" w:hAnsi="Arial"/>
                <w:sz w:val="14"/>
                <w:szCs w:val="14"/>
                <w:color w:val="auto"/>
              </w:rPr>
              <w:t>(1,561)</w:t>
            </w:r>
          </w:p>
        </w:tc>
        <w:tc>
          <w:tcPr>
            <w:tcW w:w="460" w:type="dxa"/>
            <w:vAlign w:val="bottom"/>
          </w:tcPr>
          <w:p>
            <w:pPr>
              <w:spacing w:after="0"/>
              <w:rPr>
                <w:sz w:val="16"/>
                <w:szCs w:val="16"/>
                <w:color w:val="auto"/>
              </w:rPr>
            </w:pPr>
          </w:p>
        </w:tc>
        <w:tc>
          <w:tcPr>
            <w:tcW w:w="1040" w:type="dxa"/>
            <w:vAlign w:val="bottom"/>
            <w:vMerge w:val="restart"/>
          </w:tcPr>
          <w:p>
            <w:pPr>
              <w:jc w:val="right"/>
              <w:ind w:right="328"/>
              <w:spacing w:after="0"/>
              <w:rPr>
                <w:sz w:val="20"/>
                <w:szCs w:val="20"/>
                <w:color w:val="auto"/>
              </w:rPr>
            </w:pPr>
            <w:r>
              <w:rPr>
                <w:rFonts w:ascii="Arial" w:cs="Arial" w:eastAsia="Arial" w:hAnsi="Arial"/>
                <w:sz w:val="14"/>
                <w:szCs w:val="14"/>
                <w:color w:val="auto"/>
              </w:rPr>
              <w:t>(1,969)</w:t>
            </w:r>
          </w:p>
        </w:tc>
        <w:tc>
          <w:tcPr>
            <w:tcW w:w="200" w:type="dxa"/>
            <w:vAlign w:val="bottom"/>
          </w:tcPr>
          <w:p>
            <w:pPr>
              <w:spacing w:after="0"/>
              <w:rPr>
                <w:sz w:val="16"/>
                <w:szCs w:val="16"/>
                <w:color w:val="auto"/>
              </w:rPr>
            </w:pPr>
          </w:p>
        </w:tc>
        <w:tc>
          <w:tcPr>
            <w:tcW w:w="680" w:type="dxa"/>
            <w:vAlign w:val="bottom"/>
            <w:vMerge w:val="restart"/>
          </w:tcPr>
          <w:p>
            <w:pPr>
              <w:jc w:val="right"/>
              <w:ind w:right="68"/>
              <w:spacing w:after="0"/>
              <w:rPr>
                <w:sz w:val="20"/>
                <w:szCs w:val="20"/>
                <w:color w:val="auto"/>
              </w:rPr>
            </w:pPr>
            <w:r>
              <w:rPr>
                <w:rFonts w:ascii="Arial" w:cs="Arial" w:eastAsia="Arial" w:hAnsi="Arial"/>
                <w:sz w:val="14"/>
                <w:szCs w:val="14"/>
                <w:color w:val="auto"/>
              </w:rPr>
              <w:t>(2,515)</w:t>
            </w:r>
          </w:p>
        </w:tc>
        <w:tc>
          <w:tcPr>
            <w:tcW w:w="0" w:type="dxa"/>
            <w:vAlign w:val="bottom"/>
          </w:tcPr>
          <w:p>
            <w:pPr>
              <w:spacing w:after="0"/>
              <w:rPr>
                <w:sz w:val="1"/>
                <w:szCs w:val="1"/>
                <w:color w:val="auto"/>
              </w:rPr>
            </w:pPr>
          </w:p>
        </w:tc>
      </w:tr>
      <w:tr>
        <w:trPr>
          <w:trHeight w:val="54"/>
        </w:trPr>
        <w:tc>
          <w:tcPr>
            <w:tcW w:w="680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6800" w:type="dxa"/>
            <w:vAlign w:val="bottom"/>
            <w:tcBorders>
              <w:bottom w:val="single" w:sz="8" w:color="D9D9D9"/>
            </w:tcBorders>
          </w:tcPr>
          <w:p>
            <w:pPr>
              <w:spacing w:after="0"/>
              <w:rPr>
                <w:sz w:val="4"/>
                <w:szCs w:val="4"/>
                <w:color w:val="auto"/>
              </w:rPr>
            </w:pPr>
          </w:p>
        </w:tc>
        <w:tc>
          <w:tcPr>
            <w:tcW w:w="880" w:type="dxa"/>
            <w:vAlign w:val="bottom"/>
            <w:tcBorders>
              <w:bottom w:val="single" w:sz="8" w:color="D9D9D9"/>
            </w:tcBorders>
          </w:tcPr>
          <w:p>
            <w:pPr>
              <w:spacing w:after="0"/>
              <w:rPr>
                <w:sz w:val="4"/>
                <w:szCs w:val="4"/>
                <w:color w:val="auto"/>
              </w:rPr>
            </w:pPr>
          </w:p>
        </w:tc>
        <w:tc>
          <w:tcPr>
            <w:tcW w:w="260" w:type="dxa"/>
            <w:vAlign w:val="bottom"/>
            <w:tcBorders>
              <w:bottom w:val="single" w:sz="8" w:color="D9D9D9"/>
            </w:tcBorders>
          </w:tcPr>
          <w:p>
            <w:pPr>
              <w:spacing w:after="0"/>
              <w:rPr>
                <w:sz w:val="4"/>
                <w:szCs w:val="4"/>
                <w:color w:val="auto"/>
              </w:rPr>
            </w:pPr>
          </w:p>
        </w:tc>
        <w:tc>
          <w:tcPr>
            <w:tcW w:w="760" w:type="dxa"/>
            <w:vAlign w:val="bottom"/>
            <w:tcBorders>
              <w:bottom w:val="single" w:sz="8" w:color="D9D9D9"/>
            </w:tcBorders>
          </w:tcPr>
          <w:p>
            <w:pPr>
              <w:spacing w:after="0"/>
              <w:rPr>
                <w:sz w:val="4"/>
                <w:szCs w:val="4"/>
                <w:color w:val="auto"/>
              </w:rPr>
            </w:pPr>
          </w:p>
        </w:tc>
        <w:tc>
          <w:tcPr>
            <w:tcW w:w="460" w:type="dxa"/>
            <w:vAlign w:val="bottom"/>
            <w:tcBorders>
              <w:bottom w:val="single" w:sz="8" w:color="D9D9D9"/>
            </w:tcBorders>
          </w:tcPr>
          <w:p>
            <w:pPr>
              <w:spacing w:after="0"/>
              <w:rPr>
                <w:sz w:val="4"/>
                <w:szCs w:val="4"/>
                <w:color w:val="auto"/>
              </w:rPr>
            </w:pPr>
          </w:p>
        </w:tc>
        <w:tc>
          <w:tcPr>
            <w:tcW w:w="1040" w:type="dxa"/>
            <w:vAlign w:val="bottom"/>
            <w:tcBorders>
              <w:bottom w:val="single" w:sz="8" w:color="D9D9D9"/>
            </w:tcBorders>
          </w:tcPr>
          <w:p>
            <w:pPr>
              <w:spacing w:after="0"/>
              <w:rPr>
                <w:sz w:val="4"/>
                <w:szCs w:val="4"/>
                <w:color w:val="auto"/>
              </w:rPr>
            </w:pPr>
          </w:p>
        </w:tc>
        <w:tc>
          <w:tcPr>
            <w:tcW w:w="200" w:type="dxa"/>
            <w:vAlign w:val="bottom"/>
            <w:tcBorders>
              <w:bottom w:val="single" w:sz="8" w:color="D9D9D9"/>
            </w:tcBorders>
          </w:tcPr>
          <w:p>
            <w:pPr>
              <w:spacing w:after="0"/>
              <w:rPr>
                <w:sz w:val="4"/>
                <w:szCs w:val="4"/>
                <w:color w:val="auto"/>
              </w:rPr>
            </w:pPr>
          </w:p>
        </w:tc>
        <w:tc>
          <w:tcPr>
            <w:tcW w:w="680" w:type="dxa"/>
            <w:vAlign w:val="bottom"/>
            <w:tcBorders>
              <w:bottom w:val="single" w:sz="8" w:color="D9D9D9"/>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6800" w:type="dxa"/>
            <w:vAlign w:val="bottom"/>
            <w:vMerge w:val="restart"/>
          </w:tcPr>
          <w:p>
            <w:pPr>
              <w:ind w:left="140"/>
              <w:spacing w:after="0"/>
              <w:rPr>
                <w:sz w:val="20"/>
                <w:szCs w:val="20"/>
                <w:color w:val="auto"/>
              </w:rPr>
            </w:pPr>
            <w:r>
              <w:rPr>
                <w:rFonts w:ascii="Arial" w:cs="Arial" w:eastAsia="Arial" w:hAnsi="Arial"/>
                <w:sz w:val="14"/>
                <w:szCs w:val="14"/>
                <w:color w:val="auto"/>
              </w:rPr>
              <w:t>Plus: interest expense</w:t>
            </w:r>
          </w:p>
        </w:tc>
        <w:tc>
          <w:tcPr>
            <w:tcW w:w="880" w:type="dxa"/>
            <w:vAlign w:val="bottom"/>
          </w:tcPr>
          <w:p>
            <w:pPr>
              <w:spacing w:after="0"/>
              <w:rPr>
                <w:sz w:val="16"/>
                <w:szCs w:val="16"/>
                <w:color w:val="auto"/>
              </w:rPr>
            </w:pPr>
          </w:p>
        </w:tc>
        <w:tc>
          <w:tcPr>
            <w:tcW w:w="1020" w:type="dxa"/>
            <w:vAlign w:val="bottom"/>
            <w:gridSpan w:val="2"/>
          </w:tcPr>
          <w:p>
            <w:pPr>
              <w:jc w:val="right"/>
              <w:ind w:right="68"/>
              <w:spacing w:after="0"/>
              <w:rPr>
                <w:sz w:val="20"/>
                <w:szCs w:val="20"/>
                <w:color w:val="auto"/>
              </w:rPr>
            </w:pPr>
            <w:r>
              <w:rPr>
                <w:rFonts w:ascii="Arial" w:cs="Arial" w:eastAsia="Arial" w:hAnsi="Arial"/>
                <w:sz w:val="14"/>
                <w:szCs w:val="14"/>
                <w:color w:val="auto"/>
              </w:rPr>
              <w:t>2,769</w:t>
            </w:r>
          </w:p>
        </w:tc>
        <w:tc>
          <w:tcPr>
            <w:tcW w:w="460" w:type="dxa"/>
            <w:vAlign w:val="bottom"/>
          </w:tcPr>
          <w:p>
            <w:pPr>
              <w:spacing w:after="0"/>
              <w:rPr>
                <w:sz w:val="16"/>
                <w:szCs w:val="16"/>
                <w:color w:val="auto"/>
              </w:rPr>
            </w:pPr>
          </w:p>
        </w:tc>
        <w:tc>
          <w:tcPr>
            <w:tcW w:w="1040" w:type="dxa"/>
            <w:vAlign w:val="bottom"/>
            <w:vMerge w:val="restart"/>
          </w:tcPr>
          <w:p>
            <w:pPr>
              <w:jc w:val="right"/>
              <w:ind w:right="488"/>
              <w:spacing w:after="0"/>
              <w:rPr>
                <w:sz w:val="20"/>
                <w:szCs w:val="20"/>
                <w:color w:val="auto"/>
              </w:rPr>
            </w:pPr>
            <w:r>
              <w:rPr>
                <w:rFonts w:ascii="Arial" w:cs="Arial" w:eastAsia="Arial" w:hAnsi="Arial"/>
                <w:sz w:val="14"/>
                <w:szCs w:val="14"/>
                <w:color w:val="auto"/>
              </w:rPr>
              <w:t>2,934</w:t>
            </w:r>
          </w:p>
        </w:tc>
        <w:tc>
          <w:tcPr>
            <w:tcW w:w="200" w:type="dxa"/>
            <w:vAlign w:val="bottom"/>
          </w:tcPr>
          <w:p>
            <w:pPr>
              <w:spacing w:after="0"/>
              <w:rPr>
                <w:sz w:val="16"/>
                <w:szCs w:val="16"/>
                <w:color w:val="auto"/>
              </w:rPr>
            </w:pPr>
          </w:p>
        </w:tc>
        <w:tc>
          <w:tcPr>
            <w:tcW w:w="680" w:type="dxa"/>
            <w:vAlign w:val="bottom"/>
            <w:vMerge w:val="restart"/>
          </w:tcPr>
          <w:p>
            <w:pPr>
              <w:jc w:val="right"/>
              <w:ind w:right="228"/>
              <w:spacing w:after="0"/>
              <w:rPr>
                <w:sz w:val="20"/>
                <w:szCs w:val="20"/>
                <w:color w:val="auto"/>
              </w:rPr>
            </w:pPr>
            <w:r>
              <w:rPr>
                <w:rFonts w:ascii="Arial" w:cs="Arial" w:eastAsia="Arial" w:hAnsi="Arial"/>
                <w:sz w:val="14"/>
                <w:szCs w:val="14"/>
                <w:color w:val="auto"/>
              </w:rPr>
              <w:t>2,326</w:t>
            </w:r>
          </w:p>
        </w:tc>
        <w:tc>
          <w:tcPr>
            <w:tcW w:w="0" w:type="dxa"/>
            <w:vAlign w:val="bottom"/>
          </w:tcPr>
          <w:p>
            <w:pPr>
              <w:spacing w:after="0"/>
              <w:rPr>
                <w:sz w:val="1"/>
                <w:szCs w:val="1"/>
                <w:color w:val="auto"/>
              </w:rPr>
            </w:pPr>
          </w:p>
        </w:tc>
      </w:tr>
      <w:tr>
        <w:trPr>
          <w:trHeight w:val="54"/>
        </w:trPr>
        <w:tc>
          <w:tcPr>
            <w:tcW w:w="680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6800" w:type="dxa"/>
            <w:vAlign w:val="bottom"/>
            <w:tcBorders>
              <w:bottom w:val="single" w:sz="8" w:color="D9D9D9"/>
            </w:tcBorders>
          </w:tcPr>
          <w:p>
            <w:pPr>
              <w:spacing w:after="0"/>
              <w:rPr>
                <w:sz w:val="4"/>
                <w:szCs w:val="4"/>
                <w:color w:val="auto"/>
              </w:rPr>
            </w:pPr>
          </w:p>
        </w:tc>
        <w:tc>
          <w:tcPr>
            <w:tcW w:w="880" w:type="dxa"/>
            <w:vAlign w:val="bottom"/>
            <w:tcBorders>
              <w:bottom w:val="single" w:sz="8" w:color="D9D9D9"/>
            </w:tcBorders>
          </w:tcPr>
          <w:p>
            <w:pPr>
              <w:spacing w:after="0"/>
              <w:rPr>
                <w:sz w:val="4"/>
                <w:szCs w:val="4"/>
                <w:color w:val="auto"/>
              </w:rPr>
            </w:pPr>
          </w:p>
        </w:tc>
        <w:tc>
          <w:tcPr>
            <w:tcW w:w="260" w:type="dxa"/>
            <w:vAlign w:val="bottom"/>
            <w:tcBorders>
              <w:bottom w:val="single" w:sz="8" w:color="D9D9D9"/>
            </w:tcBorders>
          </w:tcPr>
          <w:p>
            <w:pPr>
              <w:spacing w:after="0"/>
              <w:rPr>
                <w:sz w:val="4"/>
                <w:szCs w:val="4"/>
                <w:color w:val="auto"/>
              </w:rPr>
            </w:pPr>
          </w:p>
        </w:tc>
        <w:tc>
          <w:tcPr>
            <w:tcW w:w="760" w:type="dxa"/>
            <w:vAlign w:val="bottom"/>
            <w:tcBorders>
              <w:bottom w:val="single" w:sz="8" w:color="D9D9D9"/>
            </w:tcBorders>
          </w:tcPr>
          <w:p>
            <w:pPr>
              <w:spacing w:after="0"/>
              <w:rPr>
                <w:sz w:val="4"/>
                <w:szCs w:val="4"/>
                <w:color w:val="auto"/>
              </w:rPr>
            </w:pPr>
          </w:p>
        </w:tc>
        <w:tc>
          <w:tcPr>
            <w:tcW w:w="460" w:type="dxa"/>
            <w:vAlign w:val="bottom"/>
            <w:tcBorders>
              <w:bottom w:val="single" w:sz="8" w:color="D9D9D9"/>
            </w:tcBorders>
          </w:tcPr>
          <w:p>
            <w:pPr>
              <w:spacing w:after="0"/>
              <w:rPr>
                <w:sz w:val="4"/>
                <w:szCs w:val="4"/>
                <w:color w:val="auto"/>
              </w:rPr>
            </w:pPr>
          </w:p>
        </w:tc>
        <w:tc>
          <w:tcPr>
            <w:tcW w:w="1040" w:type="dxa"/>
            <w:vAlign w:val="bottom"/>
            <w:tcBorders>
              <w:bottom w:val="single" w:sz="8" w:color="D9D9D9"/>
            </w:tcBorders>
          </w:tcPr>
          <w:p>
            <w:pPr>
              <w:spacing w:after="0"/>
              <w:rPr>
                <w:sz w:val="4"/>
                <w:szCs w:val="4"/>
                <w:color w:val="auto"/>
              </w:rPr>
            </w:pPr>
          </w:p>
        </w:tc>
        <w:tc>
          <w:tcPr>
            <w:tcW w:w="200" w:type="dxa"/>
            <w:vAlign w:val="bottom"/>
            <w:tcBorders>
              <w:bottom w:val="single" w:sz="8" w:color="D9D9D9"/>
            </w:tcBorders>
          </w:tcPr>
          <w:p>
            <w:pPr>
              <w:spacing w:after="0"/>
              <w:rPr>
                <w:sz w:val="4"/>
                <w:szCs w:val="4"/>
                <w:color w:val="auto"/>
              </w:rPr>
            </w:pPr>
          </w:p>
        </w:tc>
        <w:tc>
          <w:tcPr>
            <w:tcW w:w="680" w:type="dxa"/>
            <w:vAlign w:val="bottom"/>
            <w:tcBorders>
              <w:bottom w:val="single" w:sz="8" w:color="D9D9D9"/>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6800" w:type="dxa"/>
            <w:vAlign w:val="bottom"/>
            <w:vMerge w:val="restart"/>
          </w:tcPr>
          <w:p>
            <w:pPr>
              <w:ind w:left="140"/>
              <w:spacing w:after="0"/>
              <w:rPr>
                <w:sz w:val="20"/>
                <w:szCs w:val="20"/>
                <w:color w:val="auto"/>
              </w:rPr>
            </w:pPr>
            <w:r>
              <w:rPr>
                <w:rFonts w:ascii="Arial" w:cs="Arial" w:eastAsia="Arial" w:hAnsi="Arial"/>
                <w:sz w:val="14"/>
                <w:szCs w:val="14"/>
                <w:color w:val="auto"/>
              </w:rPr>
              <w:t>Plus: income tax provision</w:t>
            </w:r>
          </w:p>
        </w:tc>
        <w:tc>
          <w:tcPr>
            <w:tcW w:w="880" w:type="dxa"/>
            <w:vAlign w:val="bottom"/>
          </w:tcPr>
          <w:p>
            <w:pPr>
              <w:spacing w:after="0"/>
              <w:rPr>
                <w:sz w:val="16"/>
                <w:szCs w:val="16"/>
                <w:color w:val="auto"/>
              </w:rPr>
            </w:pPr>
          </w:p>
        </w:tc>
        <w:tc>
          <w:tcPr>
            <w:tcW w:w="1020" w:type="dxa"/>
            <w:vAlign w:val="bottom"/>
            <w:gridSpan w:val="2"/>
          </w:tcPr>
          <w:p>
            <w:pPr>
              <w:jc w:val="right"/>
              <w:ind w:right="28"/>
              <w:spacing w:after="0"/>
              <w:rPr>
                <w:sz w:val="20"/>
                <w:szCs w:val="20"/>
                <w:color w:val="auto"/>
              </w:rPr>
            </w:pPr>
            <w:r>
              <w:rPr>
                <w:rFonts w:ascii="Arial" w:cs="Arial" w:eastAsia="Arial" w:hAnsi="Arial"/>
                <w:sz w:val="14"/>
                <w:szCs w:val="14"/>
                <w:color w:val="auto"/>
              </w:rPr>
              <w:t>(42,352)</w:t>
            </w:r>
          </w:p>
        </w:tc>
        <w:tc>
          <w:tcPr>
            <w:tcW w:w="460" w:type="dxa"/>
            <w:vAlign w:val="bottom"/>
          </w:tcPr>
          <w:p>
            <w:pPr>
              <w:spacing w:after="0"/>
              <w:rPr>
                <w:sz w:val="16"/>
                <w:szCs w:val="16"/>
                <w:color w:val="auto"/>
              </w:rPr>
            </w:pPr>
          </w:p>
        </w:tc>
        <w:tc>
          <w:tcPr>
            <w:tcW w:w="1040" w:type="dxa"/>
            <w:vAlign w:val="bottom"/>
            <w:vMerge w:val="restart"/>
          </w:tcPr>
          <w:p>
            <w:pPr>
              <w:jc w:val="right"/>
              <w:ind w:right="488"/>
              <w:spacing w:after="0"/>
              <w:rPr>
                <w:sz w:val="20"/>
                <w:szCs w:val="20"/>
                <w:color w:val="auto"/>
              </w:rPr>
            </w:pPr>
            <w:r>
              <w:rPr>
                <w:rFonts w:ascii="Arial" w:cs="Arial" w:eastAsia="Arial" w:hAnsi="Arial"/>
                <w:sz w:val="14"/>
                <w:szCs w:val="14"/>
                <w:color w:val="auto"/>
              </w:rPr>
              <w:t>985</w:t>
            </w:r>
          </w:p>
        </w:tc>
        <w:tc>
          <w:tcPr>
            <w:tcW w:w="200" w:type="dxa"/>
            <w:vAlign w:val="bottom"/>
          </w:tcPr>
          <w:p>
            <w:pPr>
              <w:spacing w:after="0"/>
              <w:rPr>
                <w:sz w:val="16"/>
                <w:szCs w:val="16"/>
                <w:color w:val="auto"/>
              </w:rPr>
            </w:pPr>
          </w:p>
        </w:tc>
        <w:tc>
          <w:tcPr>
            <w:tcW w:w="680" w:type="dxa"/>
            <w:vAlign w:val="bottom"/>
            <w:vMerge w:val="restart"/>
          </w:tcPr>
          <w:p>
            <w:pPr>
              <w:jc w:val="right"/>
              <w:ind w:right="228"/>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54"/>
        </w:trPr>
        <w:tc>
          <w:tcPr>
            <w:tcW w:w="680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6800" w:type="dxa"/>
            <w:vAlign w:val="bottom"/>
            <w:tcBorders>
              <w:bottom w:val="single" w:sz="8" w:color="D9D9D9"/>
            </w:tcBorders>
          </w:tcPr>
          <w:p>
            <w:pPr>
              <w:spacing w:after="0"/>
              <w:rPr>
                <w:sz w:val="4"/>
                <w:szCs w:val="4"/>
                <w:color w:val="auto"/>
              </w:rPr>
            </w:pPr>
          </w:p>
        </w:tc>
        <w:tc>
          <w:tcPr>
            <w:tcW w:w="880" w:type="dxa"/>
            <w:vAlign w:val="bottom"/>
            <w:tcBorders>
              <w:bottom w:val="single" w:sz="8" w:color="D9D9D9"/>
            </w:tcBorders>
          </w:tcPr>
          <w:p>
            <w:pPr>
              <w:spacing w:after="0"/>
              <w:rPr>
                <w:sz w:val="4"/>
                <w:szCs w:val="4"/>
                <w:color w:val="auto"/>
              </w:rPr>
            </w:pPr>
          </w:p>
        </w:tc>
        <w:tc>
          <w:tcPr>
            <w:tcW w:w="260" w:type="dxa"/>
            <w:vAlign w:val="bottom"/>
            <w:tcBorders>
              <w:bottom w:val="single" w:sz="8" w:color="D9D9D9"/>
            </w:tcBorders>
          </w:tcPr>
          <w:p>
            <w:pPr>
              <w:spacing w:after="0"/>
              <w:rPr>
                <w:sz w:val="4"/>
                <w:szCs w:val="4"/>
                <w:color w:val="auto"/>
              </w:rPr>
            </w:pPr>
          </w:p>
        </w:tc>
        <w:tc>
          <w:tcPr>
            <w:tcW w:w="760" w:type="dxa"/>
            <w:vAlign w:val="bottom"/>
            <w:tcBorders>
              <w:bottom w:val="single" w:sz="8" w:color="D9D9D9"/>
            </w:tcBorders>
          </w:tcPr>
          <w:p>
            <w:pPr>
              <w:spacing w:after="0"/>
              <w:rPr>
                <w:sz w:val="4"/>
                <w:szCs w:val="4"/>
                <w:color w:val="auto"/>
              </w:rPr>
            </w:pPr>
          </w:p>
        </w:tc>
        <w:tc>
          <w:tcPr>
            <w:tcW w:w="460" w:type="dxa"/>
            <w:vAlign w:val="bottom"/>
            <w:tcBorders>
              <w:bottom w:val="single" w:sz="8" w:color="D9D9D9"/>
            </w:tcBorders>
          </w:tcPr>
          <w:p>
            <w:pPr>
              <w:spacing w:after="0"/>
              <w:rPr>
                <w:sz w:val="4"/>
                <w:szCs w:val="4"/>
                <w:color w:val="auto"/>
              </w:rPr>
            </w:pPr>
          </w:p>
        </w:tc>
        <w:tc>
          <w:tcPr>
            <w:tcW w:w="1040" w:type="dxa"/>
            <w:vAlign w:val="bottom"/>
            <w:tcBorders>
              <w:bottom w:val="single" w:sz="8" w:color="D9D9D9"/>
            </w:tcBorders>
          </w:tcPr>
          <w:p>
            <w:pPr>
              <w:spacing w:after="0"/>
              <w:rPr>
                <w:sz w:val="4"/>
                <w:szCs w:val="4"/>
                <w:color w:val="auto"/>
              </w:rPr>
            </w:pPr>
          </w:p>
        </w:tc>
        <w:tc>
          <w:tcPr>
            <w:tcW w:w="200" w:type="dxa"/>
            <w:vAlign w:val="bottom"/>
            <w:tcBorders>
              <w:bottom w:val="single" w:sz="8" w:color="D9D9D9"/>
            </w:tcBorders>
          </w:tcPr>
          <w:p>
            <w:pPr>
              <w:spacing w:after="0"/>
              <w:rPr>
                <w:sz w:val="4"/>
                <w:szCs w:val="4"/>
                <w:color w:val="auto"/>
              </w:rPr>
            </w:pPr>
          </w:p>
        </w:tc>
        <w:tc>
          <w:tcPr>
            <w:tcW w:w="680" w:type="dxa"/>
            <w:vAlign w:val="bottom"/>
            <w:tcBorders>
              <w:bottom w:val="single" w:sz="8" w:color="D9D9D9"/>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6800" w:type="dxa"/>
            <w:vAlign w:val="bottom"/>
            <w:vMerge w:val="restart"/>
          </w:tcPr>
          <w:p>
            <w:pPr>
              <w:ind w:left="140"/>
              <w:spacing w:after="0"/>
              <w:rPr>
                <w:sz w:val="20"/>
                <w:szCs w:val="20"/>
                <w:color w:val="auto"/>
              </w:rPr>
            </w:pPr>
            <w:r>
              <w:rPr>
                <w:rFonts w:ascii="Arial" w:cs="Arial" w:eastAsia="Arial" w:hAnsi="Arial"/>
                <w:sz w:val="14"/>
                <w:szCs w:val="14"/>
                <w:color w:val="auto"/>
              </w:rPr>
              <w:t>Plus: depreciation expense included in cost of sales for rentals</w:t>
            </w:r>
          </w:p>
        </w:tc>
        <w:tc>
          <w:tcPr>
            <w:tcW w:w="880" w:type="dxa"/>
            <w:vAlign w:val="bottom"/>
          </w:tcPr>
          <w:p>
            <w:pPr>
              <w:spacing w:after="0"/>
              <w:rPr>
                <w:sz w:val="16"/>
                <w:szCs w:val="16"/>
                <w:color w:val="auto"/>
              </w:rPr>
            </w:pPr>
          </w:p>
        </w:tc>
        <w:tc>
          <w:tcPr>
            <w:tcW w:w="1020" w:type="dxa"/>
            <w:vAlign w:val="bottom"/>
            <w:gridSpan w:val="2"/>
          </w:tcPr>
          <w:p>
            <w:pPr>
              <w:jc w:val="right"/>
              <w:ind w:right="68"/>
              <w:spacing w:after="0"/>
              <w:rPr>
                <w:sz w:val="20"/>
                <w:szCs w:val="20"/>
                <w:color w:val="auto"/>
              </w:rPr>
            </w:pPr>
            <w:r>
              <w:rPr>
                <w:rFonts w:ascii="Arial" w:cs="Arial" w:eastAsia="Arial" w:hAnsi="Arial"/>
                <w:sz w:val="14"/>
                <w:szCs w:val="14"/>
                <w:color w:val="auto"/>
              </w:rPr>
              <w:t>1,923</w:t>
            </w:r>
          </w:p>
        </w:tc>
        <w:tc>
          <w:tcPr>
            <w:tcW w:w="460" w:type="dxa"/>
            <w:vAlign w:val="bottom"/>
          </w:tcPr>
          <w:p>
            <w:pPr>
              <w:spacing w:after="0"/>
              <w:rPr>
                <w:sz w:val="16"/>
                <w:szCs w:val="16"/>
                <w:color w:val="auto"/>
              </w:rPr>
            </w:pPr>
          </w:p>
        </w:tc>
        <w:tc>
          <w:tcPr>
            <w:tcW w:w="1040" w:type="dxa"/>
            <w:vAlign w:val="bottom"/>
            <w:vMerge w:val="restart"/>
          </w:tcPr>
          <w:p>
            <w:pPr>
              <w:jc w:val="right"/>
              <w:ind w:right="488"/>
              <w:spacing w:after="0"/>
              <w:rPr>
                <w:sz w:val="20"/>
                <w:szCs w:val="20"/>
                <w:color w:val="auto"/>
              </w:rPr>
            </w:pPr>
            <w:r>
              <w:rPr>
                <w:rFonts w:ascii="Arial" w:cs="Arial" w:eastAsia="Arial" w:hAnsi="Arial"/>
                <w:sz w:val="14"/>
                <w:szCs w:val="14"/>
                <w:color w:val="auto"/>
              </w:rPr>
              <w:t>1,634</w:t>
            </w:r>
          </w:p>
        </w:tc>
        <w:tc>
          <w:tcPr>
            <w:tcW w:w="200" w:type="dxa"/>
            <w:vAlign w:val="bottom"/>
          </w:tcPr>
          <w:p>
            <w:pPr>
              <w:spacing w:after="0"/>
              <w:rPr>
                <w:sz w:val="16"/>
                <w:szCs w:val="16"/>
                <w:color w:val="auto"/>
              </w:rPr>
            </w:pPr>
          </w:p>
        </w:tc>
        <w:tc>
          <w:tcPr>
            <w:tcW w:w="680" w:type="dxa"/>
            <w:vAlign w:val="bottom"/>
            <w:vMerge w:val="restart"/>
          </w:tcPr>
          <w:p>
            <w:pPr>
              <w:jc w:val="right"/>
              <w:ind w:right="228"/>
              <w:spacing w:after="0"/>
              <w:rPr>
                <w:sz w:val="20"/>
                <w:szCs w:val="20"/>
                <w:color w:val="auto"/>
              </w:rPr>
            </w:pPr>
            <w:r>
              <w:rPr>
                <w:rFonts w:ascii="Arial" w:cs="Arial" w:eastAsia="Arial" w:hAnsi="Arial"/>
                <w:sz w:val="14"/>
                <w:szCs w:val="14"/>
                <w:color w:val="auto"/>
              </w:rPr>
              <w:t>1,189</w:t>
            </w:r>
          </w:p>
        </w:tc>
        <w:tc>
          <w:tcPr>
            <w:tcW w:w="0" w:type="dxa"/>
            <w:vAlign w:val="bottom"/>
          </w:tcPr>
          <w:p>
            <w:pPr>
              <w:spacing w:after="0"/>
              <w:rPr>
                <w:sz w:val="1"/>
                <w:szCs w:val="1"/>
                <w:color w:val="auto"/>
              </w:rPr>
            </w:pPr>
          </w:p>
        </w:tc>
      </w:tr>
      <w:tr>
        <w:trPr>
          <w:trHeight w:val="54"/>
        </w:trPr>
        <w:tc>
          <w:tcPr>
            <w:tcW w:w="680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6800" w:type="dxa"/>
            <w:vAlign w:val="bottom"/>
            <w:tcBorders>
              <w:bottom w:val="single" w:sz="8" w:color="D9D9D9"/>
            </w:tcBorders>
          </w:tcPr>
          <w:p>
            <w:pPr>
              <w:spacing w:after="0"/>
              <w:rPr>
                <w:sz w:val="4"/>
                <w:szCs w:val="4"/>
                <w:color w:val="auto"/>
              </w:rPr>
            </w:pPr>
          </w:p>
        </w:tc>
        <w:tc>
          <w:tcPr>
            <w:tcW w:w="880" w:type="dxa"/>
            <w:vAlign w:val="bottom"/>
            <w:tcBorders>
              <w:bottom w:val="single" w:sz="8" w:color="D9D9D9"/>
            </w:tcBorders>
          </w:tcPr>
          <w:p>
            <w:pPr>
              <w:spacing w:after="0"/>
              <w:rPr>
                <w:sz w:val="4"/>
                <w:szCs w:val="4"/>
                <w:color w:val="auto"/>
              </w:rPr>
            </w:pPr>
          </w:p>
        </w:tc>
        <w:tc>
          <w:tcPr>
            <w:tcW w:w="260" w:type="dxa"/>
            <w:vAlign w:val="bottom"/>
            <w:tcBorders>
              <w:bottom w:val="single" w:sz="8" w:color="D9D9D9"/>
            </w:tcBorders>
          </w:tcPr>
          <w:p>
            <w:pPr>
              <w:spacing w:after="0"/>
              <w:rPr>
                <w:sz w:val="4"/>
                <w:szCs w:val="4"/>
                <w:color w:val="auto"/>
              </w:rPr>
            </w:pPr>
          </w:p>
        </w:tc>
        <w:tc>
          <w:tcPr>
            <w:tcW w:w="760" w:type="dxa"/>
            <w:vAlign w:val="bottom"/>
            <w:tcBorders>
              <w:bottom w:val="single" w:sz="8" w:color="D9D9D9"/>
            </w:tcBorders>
          </w:tcPr>
          <w:p>
            <w:pPr>
              <w:spacing w:after="0"/>
              <w:rPr>
                <w:sz w:val="4"/>
                <w:szCs w:val="4"/>
                <w:color w:val="auto"/>
              </w:rPr>
            </w:pPr>
          </w:p>
        </w:tc>
        <w:tc>
          <w:tcPr>
            <w:tcW w:w="460" w:type="dxa"/>
            <w:vAlign w:val="bottom"/>
            <w:tcBorders>
              <w:bottom w:val="single" w:sz="8" w:color="D9D9D9"/>
            </w:tcBorders>
          </w:tcPr>
          <w:p>
            <w:pPr>
              <w:spacing w:after="0"/>
              <w:rPr>
                <w:sz w:val="4"/>
                <w:szCs w:val="4"/>
                <w:color w:val="auto"/>
              </w:rPr>
            </w:pPr>
          </w:p>
        </w:tc>
        <w:tc>
          <w:tcPr>
            <w:tcW w:w="1040" w:type="dxa"/>
            <w:vAlign w:val="bottom"/>
            <w:tcBorders>
              <w:bottom w:val="single" w:sz="8" w:color="D9D9D9"/>
            </w:tcBorders>
          </w:tcPr>
          <w:p>
            <w:pPr>
              <w:spacing w:after="0"/>
              <w:rPr>
                <w:sz w:val="4"/>
                <w:szCs w:val="4"/>
                <w:color w:val="auto"/>
              </w:rPr>
            </w:pPr>
          </w:p>
        </w:tc>
        <w:tc>
          <w:tcPr>
            <w:tcW w:w="200" w:type="dxa"/>
            <w:vAlign w:val="bottom"/>
            <w:tcBorders>
              <w:bottom w:val="single" w:sz="8" w:color="D9D9D9"/>
            </w:tcBorders>
          </w:tcPr>
          <w:p>
            <w:pPr>
              <w:spacing w:after="0"/>
              <w:rPr>
                <w:sz w:val="4"/>
                <w:szCs w:val="4"/>
                <w:color w:val="auto"/>
              </w:rPr>
            </w:pPr>
          </w:p>
        </w:tc>
        <w:tc>
          <w:tcPr>
            <w:tcW w:w="680" w:type="dxa"/>
            <w:vAlign w:val="bottom"/>
            <w:tcBorders>
              <w:bottom w:val="single" w:sz="8" w:color="D9D9D9"/>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6800" w:type="dxa"/>
            <w:vAlign w:val="bottom"/>
            <w:vMerge w:val="restart"/>
          </w:tcPr>
          <w:p>
            <w:pPr>
              <w:ind w:left="140"/>
              <w:spacing w:after="0"/>
              <w:rPr>
                <w:sz w:val="20"/>
                <w:szCs w:val="20"/>
                <w:color w:val="auto"/>
              </w:rPr>
            </w:pPr>
            <w:r>
              <w:rPr>
                <w:rFonts w:ascii="Arial" w:cs="Arial" w:eastAsia="Arial" w:hAnsi="Arial"/>
                <w:sz w:val="14"/>
                <w:szCs w:val="14"/>
                <w:color w:val="auto"/>
              </w:rPr>
              <w:t>Plus: depreciation and amortization expense in operating expenses</w:t>
            </w:r>
          </w:p>
        </w:tc>
        <w:tc>
          <w:tcPr>
            <w:tcW w:w="880" w:type="dxa"/>
            <w:vAlign w:val="bottom"/>
          </w:tcPr>
          <w:p>
            <w:pPr>
              <w:spacing w:after="0"/>
              <w:rPr>
                <w:sz w:val="16"/>
                <w:szCs w:val="16"/>
                <w:color w:val="auto"/>
              </w:rPr>
            </w:pPr>
          </w:p>
        </w:tc>
        <w:tc>
          <w:tcPr>
            <w:tcW w:w="1020" w:type="dxa"/>
            <w:vAlign w:val="bottom"/>
            <w:gridSpan w:val="2"/>
          </w:tcPr>
          <w:p>
            <w:pPr>
              <w:jc w:val="right"/>
              <w:ind w:right="68"/>
              <w:spacing w:after="0"/>
              <w:rPr>
                <w:sz w:val="20"/>
                <w:szCs w:val="20"/>
                <w:color w:val="auto"/>
              </w:rPr>
            </w:pPr>
            <w:r>
              <w:rPr>
                <w:rFonts w:ascii="Arial" w:cs="Arial" w:eastAsia="Arial" w:hAnsi="Arial"/>
                <w:sz w:val="14"/>
                <w:szCs w:val="14"/>
                <w:color w:val="auto"/>
              </w:rPr>
              <w:t>15,877</w:t>
            </w:r>
          </w:p>
        </w:tc>
        <w:tc>
          <w:tcPr>
            <w:tcW w:w="460" w:type="dxa"/>
            <w:vAlign w:val="bottom"/>
          </w:tcPr>
          <w:p>
            <w:pPr>
              <w:spacing w:after="0"/>
              <w:rPr>
                <w:sz w:val="16"/>
                <w:szCs w:val="16"/>
                <w:color w:val="auto"/>
              </w:rPr>
            </w:pPr>
          </w:p>
        </w:tc>
        <w:tc>
          <w:tcPr>
            <w:tcW w:w="1040" w:type="dxa"/>
            <w:vAlign w:val="bottom"/>
            <w:vMerge w:val="restart"/>
          </w:tcPr>
          <w:p>
            <w:pPr>
              <w:jc w:val="right"/>
              <w:ind w:right="488"/>
              <w:spacing w:after="0"/>
              <w:rPr>
                <w:sz w:val="20"/>
                <w:szCs w:val="20"/>
                <w:color w:val="auto"/>
              </w:rPr>
            </w:pPr>
            <w:r>
              <w:rPr>
                <w:rFonts w:ascii="Arial" w:cs="Arial" w:eastAsia="Arial" w:hAnsi="Arial"/>
                <w:sz w:val="14"/>
                <w:szCs w:val="14"/>
                <w:color w:val="auto"/>
              </w:rPr>
              <w:t>10,570</w:t>
            </w:r>
          </w:p>
        </w:tc>
        <w:tc>
          <w:tcPr>
            <w:tcW w:w="200" w:type="dxa"/>
            <w:vAlign w:val="bottom"/>
          </w:tcPr>
          <w:p>
            <w:pPr>
              <w:spacing w:after="0"/>
              <w:rPr>
                <w:sz w:val="16"/>
                <w:szCs w:val="16"/>
                <w:color w:val="auto"/>
              </w:rPr>
            </w:pPr>
          </w:p>
        </w:tc>
        <w:tc>
          <w:tcPr>
            <w:tcW w:w="680" w:type="dxa"/>
            <w:vAlign w:val="bottom"/>
            <w:vMerge w:val="restart"/>
          </w:tcPr>
          <w:p>
            <w:pPr>
              <w:jc w:val="right"/>
              <w:ind w:right="228"/>
              <w:spacing w:after="0"/>
              <w:rPr>
                <w:sz w:val="20"/>
                <w:szCs w:val="20"/>
                <w:color w:val="auto"/>
              </w:rPr>
            </w:pPr>
            <w:r>
              <w:rPr>
                <w:rFonts w:ascii="Arial" w:cs="Arial" w:eastAsia="Arial" w:hAnsi="Arial"/>
                <w:sz w:val="14"/>
                <w:szCs w:val="14"/>
                <w:color w:val="auto"/>
              </w:rPr>
              <w:t>7,618</w:t>
            </w:r>
          </w:p>
        </w:tc>
        <w:tc>
          <w:tcPr>
            <w:tcW w:w="0" w:type="dxa"/>
            <w:vAlign w:val="bottom"/>
          </w:tcPr>
          <w:p>
            <w:pPr>
              <w:spacing w:after="0"/>
              <w:rPr>
                <w:sz w:val="1"/>
                <w:szCs w:val="1"/>
                <w:color w:val="auto"/>
              </w:rPr>
            </w:pPr>
          </w:p>
        </w:tc>
      </w:tr>
      <w:tr>
        <w:trPr>
          <w:trHeight w:val="54"/>
        </w:trPr>
        <w:tc>
          <w:tcPr>
            <w:tcW w:w="680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6800" w:type="dxa"/>
            <w:vAlign w:val="bottom"/>
            <w:tcBorders>
              <w:bottom w:val="single" w:sz="8" w:color="D9D9D9"/>
            </w:tcBorders>
          </w:tcPr>
          <w:p>
            <w:pPr>
              <w:spacing w:after="0"/>
              <w:rPr>
                <w:sz w:val="4"/>
                <w:szCs w:val="4"/>
                <w:color w:val="auto"/>
              </w:rPr>
            </w:pPr>
          </w:p>
        </w:tc>
        <w:tc>
          <w:tcPr>
            <w:tcW w:w="880" w:type="dxa"/>
            <w:vAlign w:val="bottom"/>
            <w:tcBorders>
              <w:bottom w:val="single" w:sz="8" w:color="D9D9D9"/>
            </w:tcBorders>
          </w:tcPr>
          <w:p>
            <w:pPr>
              <w:spacing w:after="0"/>
              <w:rPr>
                <w:sz w:val="4"/>
                <w:szCs w:val="4"/>
                <w:color w:val="auto"/>
              </w:rPr>
            </w:pPr>
          </w:p>
        </w:tc>
        <w:tc>
          <w:tcPr>
            <w:tcW w:w="260" w:type="dxa"/>
            <w:vAlign w:val="bottom"/>
            <w:tcBorders>
              <w:bottom w:val="single" w:sz="8" w:color="D9D9D9"/>
            </w:tcBorders>
          </w:tcPr>
          <w:p>
            <w:pPr>
              <w:spacing w:after="0"/>
              <w:rPr>
                <w:sz w:val="4"/>
                <w:szCs w:val="4"/>
                <w:color w:val="auto"/>
              </w:rPr>
            </w:pPr>
          </w:p>
        </w:tc>
        <w:tc>
          <w:tcPr>
            <w:tcW w:w="760" w:type="dxa"/>
            <w:vAlign w:val="bottom"/>
            <w:tcBorders>
              <w:bottom w:val="single" w:sz="8" w:color="D9D9D9"/>
            </w:tcBorders>
          </w:tcPr>
          <w:p>
            <w:pPr>
              <w:spacing w:after="0"/>
              <w:rPr>
                <w:sz w:val="4"/>
                <w:szCs w:val="4"/>
                <w:color w:val="auto"/>
              </w:rPr>
            </w:pPr>
          </w:p>
        </w:tc>
        <w:tc>
          <w:tcPr>
            <w:tcW w:w="460" w:type="dxa"/>
            <w:vAlign w:val="bottom"/>
            <w:tcBorders>
              <w:bottom w:val="single" w:sz="8" w:color="D9D9D9"/>
            </w:tcBorders>
          </w:tcPr>
          <w:p>
            <w:pPr>
              <w:spacing w:after="0"/>
              <w:rPr>
                <w:sz w:val="4"/>
                <w:szCs w:val="4"/>
                <w:color w:val="auto"/>
              </w:rPr>
            </w:pPr>
          </w:p>
        </w:tc>
        <w:tc>
          <w:tcPr>
            <w:tcW w:w="1040" w:type="dxa"/>
            <w:vAlign w:val="bottom"/>
            <w:tcBorders>
              <w:bottom w:val="single" w:sz="8" w:color="D9D9D9"/>
            </w:tcBorders>
          </w:tcPr>
          <w:p>
            <w:pPr>
              <w:spacing w:after="0"/>
              <w:rPr>
                <w:sz w:val="4"/>
                <w:szCs w:val="4"/>
                <w:color w:val="auto"/>
              </w:rPr>
            </w:pPr>
          </w:p>
        </w:tc>
        <w:tc>
          <w:tcPr>
            <w:tcW w:w="200" w:type="dxa"/>
            <w:vAlign w:val="bottom"/>
            <w:tcBorders>
              <w:bottom w:val="single" w:sz="8" w:color="D9D9D9"/>
            </w:tcBorders>
          </w:tcPr>
          <w:p>
            <w:pPr>
              <w:spacing w:after="0"/>
              <w:rPr>
                <w:sz w:val="4"/>
                <w:szCs w:val="4"/>
                <w:color w:val="auto"/>
              </w:rPr>
            </w:pPr>
          </w:p>
        </w:tc>
        <w:tc>
          <w:tcPr>
            <w:tcW w:w="680" w:type="dxa"/>
            <w:vAlign w:val="bottom"/>
            <w:tcBorders>
              <w:bottom w:val="single" w:sz="8" w:color="D9D9D9"/>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6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20" w:type="dxa"/>
            <w:vAlign w:val="bottom"/>
            <w:gridSpan w:val="2"/>
          </w:tcPr>
          <w:p>
            <w:pPr>
              <w:jc w:val="right"/>
              <w:ind w:right="68"/>
              <w:spacing w:after="0"/>
              <w:rPr>
                <w:sz w:val="20"/>
                <w:szCs w:val="20"/>
                <w:color w:val="auto"/>
              </w:rPr>
            </w:pPr>
            <w:r>
              <w:rPr>
                <w:rFonts w:ascii="Arial" w:cs="Arial" w:eastAsia="Arial" w:hAnsi="Arial"/>
                <w:sz w:val="14"/>
                <w:szCs w:val="14"/>
                <w:color w:val="auto"/>
              </w:rPr>
              <w:t>41,189</w:t>
            </w: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800" w:type="dxa"/>
            <w:vAlign w:val="bottom"/>
          </w:tcPr>
          <w:p>
            <w:pPr>
              <w:ind w:left="20"/>
              <w:spacing w:after="0"/>
              <w:rPr>
                <w:sz w:val="20"/>
                <w:szCs w:val="20"/>
                <w:color w:val="auto"/>
              </w:rPr>
            </w:pPr>
            <w:r>
              <w:rPr>
                <w:rFonts w:ascii="Arial" w:cs="Arial" w:eastAsia="Arial" w:hAnsi="Arial"/>
                <w:sz w:val="14"/>
                <w:szCs w:val="14"/>
                <w:b w:val="1"/>
                <w:bCs w:val="1"/>
                <w:color w:val="auto"/>
              </w:rPr>
              <w:t>EBITDA</w:t>
            </w:r>
          </w:p>
        </w:tc>
        <w:tc>
          <w:tcPr>
            <w:tcW w:w="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40" w:type="dxa"/>
            <w:vAlign w:val="bottom"/>
          </w:tcPr>
          <w:p>
            <w:pPr>
              <w:jc w:val="right"/>
              <w:ind w:right="488"/>
              <w:spacing w:after="0"/>
              <w:rPr>
                <w:sz w:val="20"/>
                <w:szCs w:val="20"/>
                <w:color w:val="auto"/>
              </w:rPr>
            </w:pPr>
            <w:r>
              <w:rPr>
                <w:rFonts w:ascii="Arial" w:cs="Arial" w:eastAsia="Arial" w:hAnsi="Arial"/>
                <w:sz w:val="14"/>
                <w:szCs w:val="14"/>
                <w:color w:val="auto"/>
              </w:rPr>
              <w:t>26,147</w:t>
            </w:r>
          </w:p>
        </w:tc>
        <w:tc>
          <w:tcPr>
            <w:tcW w:w="200" w:type="dxa"/>
            <w:vAlign w:val="bottom"/>
          </w:tcPr>
          <w:p>
            <w:pPr>
              <w:spacing w:after="0"/>
              <w:rPr>
                <w:sz w:val="22"/>
                <w:szCs w:val="22"/>
                <w:color w:val="auto"/>
              </w:rPr>
            </w:pPr>
          </w:p>
        </w:tc>
        <w:tc>
          <w:tcPr>
            <w:tcW w:w="680" w:type="dxa"/>
            <w:vAlign w:val="bottom"/>
          </w:tcPr>
          <w:p>
            <w:pPr>
              <w:jc w:val="right"/>
              <w:ind w:right="228"/>
              <w:spacing w:after="0"/>
              <w:rPr>
                <w:sz w:val="20"/>
                <w:szCs w:val="20"/>
                <w:color w:val="auto"/>
              </w:rPr>
            </w:pPr>
            <w:r>
              <w:rPr>
                <w:rFonts w:ascii="Arial" w:cs="Arial" w:eastAsia="Arial" w:hAnsi="Arial"/>
                <w:sz w:val="14"/>
                <w:szCs w:val="14"/>
                <w:color w:val="auto"/>
              </w:rPr>
              <w:t>9,432</w:t>
            </w:r>
          </w:p>
        </w:tc>
        <w:tc>
          <w:tcPr>
            <w:tcW w:w="0" w:type="dxa"/>
            <w:vAlign w:val="bottom"/>
          </w:tcPr>
          <w:p>
            <w:pPr>
              <w:spacing w:after="0"/>
              <w:rPr>
                <w:sz w:val="1"/>
                <w:szCs w:val="1"/>
                <w:color w:val="auto"/>
              </w:rPr>
            </w:pPr>
          </w:p>
        </w:tc>
      </w:tr>
      <w:tr>
        <w:trPr>
          <w:trHeight w:val="43"/>
        </w:trPr>
        <w:tc>
          <w:tcPr>
            <w:tcW w:w="6800" w:type="dxa"/>
            <w:vAlign w:val="bottom"/>
            <w:tcBorders>
              <w:bottom w:val="single" w:sz="8" w:color="D9D9D9"/>
            </w:tcBorders>
          </w:tcPr>
          <w:p>
            <w:pPr>
              <w:spacing w:after="0"/>
              <w:rPr>
                <w:sz w:val="3"/>
                <w:szCs w:val="3"/>
                <w:color w:val="auto"/>
              </w:rPr>
            </w:pPr>
          </w:p>
        </w:tc>
        <w:tc>
          <w:tcPr>
            <w:tcW w:w="880" w:type="dxa"/>
            <w:vAlign w:val="bottom"/>
            <w:tcBorders>
              <w:bottom w:val="single" w:sz="8" w:color="D9D9D9"/>
            </w:tcBorders>
          </w:tcPr>
          <w:p>
            <w:pPr>
              <w:spacing w:after="0"/>
              <w:rPr>
                <w:sz w:val="3"/>
                <w:szCs w:val="3"/>
                <w:color w:val="auto"/>
              </w:rPr>
            </w:pPr>
          </w:p>
        </w:tc>
        <w:tc>
          <w:tcPr>
            <w:tcW w:w="260" w:type="dxa"/>
            <w:vAlign w:val="bottom"/>
            <w:tcBorders>
              <w:bottom w:val="single" w:sz="8" w:color="D9D9D9"/>
            </w:tcBorders>
          </w:tcPr>
          <w:p>
            <w:pPr>
              <w:spacing w:after="0"/>
              <w:rPr>
                <w:sz w:val="3"/>
                <w:szCs w:val="3"/>
                <w:color w:val="auto"/>
              </w:rPr>
            </w:pPr>
          </w:p>
        </w:tc>
        <w:tc>
          <w:tcPr>
            <w:tcW w:w="760" w:type="dxa"/>
            <w:vAlign w:val="bottom"/>
            <w:tcBorders>
              <w:bottom w:val="single" w:sz="8" w:color="D9D9D9"/>
            </w:tcBorders>
          </w:tcPr>
          <w:p>
            <w:pPr>
              <w:spacing w:after="0"/>
              <w:rPr>
                <w:sz w:val="3"/>
                <w:szCs w:val="3"/>
                <w:color w:val="auto"/>
              </w:rPr>
            </w:pPr>
          </w:p>
        </w:tc>
        <w:tc>
          <w:tcPr>
            <w:tcW w:w="460" w:type="dxa"/>
            <w:vAlign w:val="bottom"/>
            <w:tcBorders>
              <w:bottom w:val="single" w:sz="8" w:color="D9D9D9"/>
            </w:tcBorders>
          </w:tcPr>
          <w:p>
            <w:pPr>
              <w:spacing w:after="0"/>
              <w:rPr>
                <w:sz w:val="3"/>
                <w:szCs w:val="3"/>
                <w:color w:val="auto"/>
              </w:rPr>
            </w:pPr>
          </w:p>
        </w:tc>
        <w:tc>
          <w:tcPr>
            <w:tcW w:w="1040" w:type="dxa"/>
            <w:vAlign w:val="bottom"/>
            <w:tcBorders>
              <w:bottom w:val="single" w:sz="8" w:color="D9D9D9"/>
            </w:tcBorders>
          </w:tcPr>
          <w:p>
            <w:pPr>
              <w:spacing w:after="0"/>
              <w:rPr>
                <w:sz w:val="3"/>
                <w:szCs w:val="3"/>
                <w:color w:val="auto"/>
              </w:rPr>
            </w:pPr>
          </w:p>
        </w:tc>
        <w:tc>
          <w:tcPr>
            <w:tcW w:w="200" w:type="dxa"/>
            <w:vAlign w:val="bottom"/>
            <w:tcBorders>
              <w:bottom w:val="single" w:sz="8" w:color="D9D9D9"/>
            </w:tcBorders>
          </w:tcPr>
          <w:p>
            <w:pPr>
              <w:spacing w:after="0"/>
              <w:rPr>
                <w:sz w:val="3"/>
                <w:szCs w:val="3"/>
                <w:color w:val="auto"/>
              </w:rPr>
            </w:pPr>
          </w:p>
        </w:tc>
        <w:tc>
          <w:tcPr>
            <w:tcW w:w="680" w:type="dxa"/>
            <w:vAlign w:val="bottom"/>
            <w:tcBorders>
              <w:bottom w:val="single" w:sz="8" w:color="D9D9D9"/>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6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20" w:type="dxa"/>
            <w:vAlign w:val="bottom"/>
            <w:gridSpan w:val="2"/>
          </w:tcPr>
          <w:p>
            <w:pPr>
              <w:jc w:val="right"/>
              <w:ind w:right="68"/>
              <w:spacing w:after="0"/>
              <w:rPr>
                <w:sz w:val="20"/>
                <w:szCs w:val="20"/>
                <w:color w:val="auto"/>
              </w:rPr>
            </w:pPr>
            <w:r>
              <w:rPr>
                <w:rFonts w:ascii="Arial" w:cs="Arial" w:eastAsia="Arial" w:hAnsi="Arial"/>
                <w:sz w:val="14"/>
                <w:szCs w:val="14"/>
                <w:color w:val="auto"/>
              </w:rPr>
              <w:t>4,008</w:t>
            </w: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6800" w:type="dxa"/>
            <w:vAlign w:val="bottom"/>
            <w:tcBorders>
              <w:bottom w:val="single" w:sz="8" w:color="D9D9D9"/>
            </w:tcBorders>
          </w:tcPr>
          <w:p>
            <w:pPr>
              <w:ind w:left="140"/>
              <w:spacing w:after="0"/>
              <w:rPr>
                <w:sz w:val="20"/>
                <w:szCs w:val="20"/>
                <w:color w:val="auto"/>
              </w:rPr>
            </w:pPr>
            <w:r>
              <w:rPr>
                <w:rFonts w:ascii="Arial" w:cs="Arial" w:eastAsia="Arial" w:hAnsi="Arial"/>
                <w:sz w:val="14"/>
                <w:szCs w:val="14"/>
                <w:color w:val="auto"/>
              </w:rPr>
              <w:t>Plus: stock-based compensation</w:t>
            </w:r>
            <w:r>
              <w:rPr>
                <w:rFonts w:ascii="Arial" w:cs="Arial" w:eastAsia="Arial" w:hAnsi="Arial"/>
                <w:sz w:val="9"/>
                <w:szCs w:val="9"/>
                <w:color w:val="auto"/>
              </w:rPr>
              <w:t>(a)</w:t>
            </w:r>
          </w:p>
        </w:tc>
        <w:tc>
          <w:tcPr>
            <w:tcW w:w="880" w:type="dxa"/>
            <w:vAlign w:val="bottom"/>
            <w:tcBorders>
              <w:bottom w:val="single" w:sz="8" w:color="D9D9D9"/>
            </w:tcBorders>
          </w:tcPr>
          <w:p>
            <w:pPr>
              <w:spacing w:after="0"/>
              <w:rPr>
                <w:sz w:val="24"/>
                <w:szCs w:val="24"/>
                <w:color w:val="auto"/>
              </w:rPr>
            </w:pPr>
          </w:p>
        </w:tc>
        <w:tc>
          <w:tcPr>
            <w:tcW w:w="260" w:type="dxa"/>
            <w:vAlign w:val="bottom"/>
            <w:tcBorders>
              <w:bottom w:val="single" w:sz="8" w:color="D9D9D9"/>
            </w:tcBorders>
          </w:tcPr>
          <w:p>
            <w:pPr>
              <w:spacing w:after="0"/>
              <w:rPr>
                <w:sz w:val="24"/>
                <w:szCs w:val="24"/>
                <w:color w:val="auto"/>
              </w:rPr>
            </w:pPr>
          </w:p>
        </w:tc>
        <w:tc>
          <w:tcPr>
            <w:tcW w:w="760" w:type="dxa"/>
            <w:vAlign w:val="bottom"/>
            <w:tcBorders>
              <w:bottom w:val="single" w:sz="8" w:color="D9D9D9"/>
            </w:tcBorders>
          </w:tcPr>
          <w:p>
            <w:pPr>
              <w:spacing w:after="0"/>
              <w:rPr>
                <w:sz w:val="24"/>
                <w:szCs w:val="24"/>
                <w:color w:val="auto"/>
              </w:rPr>
            </w:pPr>
          </w:p>
        </w:tc>
        <w:tc>
          <w:tcPr>
            <w:tcW w:w="460" w:type="dxa"/>
            <w:vAlign w:val="bottom"/>
            <w:tcBorders>
              <w:bottom w:val="single" w:sz="8" w:color="D9D9D9"/>
            </w:tcBorders>
          </w:tcPr>
          <w:p>
            <w:pPr>
              <w:spacing w:after="0"/>
              <w:rPr>
                <w:sz w:val="24"/>
                <w:szCs w:val="24"/>
                <w:color w:val="auto"/>
              </w:rPr>
            </w:pPr>
          </w:p>
        </w:tc>
        <w:tc>
          <w:tcPr>
            <w:tcW w:w="1040" w:type="dxa"/>
            <w:vAlign w:val="bottom"/>
            <w:tcBorders>
              <w:bottom w:val="single" w:sz="8" w:color="D9D9D9"/>
            </w:tcBorders>
          </w:tcPr>
          <w:p>
            <w:pPr>
              <w:jc w:val="right"/>
              <w:ind w:right="328"/>
              <w:spacing w:after="0"/>
              <w:rPr>
                <w:sz w:val="20"/>
                <w:szCs w:val="20"/>
                <w:color w:val="auto"/>
              </w:rPr>
            </w:pPr>
            <w:r>
              <w:rPr>
                <w:rFonts w:ascii="Arial" w:cs="Arial" w:eastAsia="Arial" w:hAnsi="Arial"/>
                <w:sz w:val="14"/>
                <w:szCs w:val="14"/>
                <w:color w:val="auto"/>
              </w:rPr>
              <w:t>5,109</w:t>
            </w:r>
          </w:p>
        </w:tc>
        <w:tc>
          <w:tcPr>
            <w:tcW w:w="200" w:type="dxa"/>
            <w:vAlign w:val="bottom"/>
            <w:tcBorders>
              <w:bottom w:val="single" w:sz="8" w:color="D9D9D9"/>
            </w:tcBorders>
          </w:tcPr>
          <w:p>
            <w:pPr>
              <w:spacing w:after="0"/>
              <w:rPr>
                <w:sz w:val="24"/>
                <w:szCs w:val="24"/>
                <w:color w:val="auto"/>
              </w:rPr>
            </w:pPr>
          </w:p>
        </w:tc>
        <w:tc>
          <w:tcPr>
            <w:tcW w:w="680" w:type="dxa"/>
            <w:vAlign w:val="bottom"/>
            <w:tcBorders>
              <w:bottom w:val="single" w:sz="8" w:color="D9D9D9"/>
            </w:tcBorders>
          </w:tcPr>
          <w:p>
            <w:pPr>
              <w:jc w:val="right"/>
              <w:ind w:right="228"/>
              <w:spacing w:after="0"/>
              <w:rPr>
                <w:sz w:val="20"/>
                <w:szCs w:val="20"/>
                <w:color w:val="auto"/>
              </w:rPr>
            </w:pPr>
            <w:r>
              <w:rPr>
                <w:rFonts w:ascii="Arial" w:cs="Arial" w:eastAsia="Arial" w:hAnsi="Arial"/>
                <w:sz w:val="14"/>
                <w:szCs w:val="14"/>
                <w:color w:val="auto"/>
              </w:rPr>
              <w:t>4,737</w:t>
            </w:r>
          </w:p>
        </w:tc>
        <w:tc>
          <w:tcPr>
            <w:tcW w:w="0" w:type="dxa"/>
            <w:vAlign w:val="bottom"/>
          </w:tcPr>
          <w:p>
            <w:pPr>
              <w:spacing w:after="0"/>
              <w:rPr>
                <w:sz w:val="1"/>
                <w:szCs w:val="1"/>
                <w:color w:val="auto"/>
              </w:rPr>
            </w:pPr>
          </w:p>
        </w:tc>
      </w:tr>
      <w:tr>
        <w:trPr>
          <w:trHeight w:val="246"/>
        </w:trPr>
        <w:tc>
          <w:tcPr>
            <w:tcW w:w="6800" w:type="dxa"/>
            <w:vAlign w:val="bottom"/>
          </w:tcPr>
          <w:p>
            <w:pPr>
              <w:ind w:left="140"/>
              <w:spacing w:after="0"/>
              <w:rPr>
                <w:sz w:val="20"/>
                <w:szCs w:val="20"/>
                <w:color w:val="auto"/>
              </w:rPr>
            </w:pPr>
            <w:r>
              <w:rPr>
                <w:rFonts w:ascii="Arial" w:cs="Arial" w:eastAsia="Arial" w:hAnsi="Arial"/>
                <w:sz w:val="14"/>
                <w:szCs w:val="14"/>
                <w:color w:val="auto"/>
              </w:rPr>
              <w:t>Plus: investigation, proxy solicitation and restatement expenses, net of insurance recoveries</w:t>
            </w:r>
            <w:r>
              <w:rPr>
                <w:rFonts w:ascii="Arial" w:cs="Arial" w:eastAsia="Arial" w:hAnsi="Arial"/>
                <w:sz w:val="9"/>
                <w:szCs w:val="9"/>
                <w:color w:val="auto"/>
              </w:rPr>
              <w:t>(b)</w:t>
            </w: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1"/>
                <w:szCs w:val="21"/>
                <w:color w:val="auto"/>
              </w:rPr>
            </w:pPr>
          </w:p>
        </w:tc>
        <w:tc>
          <w:tcPr>
            <w:tcW w:w="1040" w:type="dxa"/>
            <w:vAlign w:val="bottom"/>
          </w:tcPr>
          <w:p>
            <w:pPr>
              <w:jc w:val="right"/>
              <w:ind w:right="328"/>
              <w:spacing w:after="0"/>
              <w:rPr>
                <w:sz w:val="20"/>
                <w:szCs w:val="20"/>
                <w:color w:val="auto"/>
              </w:rPr>
            </w:pPr>
            <w:r>
              <w:rPr>
                <w:rFonts w:ascii="Arial" w:cs="Arial" w:eastAsia="Arial" w:hAnsi="Arial"/>
                <w:sz w:val="14"/>
                <w:szCs w:val="14"/>
                <w:color w:val="auto"/>
              </w:rPr>
              <w:t>(1,522)</w:t>
            </w:r>
          </w:p>
        </w:tc>
        <w:tc>
          <w:tcPr>
            <w:tcW w:w="200" w:type="dxa"/>
            <w:vAlign w:val="bottom"/>
          </w:tcPr>
          <w:p>
            <w:pPr>
              <w:spacing w:after="0"/>
              <w:rPr>
                <w:sz w:val="21"/>
                <w:szCs w:val="21"/>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(362)</w:t>
            </w:r>
          </w:p>
        </w:tc>
        <w:tc>
          <w:tcPr>
            <w:tcW w:w="0" w:type="dxa"/>
            <w:vAlign w:val="bottom"/>
          </w:tcPr>
          <w:p>
            <w:pPr>
              <w:spacing w:after="0"/>
              <w:rPr>
                <w:sz w:val="1"/>
                <w:szCs w:val="1"/>
                <w:color w:val="auto"/>
              </w:rPr>
            </w:pPr>
          </w:p>
        </w:tc>
      </w:tr>
      <w:tr>
        <w:trPr>
          <w:trHeight w:val="48"/>
        </w:trPr>
        <w:tc>
          <w:tcPr>
            <w:tcW w:w="6800" w:type="dxa"/>
            <w:vAlign w:val="bottom"/>
            <w:tcBorders>
              <w:bottom w:val="single" w:sz="8" w:color="D9D9D9"/>
            </w:tcBorders>
          </w:tcPr>
          <w:p>
            <w:pPr>
              <w:spacing w:after="0"/>
              <w:rPr>
                <w:sz w:val="4"/>
                <w:szCs w:val="4"/>
                <w:color w:val="auto"/>
              </w:rPr>
            </w:pPr>
          </w:p>
        </w:tc>
        <w:tc>
          <w:tcPr>
            <w:tcW w:w="880" w:type="dxa"/>
            <w:vAlign w:val="bottom"/>
            <w:tcBorders>
              <w:bottom w:val="single" w:sz="8" w:color="D9D9D9"/>
            </w:tcBorders>
          </w:tcPr>
          <w:p>
            <w:pPr>
              <w:spacing w:after="0"/>
              <w:rPr>
                <w:sz w:val="4"/>
                <w:szCs w:val="4"/>
                <w:color w:val="auto"/>
              </w:rPr>
            </w:pPr>
          </w:p>
        </w:tc>
        <w:tc>
          <w:tcPr>
            <w:tcW w:w="260" w:type="dxa"/>
            <w:vAlign w:val="bottom"/>
            <w:tcBorders>
              <w:bottom w:val="single" w:sz="8" w:color="D9D9D9"/>
            </w:tcBorders>
          </w:tcPr>
          <w:p>
            <w:pPr>
              <w:spacing w:after="0"/>
              <w:rPr>
                <w:sz w:val="4"/>
                <w:szCs w:val="4"/>
                <w:color w:val="auto"/>
              </w:rPr>
            </w:pPr>
          </w:p>
        </w:tc>
        <w:tc>
          <w:tcPr>
            <w:tcW w:w="760" w:type="dxa"/>
            <w:vAlign w:val="bottom"/>
            <w:tcBorders>
              <w:bottom w:val="single" w:sz="8" w:color="D9D9D9"/>
            </w:tcBorders>
          </w:tcPr>
          <w:p>
            <w:pPr>
              <w:spacing w:after="0"/>
              <w:rPr>
                <w:sz w:val="4"/>
                <w:szCs w:val="4"/>
                <w:color w:val="auto"/>
              </w:rPr>
            </w:pPr>
          </w:p>
        </w:tc>
        <w:tc>
          <w:tcPr>
            <w:tcW w:w="460" w:type="dxa"/>
            <w:vAlign w:val="bottom"/>
            <w:tcBorders>
              <w:bottom w:val="single" w:sz="8" w:color="D9D9D9"/>
            </w:tcBorders>
          </w:tcPr>
          <w:p>
            <w:pPr>
              <w:spacing w:after="0"/>
              <w:rPr>
                <w:sz w:val="4"/>
                <w:szCs w:val="4"/>
                <w:color w:val="auto"/>
              </w:rPr>
            </w:pPr>
          </w:p>
        </w:tc>
        <w:tc>
          <w:tcPr>
            <w:tcW w:w="1040" w:type="dxa"/>
            <w:vAlign w:val="bottom"/>
            <w:tcBorders>
              <w:bottom w:val="single" w:sz="8" w:color="D9D9D9"/>
            </w:tcBorders>
          </w:tcPr>
          <w:p>
            <w:pPr>
              <w:spacing w:after="0"/>
              <w:rPr>
                <w:sz w:val="4"/>
                <w:szCs w:val="4"/>
                <w:color w:val="auto"/>
              </w:rPr>
            </w:pPr>
          </w:p>
        </w:tc>
        <w:tc>
          <w:tcPr>
            <w:tcW w:w="200" w:type="dxa"/>
            <w:vAlign w:val="bottom"/>
            <w:tcBorders>
              <w:bottom w:val="single" w:sz="8" w:color="D9D9D9"/>
            </w:tcBorders>
          </w:tcPr>
          <w:p>
            <w:pPr>
              <w:spacing w:after="0"/>
              <w:rPr>
                <w:sz w:val="4"/>
                <w:szCs w:val="4"/>
                <w:color w:val="auto"/>
              </w:rPr>
            </w:pPr>
          </w:p>
        </w:tc>
        <w:tc>
          <w:tcPr>
            <w:tcW w:w="680" w:type="dxa"/>
            <w:vAlign w:val="bottom"/>
            <w:tcBorders>
              <w:bottom w:val="single" w:sz="8" w:color="D9D9D9"/>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6800" w:type="dxa"/>
            <w:vAlign w:val="bottom"/>
          </w:tcPr>
          <w:p>
            <w:pPr>
              <w:ind w:left="140"/>
              <w:spacing w:after="0"/>
              <w:rPr>
                <w:sz w:val="20"/>
                <w:szCs w:val="20"/>
                <w:color w:val="auto"/>
              </w:rPr>
            </w:pPr>
            <w:r>
              <w:rPr>
                <w:rFonts w:ascii="Arial" w:cs="Arial" w:eastAsia="Arial" w:hAnsi="Arial"/>
                <w:sz w:val="14"/>
                <w:szCs w:val="14"/>
                <w:color w:val="auto"/>
              </w:rPr>
              <w:t xml:space="preserve">Plus: integration, acquisition, due diligence, and license application expenses </w:t>
            </w:r>
            <w:r>
              <w:rPr>
                <w:rFonts w:ascii="Arial" w:cs="Arial" w:eastAsia="Arial" w:hAnsi="Arial"/>
                <w:sz w:val="9"/>
                <w:szCs w:val="9"/>
                <w:color w:val="auto"/>
              </w:rPr>
              <w:t>(c)</w:t>
            </w:r>
          </w:p>
        </w:tc>
        <w:tc>
          <w:tcPr>
            <w:tcW w:w="880" w:type="dxa"/>
            <w:vAlign w:val="bottom"/>
          </w:tcPr>
          <w:p>
            <w:pPr>
              <w:spacing w:after="0"/>
              <w:rPr>
                <w:sz w:val="21"/>
                <w:szCs w:val="21"/>
                <w:color w:val="auto"/>
              </w:rPr>
            </w:pPr>
          </w:p>
        </w:tc>
        <w:tc>
          <w:tcPr>
            <w:tcW w:w="1020" w:type="dxa"/>
            <w:vAlign w:val="bottom"/>
            <w:gridSpan w:val="2"/>
          </w:tcPr>
          <w:p>
            <w:pPr>
              <w:jc w:val="right"/>
              <w:ind w:right="68"/>
              <w:spacing w:after="0"/>
              <w:rPr>
                <w:sz w:val="20"/>
                <w:szCs w:val="20"/>
                <w:color w:val="auto"/>
              </w:rPr>
            </w:pPr>
            <w:r>
              <w:rPr>
                <w:rFonts w:ascii="Arial" w:cs="Arial" w:eastAsia="Arial" w:hAnsi="Arial"/>
                <w:sz w:val="14"/>
                <w:szCs w:val="14"/>
                <w:color w:val="auto"/>
              </w:rPr>
              <w:t>1,018</w:t>
            </w:r>
          </w:p>
        </w:tc>
        <w:tc>
          <w:tcPr>
            <w:tcW w:w="460" w:type="dxa"/>
            <w:vAlign w:val="bottom"/>
          </w:tcPr>
          <w:p>
            <w:pPr>
              <w:spacing w:after="0"/>
              <w:rPr>
                <w:sz w:val="21"/>
                <w:szCs w:val="21"/>
                <w:color w:val="auto"/>
              </w:rPr>
            </w:pPr>
          </w:p>
        </w:tc>
        <w:tc>
          <w:tcPr>
            <w:tcW w:w="1040" w:type="dxa"/>
            <w:vAlign w:val="bottom"/>
          </w:tcPr>
          <w:p>
            <w:pPr>
              <w:jc w:val="right"/>
              <w:ind w:right="488"/>
              <w:spacing w:after="0"/>
              <w:rPr>
                <w:sz w:val="20"/>
                <w:szCs w:val="20"/>
                <w:color w:val="auto"/>
              </w:rPr>
            </w:pPr>
            <w:r>
              <w:rPr>
                <w:rFonts w:ascii="Arial" w:cs="Arial" w:eastAsia="Arial" w:hAnsi="Arial"/>
                <w:sz w:val="14"/>
                <w:szCs w:val="14"/>
                <w:color w:val="auto"/>
              </w:rPr>
              <w:t>1,197</w:t>
            </w:r>
          </w:p>
        </w:tc>
        <w:tc>
          <w:tcPr>
            <w:tcW w:w="200" w:type="dxa"/>
            <w:vAlign w:val="bottom"/>
          </w:tcPr>
          <w:p>
            <w:pPr>
              <w:spacing w:after="0"/>
              <w:rPr>
                <w:sz w:val="21"/>
                <w:szCs w:val="21"/>
                <w:color w:val="auto"/>
              </w:rPr>
            </w:pPr>
          </w:p>
        </w:tc>
        <w:tc>
          <w:tcPr>
            <w:tcW w:w="680" w:type="dxa"/>
            <w:vAlign w:val="bottom"/>
          </w:tcPr>
          <w:p>
            <w:pPr>
              <w:jc w:val="right"/>
              <w:ind w:right="228"/>
              <w:spacing w:after="0"/>
              <w:rPr>
                <w:sz w:val="20"/>
                <w:szCs w:val="20"/>
                <w:color w:val="auto"/>
              </w:rPr>
            </w:pPr>
            <w:r>
              <w:rPr>
                <w:rFonts w:ascii="Arial" w:cs="Arial" w:eastAsia="Arial" w:hAnsi="Arial"/>
                <w:sz w:val="14"/>
                <w:szCs w:val="14"/>
                <w:color w:val="auto"/>
              </w:rPr>
              <w:t>3,141</w:t>
            </w:r>
          </w:p>
        </w:tc>
        <w:tc>
          <w:tcPr>
            <w:tcW w:w="0" w:type="dxa"/>
            <w:vAlign w:val="bottom"/>
          </w:tcPr>
          <w:p>
            <w:pPr>
              <w:spacing w:after="0"/>
              <w:rPr>
                <w:sz w:val="1"/>
                <w:szCs w:val="1"/>
                <w:color w:val="auto"/>
              </w:rPr>
            </w:pPr>
          </w:p>
        </w:tc>
      </w:tr>
      <w:tr>
        <w:trPr>
          <w:trHeight w:val="49"/>
        </w:trPr>
        <w:tc>
          <w:tcPr>
            <w:tcW w:w="6800" w:type="dxa"/>
            <w:vAlign w:val="bottom"/>
            <w:tcBorders>
              <w:bottom w:val="single" w:sz="8" w:color="D9D9D9"/>
            </w:tcBorders>
          </w:tcPr>
          <w:p>
            <w:pPr>
              <w:spacing w:after="0"/>
              <w:rPr>
                <w:sz w:val="4"/>
                <w:szCs w:val="4"/>
                <w:color w:val="auto"/>
              </w:rPr>
            </w:pPr>
          </w:p>
        </w:tc>
        <w:tc>
          <w:tcPr>
            <w:tcW w:w="880" w:type="dxa"/>
            <w:vAlign w:val="bottom"/>
            <w:tcBorders>
              <w:bottom w:val="single" w:sz="8" w:color="D9D9D9"/>
            </w:tcBorders>
          </w:tcPr>
          <w:p>
            <w:pPr>
              <w:spacing w:after="0"/>
              <w:rPr>
                <w:sz w:val="4"/>
                <w:szCs w:val="4"/>
                <w:color w:val="auto"/>
              </w:rPr>
            </w:pPr>
          </w:p>
        </w:tc>
        <w:tc>
          <w:tcPr>
            <w:tcW w:w="260" w:type="dxa"/>
            <w:vAlign w:val="bottom"/>
            <w:tcBorders>
              <w:bottom w:val="single" w:sz="8" w:color="D9D9D9"/>
            </w:tcBorders>
          </w:tcPr>
          <w:p>
            <w:pPr>
              <w:spacing w:after="0"/>
              <w:rPr>
                <w:sz w:val="4"/>
                <w:szCs w:val="4"/>
                <w:color w:val="auto"/>
              </w:rPr>
            </w:pPr>
          </w:p>
        </w:tc>
        <w:tc>
          <w:tcPr>
            <w:tcW w:w="760" w:type="dxa"/>
            <w:vAlign w:val="bottom"/>
            <w:tcBorders>
              <w:bottom w:val="single" w:sz="8" w:color="D9D9D9"/>
            </w:tcBorders>
          </w:tcPr>
          <w:p>
            <w:pPr>
              <w:spacing w:after="0"/>
              <w:rPr>
                <w:sz w:val="4"/>
                <w:szCs w:val="4"/>
                <w:color w:val="auto"/>
              </w:rPr>
            </w:pPr>
          </w:p>
        </w:tc>
        <w:tc>
          <w:tcPr>
            <w:tcW w:w="460" w:type="dxa"/>
            <w:vAlign w:val="bottom"/>
            <w:tcBorders>
              <w:bottom w:val="single" w:sz="8" w:color="D9D9D9"/>
            </w:tcBorders>
          </w:tcPr>
          <w:p>
            <w:pPr>
              <w:spacing w:after="0"/>
              <w:rPr>
                <w:sz w:val="4"/>
                <w:szCs w:val="4"/>
                <w:color w:val="auto"/>
              </w:rPr>
            </w:pPr>
          </w:p>
        </w:tc>
        <w:tc>
          <w:tcPr>
            <w:tcW w:w="1040" w:type="dxa"/>
            <w:vAlign w:val="bottom"/>
            <w:tcBorders>
              <w:bottom w:val="single" w:sz="8" w:color="D9D9D9"/>
            </w:tcBorders>
          </w:tcPr>
          <w:p>
            <w:pPr>
              <w:spacing w:after="0"/>
              <w:rPr>
                <w:sz w:val="4"/>
                <w:szCs w:val="4"/>
                <w:color w:val="auto"/>
              </w:rPr>
            </w:pPr>
          </w:p>
        </w:tc>
        <w:tc>
          <w:tcPr>
            <w:tcW w:w="200" w:type="dxa"/>
            <w:vAlign w:val="bottom"/>
            <w:tcBorders>
              <w:bottom w:val="single" w:sz="8" w:color="D9D9D9"/>
            </w:tcBorders>
          </w:tcPr>
          <w:p>
            <w:pPr>
              <w:spacing w:after="0"/>
              <w:rPr>
                <w:sz w:val="4"/>
                <w:szCs w:val="4"/>
                <w:color w:val="auto"/>
              </w:rPr>
            </w:pPr>
          </w:p>
        </w:tc>
        <w:tc>
          <w:tcPr>
            <w:tcW w:w="680" w:type="dxa"/>
            <w:vAlign w:val="bottom"/>
            <w:tcBorders>
              <w:bottom w:val="single" w:sz="8" w:color="D9D9D9"/>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6800" w:type="dxa"/>
            <w:vAlign w:val="bottom"/>
            <w:vMerge w:val="restart"/>
          </w:tcPr>
          <w:p>
            <w:pPr>
              <w:ind w:left="140"/>
              <w:spacing w:after="0"/>
              <w:rPr>
                <w:sz w:val="20"/>
                <w:szCs w:val="20"/>
                <w:color w:val="auto"/>
              </w:rPr>
            </w:pPr>
            <w:r>
              <w:rPr>
                <w:rFonts w:ascii="Arial" w:cs="Arial" w:eastAsia="Arial" w:hAnsi="Arial"/>
                <w:sz w:val="14"/>
                <w:szCs w:val="14"/>
                <w:color w:val="auto"/>
              </w:rPr>
              <w:t>Plus: auditor transition costs</w:t>
            </w:r>
          </w:p>
        </w:tc>
        <w:tc>
          <w:tcPr>
            <w:tcW w:w="880" w:type="dxa"/>
            <w:vAlign w:val="bottom"/>
          </w:tcPr>
          <w:p>
            <w:pPr>
              <w:spacing w:after="0"/>
              <w:rPr>
                <w:sz w:val="16"/>
                <w:szCs w:val="16"/>
                <w:color w:val="auto"/>
              </w:rPr>
            </w:pPr>
          </w:p>
        </w:tc>
        <w:tc>
          <w:tcPr>
            <w:tcW w:w="1020" w:type="dxa"/>
            <w:vAlign w:val="bottom"/>
            <w:gridSpan w:val="2"/>
          </w:tcPr>
          <w:p>
            <w:pPr>
              <w:jc w:val="right"/>
              <w:ind w:right="68"/>
              <w:spacing w:after="0"/>
              <w:rPr>
                <w:sz w:val="20"/>
                <w:szCs w:val="20"/>
                <w:color w:val="auto"/>
              </w:rPr>
            </w:pPr>
            <w:r>
              <w:rPr>
                <w:rFonts w:ascii="Arial" w:cs="Arial" w:eastAsia="Arial" w:hAnsi="Arial"/>
                <w:sz w:val="14"/>
                <w:szCs w:val="14"/>
                <w:color w:val="auto"/>
              </w:rPr>
              <w:t>525</w:t>
            </w:r>
          </w:p>
        </w:tc>
        <w:tc>
          <w:tcPr>
            <w:tcW w:w="460" w:type="dxa"/>
            <w:vAlign w:val="bottom"/>
          </w:tcPr>
          <w:p>
            <w:pPr>
              <w:spacing w:after="0"/>
              <w:rPr>
                <w:sz w:val="16"/>
                <w:szCs w:val="16"/>
                <w:color w:val="auto"/>
              </w:rPr>
            </w:pPr>
          </w:p>
        </w:tc>
        <w:tc>
          <w:tcPr>
            <w:tcW w:w="1040" w:type="dxa"/>
            <w:vAlign w:val="bottom"/>
            <w:vMerge w:val="restart"/>
          </w:tcPr>
          <w:p>
            <w:pPr>
              <w:jc w:val="right"/>
              <w:ind w:right="48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680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6800" w:type="dxa"/>
            <w:vAlign w:val="bottom"/>
            <w:tcBorders>
              <w:bottom w:val="single" w:sz="8" w:color="D9D9D9"/>
            </w:tcBorders>
          </w:tcPr>
          <w:p>
            <w:pPr>
              <w:spacing w:after="0"/>
              <w:rPr>
                <w:sz w:val="4"/>
                <w:szCs w:val="4"/>
                <w:color w:val="auto"/>
              </w:rPr>
            </w:pPr>
          </w:p>
        </w:tc>
        <w:tc>
          <w:tcPr>
            <w:tcW w:w="880" w:type="dxa"/>
            <w:vAlign w:val="bottom"/>
            <w:tcBorders>
              <w:bottom w:val="single" w:sz="8" w:color="D9D9D9"/>
            </w:tcBorders>
          </w:tcPr>
          <w:p>
            <w:pPr>
              <w:spacing w:after="0"/>
              <w:rPr>
                <w:sz w:val="4"/>
                <w:szCs w:val="4"/>
                <w:color w:val="auto"/>
              </w:rPr>
            </w:pPr>
          </w:p>
        </w:tc>
        <w:tc>
          <w:tcPr>
            <w:tcW w:w="260" w:type="dxa"/>
            <w:vAlign w:val="bottom"/>
            <w:tcBorders>
              <w:bottom w:val="single" w:sz="8" w:color="D9D9D9"/>
            </w:tcBorders>
          </w:tcPr>
          <w:p>
            <w:pPr>
              <w:spacing w:after="0"/>
              <w:rPr>
                <w:sz w:val="4"/>
                <w:szCs w:val="4"/>
                <w:color w:val="auto"/>
              </w:rPr>
            </w:pPr>
          </w:p>
        </w:tc>
        <w:tc>
          <w:tcPr>
            <w:tcW w:w="760" w:type="dxa"/>
            <w:vAlign w:val="bottom"/>
            <w:tcBorders>
              <w:bottom w:val="single" w:sz="8" w:color="D9D9D9"/>
            </w:tcBorders>
          </w:tcPr>
          <w:p>
            <w:pPr>
              <w:spacing w:after="0"/>
              <w:rPr>
                <w:sz w:val="4"/>
                <w:szCs w:val="4"/>
                <w:color w:val="auto"/>
              </w:rPr>
            </w:pPr>
          </w:p>
        </w:tc>
        <w:tc>
          <w:tcPr>
            <w:tcW w:w="460" w:type="dxa"/>
            <w:vAlign w:val="bottom"/>
            <w:tcBorders>
              <w:bottom w:val="single" w:sz="8" w:color="D9D9D9"/>
            </w:tcBorders>
          </w:tcPr>
          <w:p>
            <w:pPr>
              <w:spacing w:after="0"/>
              <w:rPr>
                <w:sz w:val="4"/>
                <w:szCs w:val="4"/>
                <w:color w:val="auto"/>
              </w:rPr>
            </w:pPr>
          </w:p>
        </w:tc>
        <w:tc>
          <w:tcPr>
            <w:tcW w:w="1040" w:type="dxa"/>
            <w:vAlign w:val="bottom"/>
            <w:tcBorders>
              <w:bottom w:val="single" w:sz="8" w:color="D9D9D9"/>
            </w:tcBorders>
          </w:tcPr>
          <w:p>
            <w:pPr>
              <w:spacing w:after="0"/>
              <w:rPr>
                <w:sz w:val="4"/>
                <w:szCs w:val="4"/>
                <w:color w:val="auto"/>
              </w:rPr>
            </w:pPr>
          </w:p>
        </w:tc>
        <w:tc>
          <w:tcPr>
            <w:tcW w:w="200" w:type="dxa"/>
            <w:vAlign w:val="bottom"/>
            <w:tcBorders>
              <w:bottom w:val="single" w:sz="8" w:color="D9D9D9"/>
            </w:tcBorders>
          </w:tcPr>
          <w:p>
            <w:pPr>
              <w:spacing w:after="0"/>
              <w:rPr>
                <w:sz w:val="4"/>
                <w:szCs w:val="4"/>
                <w:color w:val="auto"/>
              </w:rPr>
            </w:pPr>
          </w:p>
        </w:tc>
        <w:tc>
          <w:tcPr>
            <w:tcW w:w="680" w:type="dxa"/>
            <w:vAlign w:val="bottom"/>
            <w:tcBorders>
              <w:bottom w:val="single" w:sz="8" w:color="D9D9D9"/>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6800" w:type="dxa"/>
            <w:vAlign w:val="bottom"/>
          </w:tcPr>
          <w:p>
            <w:pPr>
              <w:ind w:left="140"/>
              <w:spacing w:after="0"/>
              <w:rPr>
                <w:sz w:val="20"/>
                <w:szCs w:val="20"/>
                <w:color w:val="auto"/>
              </w:rPr>
            </w:pPr>
            <w:r>
              <w:rPr>
                <w:rFonts w:ascii="Arial" w:cs="Arial" w:eastAsia="Arial" w:hAnsi="Arial"/>
                <w:sz w:val="14"/>
                <w:szCs w:val="14"/>
                <w:color w:val="auto"/>
              </w:rPr>
              <w:t>Plus: severance expenses</w:t>
            </w:r>
            <w:r>
              <w:rPr>
                <w:rFonts w:ascii="Arial" w:cs="Arial" w:eastAsia="Arial" w:hAnsi="Arial"/>
                <w:sz w:val="9"/>
                <w:szCs w:val="9"/>
                <w:color w:val="auto"/>
              </w:rPr>
              <w:t>(d)</w:t>
            </w: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1"/>
                <w:szCs w:val="21"/>
                <w:color w:val="auto"/>
              </w:rPr>
            </w:pPr>
          </w:p>
        </w:tc>
        <w:tc>
          <w:tcPr>
            <w:tcW w:w="1040" w:type="dxa"/>
            <w:vAlign w:val="bottom"/>
          </w:tcPr>
          <w:p>
            <w:pPr>
              <w:jc w:val="right"/>
              <w:ind w:right="488"/>
              <w:spacing w:after="0"/>
              <w:rPr>
                <w:sz w:val="20"/>
                <w:szCs w:val="20"/>
                <w:color w:val="auto"/>
              </w:rPr>
            </w:pPr>
            <w:r>
              <w:rPr>
                <w:rFonts w:ascii="Arial" w:cs="Arial" w:eastAsia="Arial" w:hAnsi="Arial"/>
                <w:sz w:val="14"/>
                <w:szCs w:val="14"/>
                <w:color w:val="auto"/>
              </w:rPr>
              <w:t>53</w:t>
            </w:r>
          </w:p>
        </w:tc>
        <w:tc>
          <w:tcPr>
            <w:tcW w:w="200" w:type="dxa"/>
            <w:vAlign w:val="bottom"/>
          </w:tcPr>
          <w:p>
            <w:pPr>
              <w:spacing w:after="0"/>
              <w:rPr>
                <w:sz w:val="21"/>
                <w:szCs w:val="21"/>
                <w:color w:val="auto"/>
              </w:rPr>
            </w:pPr>
          </w:p>
        </w:tc>
        <w:tc>
          <w:tcPr>
            <w:tcW w:w="680" w:type="dxa"/>
            <w:vAlign w:val="bottom"/>
          </w:tcPr>
          <w:p>
            <w:pPr>
              <w:jc w:val="right"/>
              <w:ind w:right="228"/>
              <w:spacing w:after="0"/>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49"/>
        </w:trPr>
        <w:tc>
          <w:tcPr>
            <w:tcW w:w="6800" w:type="dxa"/>
            <w:vAlign w:val="bottom"/>
            <w:tcBorders>
              <w:bottom w:val="single" w:sz="8" w:color="D9D9D9"/>
            </w:tcBorders>
          </w:tcPr>
          <w:p>
            <w:pPr>
              <w:spacing w:after="0"/>
              <w:rPr>
                <w:sz w:val="4"/>
                <w:szCs w:val="4"/>
                <w:color w:val="auto"/>
              </w:rPr>
            </w:pPr>
          </w:p>
        </w:tc>
        <w:tc>
          <w:tcPr>
            <w:tcW w:w="880" w:type="dxa"/>
            <w:vAlign w:val="bottom"/>
            <w:tcBorders>
              <w:bottom w:val="single" w:sz="8" w:color="D9D9D9"/>
            </w:tcBorders>
          </w:tcPr>
          <w:p>
            <w:pPr>
              <w:spacing w:after="0"/>
              <w:rPr>
                <w:sz w:val="4"/>
                <w:szCs w:val="4"/>
                <w:color w:val="auto"/>
              </w:rPr>
            </w:pPr>
          </w:p>
        </w:tc>
        <w:tc>
          <w:tcPr>
            <w:tcW w:w="260" w:type="dxa"/>
            <w:vAlign w:val="bottom"/>
            <w:tcBorders>
              <w:bottom w:val="single" w:sz="8" w:color="D9D9D9"/>
            </w:tcBorders>
          </w:tcPr>
          <w:p>
            <w:pPr>
              <w:spacing w:after="0"/>
              <w:rPr>
                <w:sz w:val="4"/>
                <w:szCs w:val="4"/>
                <w:color w:val="auto"/>
              </w:rPr>
            </w:pPr>
          </w:p>
        </w:tc>
        <w:tc>
          <w:tcPr>
            <w:tcW w:w="760" w:type="dxa"/>
            <w:vAlign w:val="bottom"/>
            <w:tcBorders>
              <w:bottom w:val="single" w:sz="8" w:color="D9D9D9"/>
            </w:tcBorders>
          </w:tcPr>
          <w:p>
            <w:pPr>
              <w:spacing w:after="0"/>
              <w:rPr>
                <w:sz w:val="4"/>
                <w:szCs w:val="4"/>
                <w:color w:val="auto"/>
              </w:rPr>
            </w:pPr>
          </w:p>
        </w:tc>
        <w:tc>
          <w:tcPr>
            <w:tcW w:w="460" w:type="dxa"/>
            <w:vAlign w:val="bottom"/>
            <w:tcBorders>
              <w:bottom w:val="single" w:sz="8" w:color="D9D9D9"/>
            </w:tcBorders>
          </w:tcPr>
          <w:p>
            <w:pPr>
              <w:spacing w:after="0"/>
              <w:rPr>
                <w:sz w:val="4"/>
                <w:szCs w:val="4"/>
                <w:color w:val="auto"/>
              </w:rPr>
            </w:pPr>
          </w:p>
        </w:tc>
        <w:tc>
          <w:tcPr>
            <w:tcW w:w="1040" w:type="dxa"/>
            <w:vAlign w:val="bottom"/>
            <w:tcBorders>
              <w:bottom w:val="single" w:sz="8" w:color="D9D9D9"/>
            </w:tcBorders>
          </w:tcPr>
          <w:p>
            <w:pPr>
              <w:spacing w:after="0"/>
              <w:rPr>
                <w:sz w:val="4"/>
                <w:szCs w:val="4"/>
                <w:color w:val="auto"/>
              </w:rPr>
            </w:pPr>
          </w:p>
        </w:tc>
        <w:tc>
          <w:tcPr>
            <w:tcW w:w="200" w:type="dxa"/>
            <w:vAlign w:val="bottom"/>
            <w:tcBorders>
              <w:bottom w:val="single" w:sz="8" w:color="D9D9D9"/>
            </w:tcBorders>
          </w:tcPr>
          <w:p>
            <w:pPr>
              <w:spacing w:after="0"/>
              <w:rPr>
                <w:sz w:val="4"/>
                <w:szCs w:val="4"/>
                <w:color w:val="auto"/>
              </w:rPr>
            </w:pPr>
          </w:p>
        </w:tc>
        <w:tc>
          <w:tcPr>
            <w:tcW w:w="680" w:type="dxa"/>
            <w:vAlign w:val="bottom"/>
            <w:tcBorders>
              <w:bottom w:val="single" w:sz="8" w:color="D9D9D9"/>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6800" w:type="dxa"/>
            <w:vAlign w:val="bottom"/>
          </w:tcPr>
          <w:p>
            <w:pPr>
              <w:ind w:left="140"/>
              <w:spacing w:after="0"/>
              <w:rPr>
                <w:sz w:val="20"/>
                <w:szCs w:val="20"/>
                <w:color w:val="auto"/>
              </w:rPr>
            </w:pPr>
            <w:r>
              <w:rPr>
                <w:rFonts w:ascii="Arial" w:cs="Arial" w:eastAsia="Arial" w:hAnsi="Arial"/>
                <w:sz w:val="14"/>
                <w:szCs w:val="14"/>
                <w:color w:val="auto"/>
              </w:rPr>
              <w:t>Plus: remediation expenses</w:t>
            </w:r>
            <w:r>
              <w:rPr>
                <w:rFonts w:ascii="Arial" w:cs="Arial" w:eastAsia="Arial" w:hAnsi="Arial"/>
                <w:sz w:val="9"/>
                <w:szCs w:val="9"/>
                <w:color w:val="auto"/>
              </w:rPr>
              <w:t>(e)</w:t>
            </w: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1"/>
                <w:szCs w:val="21"/>
                <w:color w:val="auto"/>
              </w:rPr>
            </w:pPr>
          </w:p>
        </w:tc>
        <w:tc>
          <w:tcPr>
            <w:tcW w:w="1040" w:type="dxa"/>
            <w:vAlign w:val="bottom"/>
          </w:tcPr>
          <w:p>
            <w:pPr>
              <w:jc w:val="right"/>
              <w:ind w:right="488"/>
              <w:spacing w:after="0"/>
              <w:rPr>
                <w:sz w:val="20"/>
                <w:szCs w:val="20"/>
                <w:color w:val="auto"/>
              </w:rPr>
            </w:pPr>
            <w:r>
              <w:rPr>
                <w:rFonts w:ascii="Arial" w:cs="Arial" w:eastAsia="Arial" w:hAnsi="Arial"/>
                <w:sz w:val="14"/>
                <w:szCs w:val="14"/>
                <w:color w:val="auto"/>
              </w:rPr>
              <w:t>2,976</w:t>
            </w:r>
          </w:p>
        </w:tc>
        <w:tc>
          <w:tcPr>
            <w:tcW w:w="200" w:type="dxa"/>
            <w:vAlign w:val="bottom"/>
          </w:tcPr>
          <w:p>
            <w:pPr>
              <w:spacing w:after="0"/>
              <w:rPr>
                <w:sz w:val="21"/>
                <w:szCs w:val="21"/>
                <w:color w:val="auto"/>
              </w:rPr>
            </w:pPr>
          </w:p>
        </w:tc>
        <w:tc>
          <w:tcPr>
            <w:tcW w:w="680" w:type="dxa"/>
            <w:vAlign w:val="bottom"/>
          </w:tcPr>
          <w:p>
            <w:pPr>
              <w:jc w:val="right"/>
              <w:ind w:right="228"/>
              <w:spacing w:after="0"/>
              <w:rPr>
                <w:sz w:val="20"/>
                <w:szCs w:val="20"/>
                <w:color w:val="auto"/>
              </w:rPr>
            </w:pPr>
            <w:r>
              <w:rPr>
                <w:rFonts w:ascii="Arial" w:cs="Arial" w:eastAsia="Arial" w:hAnsi="Arial"/>
                <w:sz w:val="14"/>
                <w:szCs w:val="14"/>
                <w:color w:val="auto"/>
              </w:rPr>
              <w:t>573</w:t>
            </w:r>
          </w:p>
        </w:tc>
        <w:tc>
          <w:tcPr>
            <w:tcW w:w="0" w:type="dxa"/>
            <w:vAlign w:val="bottom"/>
          </w:tcPr>
          <w:p>
            <w:pPr>
              <w:spacing w:after="0"/>
              <w:rPr>
                <w:sz w:val="1"/>
                <w:szCs w:val="1"/>
                <w:color w:val="auto"/>
              </w:rPr>
            </w:pPr>
          </w:p>
        </w:tc>
      </w:tr>
      <w:tr>
        <w:trPr>
          <w:trHeight w:val="49"/>
        </w:trPr>
        <w:tc>
          <w:tcPr>
            <w:tcW w:w="6800" w:type="dxa"/>
            <w:vAlign w:val="bottom"/>
            <w:tcBorders>
              <w:bottom w:val="single" w:sz="8" w:color="D9D9D9"/>
            </w:tcBorders>
          </w:tcPr>
          <w:p>
            <w:pPr>
              <w:spacing w:after="0"/>
              <w:rPr>
                <w:sz w:val="4"/>
                <w:szCs w:val="4"/>
                <w:color w:val="auto"/>
              </w:rPr>
            </w:pPr>
          </w:p>
        </w:tc>
        <w:tc>
          <w:tcPr>
            <w:tcW w:w="880" w:type="dxa"/>
            <w:vAlign w:val="bottom"/>
            <w:tcBorders>
              <w:bottom w:val="single" w:sz="8" w:color="D9D9D9"/>
            </w:tcBorders>
          </w:tcPr>
          <w:p>
            <w:pPr>
              <w:spacing w:after="0"/>
              <w:rPr>
                <w:sz w:val="4"/>
                <w:szCs w:val="4"/>
                <w:color w:val="auto"/>
              </w:rPr>
            </w:pPr>
          </w:p>
        </w:tc>
        <w:tc>
          <w:tcPr>
            <w:tcW w:w="260" w:type="dxa"/>
            <w:vAlign w:val="bottom"/>
            <w:tcBorders>
              <w:bottom w:val="single" w:sz="8" w:color="D9D9D9"/>
            </w:tcBorders>
          </w:tcPr>
          <w:p>
            <w:pPr>
              <w:spacing w:after="0"/>
              <w:rPr>
                <w:sz w:val="4"/>
                <w:szCs w:val="4"/>
                <w:color w:val="auto"/>
              </w:rPr>
            </w:pPr>
          </w:p>
        </w:tc>
        <w:tc>
          <w:tcPr>
            <w:tcW w:w="760" w:type="dxa"/>
            <w:vAlign w:val="bottom"/>
            <w:tcBorders>
              <w:bottom w:val="single" w:sz="8" w:color="D9D9D9"/>
            </w:tcBorders>
          </w:tcPr>
          <w:p>
            <w:pPr>
              <w:spacing w:after="0"/>
              <w:rPr>
                <w:sz w:val="4"/>
                <w:szCs w:val="4"/>
                <w:color w:val="auto"/>
              </w:rPr>
            </w:pPr>
          </w:p>
        </w:tc>
        <w:tc>
          <w:tcPr>
            <w:tcW w:w="460" w:type="dxa"/>
            <w:vAlign w:val="bottom"/>
            <w:tcBorders>
              <w:bottom w:val="single" w:sz="8" w:color="D9D9D9"/>
            </w:tcBorders>
          </w:tcPr>
          <w:p>
            <w:pPr>
              <w:spacing w:after="0"/>
              <w:rPr>
                <w:sz w:val="4"/>
                <w:szCs w:val="4"/>
                <w:color w:val="auto"/>
              </w:rPr>
            </w:pPr>
          </w:p>
        </w:tc>
        <w:tc>
          <w:tcPr>
            <w:tcW w:w="1040" w:type="dxa"/>
            <w:vAlign w:val="bottom"/>
            <w:tcBorders>
              <w:bottom w:val="single" w:sz="8" w:color="D9D9D9"/>
            </w:tcBorders>
          </w:tcPr>
          <w:p>
            <w:pPr>
              <w:spacing w:after="0"/>
              <w:rPr>
                <w:sz w:val="4"/>
                <w:szCs w:val="4"/>
                <w:color w:val="auto"/>
              </w:rPr>
            </w:pPr>
          </w:p>
        </w:tc>
        <w:tc>
          <w:tcPr>
            <w:tcW w:w="200" w:type="dxa"/>
            <w:vAlign w:val="bottom"/>
            <w:tcBorders>
              <w:bottom w:val="single" w:sz="8" w:color="D9D9D9"/>
            </w:tcBorders>
          </w:tcPr>
          <w:p>
            <w:pPr>
              <w:spacing w:after="0"/>
              <w:rPr>
                <w:sz w:val="4"/>
                <w:szCs w:val="4"/>
                <w:color w:val="auto"/>
              </w:rPr>
            </w:pPr>
          </w:p>
        </w:tc>
        <w:tc>
          <w:tcPr>
            <w:tcW w:w="680" w:type="dxa"/>
            <w:vAlign w:val="bottom"/>
            <w:tcBorders>
              <w:bottom w:val="single" w:sz="8" w:color="D9D9D9"/>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6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20" w:type="dxa"/>
            <w:vAlign w:val="bottom"/>
            <w:gridSpan w:val="2"/>
          </w:tcPr>
          <w:p>
            <w:pPr>
              <w:jc w:val="right"/>
              <w:ind w:right="68"/>
              <w:spacing w:after="0"/>
              <w:rPr>
                <w:sz w:val="20"/>
                <w:szCs w:val="20"/>
                <w:color w:val="auto"/>
              </w:rPr>
            </w:pPr>
            <w:r>
              <w:rPr>
                <w:rFonts w:ascii="Arial" w:cs="Arial" w:eastAsia="Arial" w:hAnsi="Arial"/>
                <w:sz w:val="14"/>
                <w:szCs w:val="14"/>
                <w:color w:val="auto"/>
              </w:rPr>
              <w:t>5,551</w:t>
            </w: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6800" w:type="dxa"/>
            <w:vAlign w:val="bottom"/>
          </w:tcPr>
          <w:p>
            <w:pPr>
              <w:ind w:left="140"/>
              <w:spacing w:after="0"/>
              <w:rPr>
                <w:sz w:val="20"/>
                <w:szCs w:val="20"/>
                <w:color w:val="auto"/>
              </w:rPr>
            </w:pPr>
            <w:r>
              <w:rPr>
                <w:rFonts w:ascii="Arial" w:cs="Arial" w:eastAsia="Arial" w:hAnsi="Arial"/>
                <w:sz w:val="14"/>
                <w:szCs w:val="14"/>
                <w:color w:val="auto"/>
              </w:rPr>
              <w:t>Adjustments to EBITDA</w:t>
            </w:r>
          </w:p>
        </w:tc>
        <w:tc>
          <w:tcPr>
            <w:tcW w:w="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40" w:type="dxa"/>
            <w:vAlign w:val="bottom"/>
          </w:tcPr>
          <w:p>
            <w:pPr>
              <w:jc w:val="right"/>
              <w:ind w:right="488"/>
              <w:spacing w:after="0"/>
              <w:rPr>
                <w:sz w:val="20"/>
                <w:szCs w:val="20"/>
                <w:color w:val="auto"/>
              </w:rPr>
            </w:pPr>
            <w:r>
              <w:rPr>
                <w:rFonts w:ascii="Arial" w:cs="Arial" w:eastAsia="Arial" w:hAnsi="Arial"/>
                <w:sz w:val="14"/>
                <w:szCs w:val="14"/>
                <w:color w:val="auto"/>
              </w:rPr>
              <w:t>7,813</w:t>
            </w:r>
          </w:p>
        </w:tc>
        <w:tc>
          <w:tcPr>
            <w:tcW w:w="200" w:type="dxa"/>
            <w:vAlign w:val="bottom"/>
          </w:tcPr>
          <w:p>
            <w:pPr>
              <w:spacing w:after="0"/>
              <w:rPr>
                <w:sz w:val="22"/>
                <w:szCs w:val="22"/>
                <w:color w:val="auto"/>
              </w:rPr>
            </w:pPr>
          </w:p>
        </w:tc>
        <w:tc>
          <w:tcPr>
            <w:tcW w:w="680" w:type="dxa"/>
            <w:vAlign w:val="bottom"/>
          </w:tcPr>
          <w:p>
            <w:pPr>
              <w:jc w:val="right"/>
              <w:ind w:right="228"/>
              <w:spacing w:after="0"/>
              <w:rPr>
                <w:sz w:val="20"/>
                <w:szCs w:val="20"/>
                <w:color w:val="auto"/>
              </w:rPr>
            </w:pPr>
            <w:r>
              <w:rPr>
                <w:rFonts w:ascii="Arial" w:cs="Arial" w:eastAsia="Arial" w:hAnsi="Arial"/>
                <w:sz w:val="14"/>
                <w:szCs w:val="14"/>
                <w:color w:val="auto"/>
              </w:rPr>
              <w:t>8,362</w:t>
            </w:r>
          </w:p>
        </w:tc>
        <w:tc>
          <w:tcPr>
            <w:tcW w:w="0" w:type="dxa"/>
            <w:vAlign w:val="bottom"/>
          </w:tcPr>
          <w:p>
            <w:pPr>
              <w:spacing w:after="0"/>
              <w:rPr>
                <w:sz w:val="1"/>
                <w:szCs w:val="1"/>
                <w:color w:val="auto"/>
              </w:rPr>
            </w:pPr>
          </w:p>
        </w:tc>
      </w:tr>
      <w:tr>
        <w:trPr>
          <w:trHeight w:val="49"/>
        </w:trPr>
        <w:tc>
          <w:tcPr>
            <w:tcW w:w="6800" w:type="dxa"/>
            <w:vAlign w:val="bottom"/>
            <w:tcBorders>
              <w:bottom w:val="single" w:sz="8" w:color="D9D9D9"/>
            </w:tcBorders>
          </w:tcPr>
          <w:p>
            <w:pPr>
              <w:spacing w:after="0"/>
              <w:rPr>
                <w:sz w:val="4"/>
                <w:szCs w:val="4"/>
                <w:color w:val="auto"/>
              </w:rPr>
            </w:pPr>
          </w:p>
        </w:tc>
        <w:tc>
          <w:tcPr>
            <w:tcW w:w="880" w:type="dxa"/>
            <w:vAlign w:val="bottom"/>
            <w:tcBorders>
              <w:bottom w:val="single" w:sz="8" w:color="D9D9D9"/>
            </w:tcBorders>
          </w:tcPr>
          <w:p>
            <w:pPr>
              <w:spacing w:after="0"/>
              <w:rPr>
                <w:sz w:val="4"/>
                <w:szCs w:val="4"/>
                <w:color w:val="auto"/>
              </w:rPr>
            </w:pPr>
          </w:p>
        </w:tc>
        <w:tc>
          <w:tcPr>
            <w:tcW w:w="260" w:type="dxa"/>
            <w:vAlign w:val="bottom"/>
            <w:tcBorders>
              <w:bottom w:val="single" w:sz="8" w:color="D9D9D9"/>
            </w:tcBorders>
          </w:tcPr>
          <w:p>
            <w:pPr>
              <w:spacing w:after="0"/>
              <w:rPr>
                <w:sz w:val="4"/>
                <w:szCs w:val="4"/>
                <w:color w:val="auto"/>
              </w:rPr>
            </w:pPr>
          </w:p>
        </w:tc>
        <w:tc>
          <w:tcPr>
            <w:tcW w:w="760" w:type="dxa"/>
            <w:vAlign w:val="bottom"/>
            <w:tcBorders>
              <w:bottom w:val="single" w:sz="8" w:color="D9D9D9"/>
            </w:tcBorders>
          </w:tcPr>
          <w:p>
            <w:pPr>
              <w:spacing w:after="0"/>
              <w:rPr>
                <w:sz w:val="4"/>
                <w:szCs w:val="4"/>
                <w:color w:val="auto"/>
              </w:rPr>
            </w:pPr>
          </w:p>
        </w:tc>
        <w:tc>
          <w:tcPr>
            <w:tcW w:w="460" w:type="dxa"/>
            <w:vAlign w:val="bottom"/>
            <w:tcBorders>
              <w:bottom w:val="single" w:sz="8" w:color="D9D9D9"/>
            </w:tcBorders>
          </w:tcPr>
          <w:p>
            <w:pPr>
              <w:spacing w:after="0"/>
              <w:rPr>
                <w:sz w:val="4"/>
                <w:szCs w:val="4"/>
                <w:color w:val="auto"/>
              </w:rPr>
            </w:pPr>
          </w:p>
        </w:tc>
        <w:tc>
          <w:tcPr>
            <w:tcW w:w="1040" w:type="dxa"/>
            <w:vAlign w:val="bottom"/>
            <w:tcBorders>
              <w:bottom w:val="single" w:sz="8" w:color="D9D9D9"/>
            </w:tcBorders>
          </w:tcPr>
          <w:p>
            <w:pPr>
              <w:spacing w:after="0"/>
              <w:rPr>
                <w:sz w:val="4"/>
                <w:szCs w:val="4"/>
                <w:color w:val="auto"/>
              </w:rPr>
            </w:pPr>
          </w:p>
        </w:tc>
        <w:tc>
          <w:tcPr>
            <w:tcW w:w="200" w:type="dxa"/>
            <w:vAlign w:val="bottom"/>
            <w:tcBorders>
              <w:bottom w:val="single" w:sz="8" w:color="D9D9D9"/>
            </w:tcBorders>
          </w:tcPr>
          <w:p>
            <w:pPr>
              <w:spacing w:after="0"/>
              <w:rPr>
                <w:sz w:val="4"/>
                <w:szCs w:val="4"/>
                <w:color w:val="auto"/>
              </w:rPr>
            </w:pPr>
          </w:p>
        </w:tc>
        <w:tc>
          <w:tcPr>
            <w:tcW w:w="680" w:type="dxa"/>
            <w:vAlign w:val="bottom"/>
            <w:tcBorders>
              <w:bottom w:val="single" w:sz="8" w:color="D9D9D9"/>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6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Adjusted EBITDA</w:t>
            </w:r>
          </w:p>
        </w:tc>
        <w:tc>
          <w:tcPr>
            <w:tcW w:w="880" w:type="dxa"/>
            <w:vAlign w:val="bottom"/>
          </w:tcPr>
          <w:p>
            <w:pPr>
              <w:spacing w:after="0"/>
              <w:rPr>
                <w:sz w:val="16"/>
                <w:szCs w:val="16"/>
                <w:color w:val="auto"/>
              </w:rPr>
            </w:pPr>
          </w:p>
        </w:tc>
        <w:tc>
          <w:tcPr>
            <w:tcW w:w="1020" w:type="dxa"/>
            <w:vAlign w:val="bottom"/>
            <w:gridSpan w:val="2"/>
          </w:tcPr>
          <w:p>
            <w:pPr>
              <w:jc w:val="right"/>
              <w:ind w:right="288"/>
              <w:spacing w:after="0"/>
              <w:rPr>
                <w:sz w:val="20"/>
                <w:szCs w:val="20"/>
                <w:color w:val="auto"/>
              </w:rPr>
            </w:pPr>
            <w:r>
              <w:rPr>
                <w:rFonts w:ascii="Arial" w:cs="Arial" w:eastAsia="Arial" w:hAnsi="Arial"/>
                <w:sz w:val="14"/>
                <w:szCs w:val="14"/>
                <w:color w:val="auto"/>
              </w:rPr>
              <w:t>$ 46,740</w:t>
            </w: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388"/>
              <w:spacing w:after="0"/>
              <w:rPr>
                <w:sz w:val="20"/>
                <w:szCs w:val="20"/>
                <w:color w:val="auto"/>
              </w:rPr>
            </w:pPr>
            <w:r>
              <w:rPr>
                <w:rFonts w:ascii="Arial" w:cs="Arial" w:eastAsia="Arial" w:hAnsi="Arial"/>
                <w:sz w:val="14"/>
                <w:szCs w:val="14"/>
                <w:color w:val="auto"/>
              </w:rPr>
              <w:t>33,960</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68"/>
              <w:spacing w:after="0"/>
              <w:rPr>
                <w:sz w:val="20"/>
                <w:szCs w:val="20"/>
                <w:color w:val="auto"/>
              </w:rPr>
            </w:pPr>
            <w:r>
              <w:rPr>
                <w:rFonts w:ascii="Arial" w:cs="Arial" w:eastAsia="Arial" w:hAnsi="Arial"/>
                <w:sz w:val="14"/>
                <w:szCs w:val="14"/>
                <w:color w:val="auto"/>
              </w:rPr>
              <w:t>17,794</w:t>
            </w:r>
          </w:p>
        </w:tc>
        <w:tc>
          <w:tcPr>
            <w:tcW w:w="0" w:type="dxa"/>
            <w:vAlign w:val="bottom"/>
          </w:tcPr>
          <w:p>
            <w:pPr>
              <w:spacing w:after="0"/>
              <w:rPr>
                <w:sz w:val="1"/>
                <w:szCs w:val="1"/>
                <w:color w:val="auto"/>
              </w:rPr>
            </w:pPr>
          </w:p>
        </w:tc>
      </w:tr>
      <w:tr>
        <w:trPr>
          <w:trHeight w:val="60"/>
        </w:trPr>
        <w:tc>
          <w:tcPr>
            <w:tcW w:w="680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6800" w:type="dxa"/>
            <w:vAlign w:val="bottom"/>
            <w:tcBorders>
              <w:bottom w:val="single" w:sz="8" w:color="FF7F32"/>
            </w:tcBorders>
          </w:tcPr>
          <w:p>
            <w:pPr>
              <w:spacing w:after="0"/>
              <w:rPr>
                <w:sz w:val="3"/>
                <w:szCs w:val="3"/>
                <w:color w:val="auto"/>
              </w:rPr>
            </w:pPr>
          </w:p>
        </w:tc>
        <w:tc>
          <w:tcPr>
            <w:tcW w:w="880" w:type="dxa"/>
            <w:vAlign w:val="bottom"/>
            <w:tcBorders>
              <w:bottom w:val="single" w:sz="8" w:color="FF7F32"/>
            </w:tcBorders>
          </w:tcPr>
          <w:p>
            <w:pPr>
              <w:spacing w:after="0"/>
              <w:rPr>
                <w:sz w:val="3"/>
                <w:szCs w:val="3"/>
                <w:color w:val="auto"/>
              </w:rPr>
            </w:pPr>
          </w:p>
        </w:tc>
        <w:tc>
          <w:tcPr>
            <w:tcW w:w="260" w:type="dxa"/>
            <w:vAlign w:val="bottom"/>
            <w:tcBorders>
              <w:bottom w:val="single" w:sz="8" w:color="FF7F32"/>
            </w:tcBorders>
          </w:tcPr>
          <w:p>
            <w:pPr>
              <w:spacing w:after="0"/>
              <w:rPr>
                <w:sz w:val="3"/>
                <w:szCs w:val="3"/>
                <w:color w:val="auto"/>
              </w:rPr>
            </w:pPr>
          </w:p>
        </w:tc>
        <w:tc>
          <w:tcPr>
            <w:tcW w:w="760" w:type="dxa"/>
            <w:vAlign w:val="bottom"/>
            <w:tcBorders>
              <w:bottom w:val="single" w:sz="8" w:color="FF7F32"/>
            </w:tcBorders>
          </w:tcPr>
          <w:p>
            <w:pPr>
              <w:spacing w:after="0"/>
              <w:rPr>
                <w:sz w:val="3"/>
                <w:szCs w:val="3"/>
                <w:color w:val="auto"/>
              </w:rPr>
            </w:pPr>
          </w:p>
        </w:tc>
        <w:tc>
          <w:tcPr>
            <w:tcW w:w="460" w:type="dxa"/>
            <w:vAlign w:val="bottom"/>
            <w:tcBorders>
              <w:bottom w:val="single" w:sz="8" w:color="FF7F32"/>
            </w:tcBorders>
          </w:tcPr>
          <w:p>
            <w:pPr>
              <w:spacing w:after="0"/>
              <w:rPr>
                <w:sz w:val="3"/>
                <w:szCs w:val="3"/>
                <w:color w:val="auto"/>
              </w:rPr>
            </w:pPr>
          </w:p>
        </w:tc>
        <w:tc>
          <w:tcPr>
            <w:tcW w:w="1040" w:type="dxa"/>
            <w:vAlign w:val="bottom"/>
            <w:tcBorders>
              <w:bottom w:val="single" w:sz="8" w:color="FF7F32"/>
            </w:tcBorders>
          </w:tcPr>
          <w:p>
            <w:pPr>
              <w:spacing w:after="0"/>
              <w:rPr>
                <w:sz w:val="3"/>
                <w:szCs w:val="3"/>
                <w:color w:val="auto"/>
              </w:rPr>
            </w:pPr>
          </w:p>
        </w:tc>
        <w:tc>
          <w:tcPr>
            <w:tcW w:w="200" w:type="dxa"/>
            <w:vAlign w:val="bottom"/>
            <w:tcBorders>
              <w:bottom w:val="single" w:sz="8" w:color="FF7F32"/>
            </w:tcBorders>
          </w:tcPr>
          <w:p>
            <w:pPr>
              <w:spacing w:after="0"/>
              <w:rPr>
                <w:sz w:val="3"/>
                <w:szCs w:val="3"/>
                <w:color w:val="auto"/>
              </w:rPr>
            </w:pPr>
          </w:p>
        </w:tc>
        <w:tc>
          <w:tcPr>
            <w:tcW w:w="680" w:type="dxa"/>
            <w:vAlign w:val="bottom"/>
            <w:tcBorders>
              <w:bottom w:val="single" w:sz="8" w:color="FF7F32"/>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80" w:hanging="172"/>
        <w:spacing w:after="0"/>
        <w:tabs>
          <w:tab w:leader="none" w:pos="180" w:val="left"/>
        </w:tabs>
        <w:numPr>
          <w:ilvl w:val="0"/>
          <w:numId w:val="83"/>
        </w:numPr>
        <w:rPr>
          <w:rFonts w:ascii="Arial" w:cs="Arial" w:eastAsia="Arial" w:hAnsi="Arial"/>
          <w:sz w:val="16"/>
          <w:szCs w:val="16"/>
          <w:color w:val="202945"/>
          <w:vertAlign w:val="superscript"/>
        </w:rPr>
      </w:pPr>
      <w:r>
        <w:rPr>
          <w:rFonts w:ascii="Arial" w:cs="Arial" w:eastAsia="Arial" w:hAnsi="Arial"/>
          <w:sz w:val="13"/>
          <w:szCs w:val="13"/>
          <w:color w:val="202945"/>
        </w:rPr>
        <w:t>We have excluded stock-based compensation, as it does not reflect our cash-based operations.</w:t>
      </w:r>
    </w:p>
    <w:p>
      <w:pPr>
        <w:spacing w:after="0" w:line="90" w:lineRule="exact"/>
        <w:rPr>
          <w:rFonts w:ascii="Arial" w:cs="Arial" w:eastAsia="Arial" w:hAnsi="Arial"/>
          <w:sz w:val="16"/>
          <w:szCs w:val="16"/>
          <w:color w:val="202945"/>
          <w:vertAlign w:val="superscript"/>
        </w:rPr>
      </w:pPr>
    </w:p>
    <w:p>
      <w:pPr>
        <w:ind w:left="200" w:right="20" w:hanging="192"/>
        <w:spacing w:after="0" w:line="310" w:lineRule="auto"/>
        <w:tabs>
          <w:tab w:leader="none" w:pos="221" w:val="left"/>
        </w:tabs>
        <w:numPr>
          <w:ilvl w:val="0"/>
          <w:numId w:val="83"/>
        </w:numPr>
        <w:rPr>
          <w:rFonts w:ascii="Arial" w:cs="Arial" w:eastAsia="Arial" w:hAnsi="Arial"/>
          <w:sz w:val="15"/>
          <w:szCs w:val="15"/>
          <w:color w:val="202945"/>
          <w:vertAlign w:val="superscript"/>
        </w:rPr>
      </w:pPr>
      <w:r>
        <w:rPr>
          <w:rFonts w:ascii="Arial" w:cs="Arial" w:eastAsia="Arial" w:hAnsi="Arial"/>
          <w:sz w:val="12"/>
          <w:szCs w:val="12"/>
          <w:color w:val="202945"/>
        </w:rPr>
        <w:t>In fiscal year 2019, the Audit Committee, with the assistance of independent legal and forensic accounting advisors, conducted an internal investigation of then-current and prior period matters relating to certain of the Company’s contractual arrangements, including the accounting treatment, financial reporting and internal controls related to such arrangements (the “2019 Investigation”). We have excluded the costs and corresponding reimbursements related to the 2019 Investigation, because we believe that they represent charges that are not related to our core operations. During the</w:t>
      </w:r>
    </w:p>
    <w:p>
      <w:pPr>
        <w:spacing w:after="0" w:line="1" w:lineRule="exact"/>
        <w:rPr>
          <w:rFonts w:ascii="Arial" w:cs="Arial" w:eastAsia="Arial" w:hAnsi="Arial"/>
          <w:sz w:val="15"/>
          <w:szCs w:val="15"/>
          <w:color w:val="202945"/>
          <w:vertAlign w:val="superscript"/>
        </w:rPr>
      </w:pPr>
    </w:p>
    <w:p>
      <w:pPr>
        <w:ind w:left="200" w:right="440"/>
        <w:spacing w:after="0" w:line="329" w:lineRule="auto"/>
        <w:rPr>
          <w:rFonts w:ascii="Arial" w:cs="Arial" w:eastAsia="Arial" w:hAnsi="Arial"/>
          <w:sz w:val="15"/>
          <w:szCs w:val="15"/>
          <w:color w:val="202945"/>
          <w:vertAlign w:val="superscript"/>
        </w:rPr>
      </w:pPr>
      <w:r>
        <w:rPr>
          <w:rFonts w:ascii="Arial" w:cs="Arial" w:eastAsia="Arial" w:hAnsi="Arial"/>
          <w:sz w:val="13"/>
          <w:szCs w:val="13"/>
          <w:color w:val="202945"/>
        </w:rPr>
        <w:t>year ended June 30, 2024, we received $1.5 million in insurance reimbursement for legal fees and expenses incurred in connection with the 2019 Investigation. Accordingly, Adjusted EBITDA contains a negative adjustment.</w:t>
      </w:r>
    </w:p>
    <w:p>
      <w:pPr>
        <w:spacing w:after="0" w:line="17" w:lineRule="exact"/>
        <w:rPr>
          <w:rFonts w:ascii="Arial" w:cs="Arial" w:eastAsia="Arial" w:hAnsi="Arial"/>
          <w:sz w:val="15"/>
          <w:szCs w:val="15"/>
          <w:color w:val="202945"/>
          <w:vertAlign w:val="superscript"/>
        </w:rPr>
      </w:pPr>
    </w:p>
    <w:p>
      <w:pPr>
        <w:ind w:left="180" w:hanging="172"/>
        <w:spacing w:after="0"/>
        <w:tabs>
          <w:tab w:leader="none" w:pos="180" w:val="left"/>
        </w:tabs>
        <w:numPr>
          <w:ilvl w:val="0"/>
          <w:numId w:val="83"/>
        </w:numPr>
        <w:rPr>
          <w:rFonts w:ascii="Arial" w:cs="Arial" w:eastAsia="Arial" w:hAnsi="Arial"/>
          <w:sz w:val="16"/>
          <w:szCs w:val="16"/>
          <w:color w:val="202945"/>
          <w:vertAlign w:val="superscript"/>
        </w:rPr>
      </w:pPr>
      <w:r>
        <w:rPr>
          <w:rFonts w:ascii="Arial" w:cs="Arial" w:eastAsia="Arial" w:hAnsi="Arial"/>
          <w:sz w:val="13"/>
          <w:szCs w:val="13"/>
          <w:color w:val="202945"/>
        </w:rPr>
        <w:t>We have excluded expenses incurred in connection with business acquisitions as it does not represent recurring costs or charges related to our core operations.</w:t>
      </w:r>
    </w:p>
    <w:p>
      <w:pPr>
        <w:spacing w:after="0" w:line="72" w:lineRule="exact"/>
        <w:rPr>
          <w:rFonts w:ascii="Arial" w:cs="Arial" w:eastAsia="Arial" w:hAnsi="Arial"/>
          <w:sz w:val="16"/>
          <w:szCs w:val="16"/>
          <w:color w:val="202945"/>
          <w:vertAlign w:val="superscript"/>
        </w:rPr>
      </w:pPr>
    </w:p>
    <w:p>
      <w:pPr>
        <w:ind w:left="180" w:hanging="172"/>
        <w:spacing w:after="0"/>
        <w:tabs>
          <w:tab w:leader="none" w:pos="180" w:val="left"/>
        </w:tabs>
        <w:numPr>
          <w:ilvl w:val="0"/>
          <w:numId w:val="83"/>
        </w:numPr>
        <w:rPr>
          <w:rFonts w:ascii="Arial" w:cs="Arial" w:eastAsia="Arial" w:hAnsi="Arial"/>
          <w:sz w:val="16"/>
          <w:szCs w:val="16"/>
          <w:color w:val="202945"/>
          <w:vertAlign w:val="superscript"/>
        </w:rPr>
      </w:pPr>
      <w:r>
        <w:rPr>
          <w:rFonts w:ascii="Arial" w:cs="Arial" w:eastAsia="Arial" w:hAnsi="Arial"/>
          <w:sz w:val="13"/>
          <w:szCs w:val="13"/>
          <w:color w:val="202945"/>
        </w:rPr>
        <w:t>Consists of expenses incurred in connection with non-recurring severance charges related to work force reduction.</w:t>
      </w:r>
    </w:p>
    <w:p>
      <w:pPr>
        <w:spacing w:after="0" w:line="86" w:lineRule="exact"/>
        <w:rPr>
          <w:rFonts w:ascii="Arial" w:cs="Arial" w:eastAsia="Arial" w:hAnsi="Arial"/>
          <w:sz w:val="16"/>
          <w:szCs w:val="16"/>
          <w:color w:val="202945"/>
          <w:vertAlign w:val="superscript"/>
        </w:rPr>
      </w:pPr>
    </w:p>
    <w:p>
      <w:pPr>
        <w:ind w:left="180" w:hanging="172"/>
        <w:spacing w:after="0"/>
        <w:tabs>
          <w:tab w:leader="none" w:pos="180" w:val="left"/>
        </w:tabs>
        <w:numPr>
          <w:ilvl w:val="0"/>
          <w:numId w:val="83"/>
        </w:numPr>
        <w:rPr>
          <w:rFonts w:ascii="Arial" w:cs="Arial" w:eastAsia="Arial" w:hAnsi="Arial"/>
          <w:sz w:val="16"/>
          <w:szCs w:val="16"/>
          <w:color w:val="202945"/>
          <w:vertAlign w:val="superscript"/>
        </w:rPr>
      </w:pPr>
      <w:r>
        <w:rPr>
          <w:rFonts w:ascii="Arial" w:cs="Arial" w:eastAsia="Arial" w:hAnsi="Arial"/>
          <w:sz w:val="13"/>
          <w:szCs w:val="13"/>
          <w:color w:val="202945"/>
        </w:rPr>
        <w:t>Consists of expenses incurred in connection with fully remediating previously identified material weaknesses in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163195</wp:posOffset>
            </wp:positionV>
            <wp:extent cx="925830" cy="26543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925830" cy="265430"/>
                    </a:xfrm>
                    <a:prstGeom prst="rect">
                      <a:avLst/>
                    </a:prstGeom>
                    <a:noFill/>
                  </pic:spPr>
                </pic:pic>
              </a:graphicData>
            </a:graphic>
          </wp:anchor>
        </w:drawing>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b w:val="1"/>
                <w:bCs w:val="1"/>
                <w:color w:val="FF7F32"/>
              </w:rPr>
              <w:t xml:space="preserve">2026 </w:t>
            </w:r>
            <w:r>
              <w:rPr>
                <w:rFonts w:ascii="Arial" w:cs="Arial" w:eastAsia="Arial" w:hAnsi="Arial"/>
                <w:sz w:val="13"/>
                <w:szCs w:val="13"/>
                <w:color w:val="000000"/>
              </w:rPr>
              <w:t>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auto"/>
              </w:rPr>
              <w:t>89</w:t>
            </w:r>
          </w:p>
        </w:tc>
      </w:tr>
      <w:tr>
        <w:trPr>
          <w:trHeight w:val="433"/>
        </w:trPr>
        <w:tc>
          <w:tcPr>
            <w:tcW w:w="618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92" w:name="page93"/>
    <w:bookmarkEnd w:id="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379730</wp:posOffset>
            </wp:positionH>
            <wp:positionV relativeFrom="page">
              <wp:posOffset>525780</wp:posOffset>
            </wp:positionV>
            <wp:extent cx="6789420" cy="919861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789420" cy="91986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
      <w:numFmt w:val="bullet"/>
      <w:start w:val="1"/>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
      <w:numFmt w:val="bullet"/>
      <w:start w:val="1"/>
    </w:lvl>
  </w:abstractNum>
  <w:abstractNum w:abstractNumId="5">
    <w:nsid w:val="2CD89A32"/>
    <w:multiLevelType w:val="hybridMultilevel"/>
    <w:lvl w:ilvl="0">
      <w:lvlJc w:val="left"/>
      <w:lvlText w:val="3"/>
      <w:numFmt w:val="bullet"/>
      <w:start w:val="1"/>
    </w:lvl>
  </w:abstractNum>
  <w:abstractNum w:abstractNumId="6">
    <w:nsid w:val="57E4CCAF"/>
    <w:multiLevelType w:val="hybridMultilevel"/>
    <w:lvl w:ilvl="0">
      <w:lvlJc w:val="left"/>
      <w:lvlText w:val="5"/>
      <w:numFmt w:val="bullet"/>
      <w:start w:val="1"/>
    </w:lvl>
  </w:abstractNum>
  <w:abstractNum w:abstractNumId="7">
    <w:nsid w:val="7A6D8D3C"/>
    <w:multiLevelType w:val="hybridMultilevel"/>
    <w:lvl w:ilvl="0">
      <w:lvlJc w:val="left"/>
      <w:lvlText w:val="7"/>
      <w:numFmt w:val="bullet"/>
      <w:start w:val="1"/>
    </w:lvl>
  </w:abstractNum>
  <w:abstractNum w:abstractNumId="8">
    <w:nsid w:val="4B588F54"/>
    <w:multiLevelType w:val="hybridMultilevel"/>
    <w:lvl w:ilvl="0">
      <w:lvlJc w:val="left"/>
      <w:lvlText w:val="%1"/>
      <w:numFmt w:val="decimal"/>
      <w:start w:val="14"/>
    </w:lvl>
  </w:abstractNum>
  <w:abstractNum w:abstractNumId="9">
    <w:nsid w:val="542289EC"/>
    <w:multiLevelType w:val="hybridMultilevel"/>
    <w:lvl w:ilvl="0">
      <w:lvlJc w:val="left"/>
      <w:lvlText w:val="%1"/>
      <w:numFmt w:val="decimal"/>
      <w:start w:val="26"/>
    </w:lvl>
  </w:abstractNum>
  <w:abstractNum w:abstractNumId="10">
    <w:nsid w:val="6DE91B18"/>
    <w:multiLevelType w:val="hybridMultilevel"/>
    <w:lvl w:ilvl="0">
      <w:lvlJc w:val="left"/>
      <w:lvlText w:val="%1"/>
      <w:numFmt w:val="decimal"/>
      <w:start w:val="27"/>
    </w:lvl>
  </w:abstractNum>
  <w:abstractNum w:abstractNumId="11">
    <w:nsid w:val="38437FDB"/>
    <w:multiLevelType w:val="hybridMultilevel"/>
    <w:lvl w:ilvl="0">
      <w:lvlJc w:val="left"/>
      <w:lvlText w:val="%1"/>
      <w:numFmt w:val="decimal"/>
      <w:start w:val="33"/>
    </w:lvl>
  </w:abstractNum>
  <w:abstractNum w:abstractNumId="12">
    <w:nsid w:val="7644A45C"/>
    <w:multiLevelType w:val="hybridMultilevel"/>
    <w:lvl w:ilvl="0">
      <w:lvlJc w:val="left"/>
      <w:lvlText w:val="%1"/>
      <w:numFmt w:val="decimal"/>
      <w:start w:val="39"/>
    </w:lvl>
  </w:abstractNum>
  <w:abstractNum w:abstractNumId="13">
    <w:nsid w:val="32FFF902"/>
    <w:multiLevelType w:val="hybridMultilevel"/>
    <w:lvl w:ilvl="0">
      <w:lvlJc w:val="left"/>
      <w:lvlText w:val="%1"/>
      <w:numFmt w:val="decimal"/>
      <w:start w:val="40"/>
    </w:lvl>
  </w:abstractNum>
  <w:abstractNum w:abstractNumId="14">
    <w:nsid w:val="684A481A"/>
    <w:multiLevelType w:val="hybridMultilevel"/>
    <w:lvl w:ilvl="0">
      <w:lvlJc w:val="left"/>
      <w:lvlText w:val="%1"/>
      <w:numFmt w:val="decimal"/>
      <w:start w:val="40"/>
    </w:lvl>
  </w:abstractNum>
  <w:abstractNum w:abstractNumId="15">
    <w:nsid w:val="579478FE"/>
    <w:multiLevelType w:val="hybridMultilevel"/>
    <w:lvl w:ilvl="0">
      <w:lvlJc w:val="left"/>
      <w:lvlText w:val="%1"/>
      <w:numFmt w:val="decimal"/>
      <w:start w:val="44"/>
    </w:lvl>
  </w:abstractNum>
  <w:abstractNum w:abstractNumId="16">
    <w:nsid w:val="749ABB43"/>
    <w:multiLevelType w:val="hybridMultilevel"/>
    <w:lvl w:ilvl="0">
      <w:lvlJc w:val="left"/>
      <w:lvlText w:val="(%1)"/>
      <w:numFmt w:val="decimal"/>
      <w:start w:val="1"/>
    </w:lvl>
  </w:abstractNum>
  <w:abstractNum w:abstractNumId="17">
    <w:nsid w:val="3DC240FB"/>
    <w:multiLevelType w:val="hybridMultilevel"/>
    <w:lvl w:ilvl="0">
      <w:lvlJc w:val="left"/>
      <w:lvlText w:val="•"/>
      <w:numFmt w:val="bullet"/>
      <w:start w:val="1"/>
    </w:lvl>
  </w:abstractNum>
  <w:abstractNum w:abstractNumId="18">
    <w:nsid w:val="1BA026FA"/>
    <w:multiLevelType w:val="hybridMultilevel"/>
    <w:lvl w:ilvl="0">
      <w:lvlJc w:val="left"/>
      <w:lvlText w:val="•"/>
      <w:numFmt w:val="bullet"/>
      <w:start w:val="1"/>
    </w:lvl>
  </w:abstractNum>
  <w:abstractNum w:abstractNumId="19">
    <w:nsid w:val="79A1DEAA"/>
    <w:multiLevelType w:val="hybridMultilevel"/>
    <w:lvl w:ilvl="0">
      <w:lvlJc w:val="left"/>
      <w:lvlText w:val="•"/>
      <w:numFmt w:val="bullet"/>
      <w:start w:val="1"/>
    </w:lvl>
  </w:abstractNum>
  <w:abstractNum w:abstractNumId="20">
    <w:nsid w:val="75C6C33A"/>
    <w:multiLevelType w:val="hybridMultilevel"/>
    <w:lvl w:ilvl="0">
      <w:lvlJc w:val="left"/>
      <w:lvlText w:val="•"/>
      <w:numFmt w:val="bullet"/>
      <w:start w:val="1"/>
    </w:lvl>
  </w:abstractNum>
  <w:abstractNum w:abstractNumId="21">
    <w:nsid w:val="12E685FB"/>
    <w:multiLevelType w:val="hybridMultilevel"/>
    <w:lvl w:ilvl="0">
      <w:lvlJc w:val="left"/>
      <w:lvlText w:val="•"/>
      <w:numFmt w:val="bullet"/>
      <w:start w:val="1"/>
    </w:lvl>
  </w:abstractNum>
  <w:abstractNum w:abstractNumId="22">
    <w:nsid w:val="70C6A529"/>
    <w:multiLevelType w:val="hybridMultilevel"/>
    <w:lvl w:ilvl="0">
      <w:lvlJc w:val="left"/>
      <w:lvlText w:val="•"/>
      <w:numFmt w:val="bullet"/>
      <w:start w:val="1"/>
    </w:lvl>
  </w:abstractNum>
  <w:abstractNum w:abstractNumId="23">
    <w:nsid w:val="520EEDD1"/>
    <w:multiLevelType w:val="hybridMultilevel"/>
    <w:lvl w:ilvl="0">
      <w:lvlJc w:val="left"/>
      <w:lvlText w:val="•"/>
      <w:numFmt w:val="bullet"/>
      <w:start w:val="1"/>
    </w:lvl>
  </w:abstractNum>
  <w:abstractNum w:abstractNumId="24">
    <w:nsid w:val="374A3FE6"/>
    <w:multiLevelType w:val="hybridMultilevel"/>
    <w:lvl w:ilvl="0">
      <w:lvlJc w:val="left"/>
      <w:lvlText w:val="•"/>
      <w:numFmt w:val="bullet"/>
      <w:start w:val="1"/>
    </w:lvl>
  </w:abstractNum>
  <w:abstractNum w:abstractNumId="25">
    <w:nsid w:val="4F4EF005"/>
    <w:multiLevelType w:val="hybridMultilevel"/>
    <w:lvl w:ilvl="0">
      <w:lvlJc w:val="left"/>
      <w:lvlText w:val="•"/>
      <w:numFmt w:val="bullet"/>
      <w:start w:val="1"/>
    </w:lvl>
  </w:abstractNum>
  <w:abstractNum w:abstractNumId="26">
    <w:nsid w:val="23F9C13C"/>
    <w:multiLevelType w:val="hybridMultilevel"/>
    <w:lvl w:ilvl="0">
      <w:lvlJc w:val="left"/>
      <w:lvlText w:val="•"/>
      <w:numFmt w:val="bullet"/>
      <w:start w:val="1"/>
    </w:lvl>
  </w:abstractNum>
  <w:abstractNum w:abstractNumId="27">
    <w:nsid w:val="649BB77C"/>
    <w:multiLevelType w:val="hybridMultilevel"/>
    <w:lvl w:ilvl="0">
      <w:lvlJc w:val="left"/>
      <w:lvlText w:val="•"/>
      <w:numFmt w:val="bullet"/>
      <w:start w:val="1"/>
    </w:lvl>
  </w:abstractNum>
  <w:abstractNum w:abstractNumId="28">
    <w:nsid w:val="275AC794"/>
    <w:multiLevelType w:val="hybridMultilevel"/>
    <w:lvl w:ilvl="0">
      <w:lvlJc w:val="left"/>
      <w:lvlText w:val="•"/>
      <w:numFmt w:val="bullet"/>
      <w:start w:val="1"/>
    </w:lvl>
  </w:abstractNum>
  <w:abstractNum w:abstractNumId="29">
    <w:nsid w:val="39386575"/>
    <w:multiLevelType w:val="hybridMultilevel"/>
    <w:lvl w:ilvl="0">
      <w:lvlJc w:val="left"/>
      <w:lvlText w:val="•"/>
      <w:numFmt w:val="bullet"/>
      <w:start w:val="1"/>
    </w:lvl>
  </w:abstractNum>
  <w:abstractNum w:abstractNumId="30">
    <w:nsid w:val="1CF10FD8"/>
    <w:multiLevelType w:val="hybridMultilevel"/>
    <w:lvl w:ilvl="0">
      <w:lvlJc w:val="left"/>
      <w:lvlText w:val="•"/>
      <w:numFmt w:val="bullet"/>
      <w:start w:val="1"/>
    </w:lvl>
  </w:abstractNum>
  <w:abstractNum w:abstractNumId="31">
    <w:nsid w:val="180115BE"/>
    <w:multiLevelType w:val="hybridMultilevel"/>
    <w:lvl w:ilvl="0">
      <w:lvlJc w:val="left"/>
      <w:lvlText w:val="•"/>
      <w:numFmt w:val="bullet"/>
      <w:start w:val="1"/>
    </w:lvl>
  </w:abstractNum>
  <w:abstractNum w:abstractNumId="32">
    <w:nsid w:val="235BA861"/>
    <w:multiLevelType w:val="hybridMultilevel"/>
    <w:lvl w:ilvl="0">
      <w:lvlJc w:val="left"/>
      <w:lvlText w:val="•"/>
      <w:numFmt w:val="bullet"/>
      <w:start w:val="1"/>
    </w:lvl>
  </w:abstractNum>
  <w:abstractNum w:abstractNumId="33">
    <w:nsid w:val="47398C89"/>
    <w:multiLevelType w:val="hybridMultilevel"/>
    <w:lvl w:ilvl="0">
      <w:lvlJc w:val="left"/>
      <w:lvlText w:val="•"/>
      <w:numFmt w:val="bullet"/>
      <w:start w:val="1"/>
    </w:lvl>
  </w:abstractNum>
  <w:abstractNum w:abstractNumId="34">
    <w:nsid w:val="354FE9F9"/>
    <w:multiLevelType w:val="hybridMultilevel"/>
    <w:lvl w:ilvl="0">
      <w:lvlJc w:val="left"/>
      <w:lvlText w:val="•"/>
      <w:numFmt w:val="bullet"/>
      <w:start w:val="1"/>
    </w:lvl>
  </w:abstractNum>
  <w:abstractNum w:abstractNumId="35">
    <w:nsid w:val="15B5AF5C"/>
    <w:multiLevelType w:val="hybridMultilevel"/>
    <w:lvl w:ilvl="0">
      <w:lvlJc w:val="left"/>
      <w:lvlText w:val="•"/>
      <w:numFmt w:val="bullet"/>
      <w:start w:val="1"/>
    </w:lvl>
  </w:abstractNum>
  <w:abstractNum w:abstractNumId="36">
    <w:nsid w:val="741226BB"/>
    <w:multiLevelType w:val="hybridMultilevel"/>
    <w:lvl w:ilvl="0">
      <w:lvlJc w:val="left"/>
      <w:lvlText w:val="•"/>
      <w:numFmt w:val="bullet"/>
      <w:start w:val="1"/>
    </w:lvl>
  </w:abstractNum>
  <w:abstractNum w:abstractNumId="37">
    <w:nsid w:val="D34B6A8"/>
    <w:multiLevelType w:val="hybridMultilevel"/>
    <w:lvl w:ilvl="0">
      <w:lvlJc w:val="left"/>
      <w:lvlText w:val="•"/>
      <w:numFmt w:val="bullet"/>
      <w:start w:val="1"/>
    </w:lvl>
  </w:abstractNum>
  <w:abstractNum w:abstractNumId="38">
    <w:nsid w:val="10233C99"/>
    <w:multiLevelType w:val="hybridMultilevel"/>
    <w:lvl w:ilvl="0">
      <w:lvlJc w:val="left"/>
      <w:lvlText w:val="•"/>
      <w:numFmt w:val="bullet"/>
      <w:start w:val="1"/>
    </w:lvl>
  </w:abstractNum>
  <w:abstractNum w:abstractNumId="39">
    <w:nsid w:val="3F6AB60F"/>
    <w:multiLevelType w:val="hybridMultilevel"/>
    <w:lvl w:ilvl="0">
      <w:lvlJc w:val="left"/>
      <w:lvlText w:val="•"/>
      <w:numFmt w:val="bullet"/>
      <w:start w:val="1"/>
    </w:lvl>
  </w:abstractNum>
  <w:abstractNum w:abstractNumId="40">
    <w:nsid w:val="61574095"/>
    <w:multiLevelType w:val="hybridMultilevel"/>
    <w:lvl w:ilvl="0">
      <w:lvlJc w:val="left"/>
      <w:lvlText w:val="•"/>
      <w:numFmt w:val="bullet"/>
      <w:start w:val="1"/>
    </w:lvl>
  </w:abstractNum>
  <w:abstractNum w:abstractNumId="41">
    <w:nsid w:val="7E0C57B1"/>
    <w:multiLevelType w:val="hybridMultilevel"/>
    <w:lvl w:ilvl="0">
      <w:lvlJc w:val="left"/>
      <w:lvlText w:val="•"/>
      <w:numFmt w:val="bullet"/>
      <w:start w:val="1"/>
    </w:lvl>
  </w:abstractNum>
  <w:abstractNum w:abstractNumId="42">
    <w:nsid w:val="77AE35EB"/>
    <w:multiLevelType w:val="hybridMultilevel"/>
    <w:lvl w:ilvl="0">
      <w:lvlJc w:val="left"/>
      <w:lvlText w:val="•"/>
      <w:numFmt w:val="bullet"/>
      <w:start w:val="1"/>
    </w:lvl>
  </w:abstractNum>
  <w:abstractNum w:abstractNumId="43">
    <w:nsid w:val="579BE4F1"/>
    <w:multiLevelType w:val="hybridMultilevel"/>
    <w:lvl w:ilvl="0">
      <w:lvlJc w:val="left"/>
      <w:lvlText w:val="•"/>
      <w:numFmt w:val="bullet"/>
      <w:start w:val="1"/>
    </w:lvl>
  </w:abstractNum>
  <w:abstractNum w:abstractNumId="44">
    <w:nsid w:val="310C50B3"/>
    <w:multiLevelType w:val="hybridMultilevel"/>
    <w:lvl w:ilvl="0">
      <w:lvlJc w:val="left"/>
      <w:lvlText w:val="•"/>
      <w:numFmt w:val="bullet"/>
      <w:start w:val="1"/>
    </w:lvl>
  </w:abstractNum>
  <w:abstractNum w:abstractNumId="45">
    <w:nsid w:val="5FF87E05"/>
    <w:multiLevelType w:val="hybridMultilevel"/>
    <w:lvl w:ilvl="0">
      <w:lvlJc w:val="left"/>
      <w:lvlText w:val="•"/>
      <w:numFmt w:val="bullet"/>
      <w:start w:val="1"/>
    </w:lvl>
  </w:abstractNum>
  <w:abstractNum w:abstractNumId="46">
    <w:nsid w:val="2F305DEF"/>
    <w:multiLevelType w:val="hybridMultilevel"/>
    <w:lvl w:ilvl="0">
      <w:lvlJc w:val="left"/>
      <w:lvlText w:val="•"/>
      <w:numFmt w:val="bullet"/>
      <w:start w:val="1"/>
    </w:lvl>
  </w:abstractNum>
  <w:abstractNum w:abstractNumId="47">
    <w:nsid w:val="25A70BF7"/>
    <w:multiLevelType w:val="hybridMultilevel"/>
    <w:lvl w:ilvl="0">
      <w:lvlJc w:val="left"/>
      <w:lvlText w:val="•"/>
      <w:numFmt w:val="bullet"/>
      <w:start w:val="1"/>
    </w:lvl>
  </w:abstractNum>
  <w:abstractNum w:abstractNumId="48">
    <w:nsid w:val="1DBABF00"/>
    <w:multiLevelType w:val="hybridMultilevel"/>
    <w:lvl w:ilvl="0">
      <w:lvlJc w:val="left"/>
      <w:lvlText w:val="•"/>
      <w:numFmt w:val="bullet"/>
      <w:start w:val="1"/>
    </w:lvl>
  </w:abstractNum>
  <w:abstractNum w:abstractNumId="49">
    <w:nsid w:val="4AD084E9"/>
    <w:multiLevelType w:val="hybridMultilevel"/>
    <w:lvl w:ilvl="0">
      <w:lvlJc w:val="left"/>
      <w:lvlText w:val="•"/>
      <w:numFmt w:val="bullet"/>
      <w:start w:val="1"/>
    </w:lvl>
  </w:abstractNum>
  <w:abstractNum w:abstractNumId="50">
    <w:nsid w:val="1F48EAA1"/>
    <w:multiLevelType w:val="hybridMultilevel"/>
    <w:lvl w:ilvl="0">
      <w:lvlJc w:val="left"/>
      <w:lvlText w:val="*"/>
      <w:numFmt w:val="bullet"/>
      <w:start w:val="1"/>
    </w:lvl>
  </w:abstractNum>
  <w:abstractNum w:abstractNumId="51">
    <w:nsid w:val="1381823A"/>
    <w:multiLevelType w:val="hybridMultilevel"/>
    <w:lvl w:ilvl="0">
      <w:lvlJc w:val="left"/>
      <w:lvlText w:val="(%1)"/>
      <w:numFmt w:val="decimal"/>
      <w:start w:val="1"/>
    </w:lvl>
  </w:abstractNum>
  <w:abstractNum w:abstractNumId="52">
    <w:nsid w:val="5DB70AE5"/>
    <w:multiLevelType w:val="hybridMultilevel"/>
    <w:lvl w:ilvl="0">
      <w:lvlJc w:val="left"/>
      <w:lvlText w:val="&amp;"/>
      <w:numFmt w:val="bullet"/>
      <w:start w:val="1"/>
    </w:lvl>
  </w:abstractNum>
  <w:abstractNum w:abstractNumId="53">
    <w:nsid w:val="100F8FCA"/>
    <w:multiLevelType w:val="hybridMultilevel"/>
    <w:lvl w:ilvl="0">
      <w:lvlJc w:val="left"/>
      <w:lvlText w:val="(%1)"/>
      <w:numFmt w:val="decimal"/>
      <w:start w:val="1"/>
    </w:lvl>
  </w:abstractNum>
  <w:abstractNum w:abstractNumId="54">
    <w:nsid w:val="6590700B"/>
    <w:multiLevelType w:val="hybridMultilevel"/>
    <w:lvl w:ilvl="0">
      <w:lvlJc w:val="left"/>
      <w:lvlText w:val="•"/>
      <w:numFmt w:val="bullet"/>
      <w:start w:val="1"/>
    </w:lvl>
  </w:abstractNum>
  <w:abstractNum w:abstractNumId="55">
    <w:nsid w:val="15014ACB"/>
    <w:multiLevelType w:val="hybridMultilevel"/>
    <w:lvl w:ilvl="0">
      <w:lvlJc w:val="left"/>
      <w:lvlText w:val="•"/>
      <w:numFmt w:val="bullet"/>
      <w:start w:val="1"/>
    </w:lvl>
  </w:abstractNum>
  <w:abstractNum w:abstractNumId="56">
    <w:nsid w:val="5F5E7FD0"/>
    <w:multiLevelType w:val="hybridMultilevel"/>
    <w:lvl w:ilvl="0">
      <w:lvlJc w:val="left"/>
      <w:lvlText w:val="•"/>
      <w:numFmt w:val="bullet"/>
      <w:start w:val="1"/>
    </w:lvl>
  </w:abstractNum>
  <w:abstractNum w:abstractNumId="57">
    <w:nsid w:val="98A3148"/>
    <w:multiLevelType w:val="hybridMultilevel"/>
    <w:lvl w:ilvl="0">
      <w:lvlJc w:val="left"/>
      <w:lvlText w:val="•"/>
      <w:numFmt w:val="bullet"/>
      <w:start w:val="1"/>
    </w:lvl>
  </w:abstractNum>
  <w:abstractNum w:abstractNumId="58">
    <w:nsid w:val="799D0247"/>
    <w:multiLevelType w:val="hybridMultilevel"/>
    <w:lvl w:ilvl="0">
      <w:lvlJc w:val="left"/>
      <w:lvlText w:val="•"/>
      <w:numFmt w:val="bullet"/>
      <w:start w:val="1"/>
    </w:lvl>
  </w:abstractNum>
  <w:abstractNum w:abstractNumId="59">
    <w:nsid w:val="6B94764"/>
    <w:multiLevelType w:val="hybridMultilevel"/>
    <w:lvl w:ilvl="0">
      <w:lvlJc w:val="left"/>
      <w:lvlText w:val="•"/>
      <w:numFmt w:val="bullet"/>
      <w:start w:val="1"/>
    </w:lvl>
  </w:abstractNum>
  <w:abstractNum w:abstractNumId="60">
    <w:nsid w:val="42C296BD"/>
    <w:multiLevelType w:val="hybridMultilevel"/>
    <w:lvl w:ilvl="0">
      <w:lvlJc w:val="left"/>
      <w:lvlText w:val="(%1)"/>
      <w:numFmt w:val="decimal"/>
      <w:start w:val="1"/>
    </w:lvl>
  </w:abstractNum>
  <w:abstractNum w:abstractNumId="61">
    <w:nsid w:val="168E121F"/>
    <w:multiLevelType w:val="hybridMultilevel"/>
    <w:lvl w:ilvl="0">
      <w:lvlJc w:val="left"/>
      <w:lvlText w:val="•"/>
      <w:numFmt w:val="bullet"/>
      <w:start w:val="1"/>
    </w:lvl>
  </w:abstractNum>
  <w:abstractNum w:abstractNumId="62">
    <w:nsid w:val="1EBA5D23"/>
    <w:multiLevelType w:val="hybridMultilevel"/>
    <w:lvl w:ilvl="0">
      <w:lvlJc w:val="left"/>
      <w:lvlText w:val="•"/>
      <w:numFmt w:val="bullet"/>
      <w:start w:val="1"/>
    </w:lvl>
  </w:abstractNum>
  <w:abstractNum w:abstractNumId="63">
    <w:nsid w:val="661E3F1E"/>
    <w:multiLevelType w:val="hybridMultilevel"/>
    <w:lvl w:ilvl="0">
      <w:lvlJc w:val="left"/>
      <w:lvlText w:val="•"/>
      <w:numFmt w:val="bullet"/>
      <w:start w:val="1"/>
    </w:lvl>
  </w:abstractNum>
  <w:abstractNum w:abstractNumId="64">
    <w:nsid w:val="5DC79EA8"/>
    <w:multiLevelType w:val="hybridMultilevel"/>
    <w:lvl w:ilvl="0">
      <w:lvlJc w:val="left"/>
      <w:lvlText w:val="(%1)"/>
      <w:numFmt w:val="decimal"/>
      <w:start w:val="1"/>
    </w:lvl>
  </w:abstractNum>
  <w:abstractNum w:abstractNumId="65">
    <w:nsid w:val="540A471C"/>
    <w:multiLevelType w:val="hybridMultilevel"/>
    <w:lvl w:ilvl="0">
      <w:lvlJc w:val="left"/>
      <w:lvlText w:val="(%1)"/>
      <w:numFmt w:val="decimal"/>
      <w:start w:val="4"/>
    </w:lvl>
  </w:abstractNum>
  <w:abstractNum w:abstractNumId="66">
    <w:nsid w:val="7BD3EE7B"/>
    <w:multiLevelType w:val="hybridMultilevel"/>
    <w:lvl w:ilvl="0">
      <w:lvlJc w:val="left"/>
      <w:lvlText w:val="(%1)"/>
      <w:numFmt w:val="decimal"/>
      <w:start w:val="1"/>
    </w:lvl>
  </w:abstractNum>
  <w:abstractNum w:abstractNumId="67">
    <w:nsid w:val="51D9C564"/>
    <w:multiLevelType w:val="hybridMultilevel"/>
    <w:lvl w:ilvl="0">
      <w:lvlJc w:val="left"/>
      <w:lvlText w:val="(%1)"/>
      <w:numFmt w:val="decimal"/>
      <w:start w:val="1"/>
    </w:lvl>
    <w:lvl w:ilvl="1">
      <w:lvlJc w:val="left"/>
      <w:lvlText w:val="(%2)"/>
      <w:numFmt w:val="lowerRoman"/>
      <w:start w:val="2"/>
    </w:lvl>
  </w:abstractNum>
  <w:abstractNum w:abstractNumId="68">
    <w:nsid w:val="613EFDC5"/>
    <w:multiLevelType w:val="hybridMultilevel"/>
    <w:lvl w:ilvl="0">
      <w:lvlJc w:val="left"/>
      <w:lvlText w:val="(%1)"/>
      <w:numFmt w:val="decimal"/>
      <w:start w:val="5"/>
    </w:lvl>
  </w:abstractNum>
  <w:abstractNum w:abstractNumId="69">
    <w:nsid w:val="BF72B14"/>
    <w:multiLevelType w:val="hybridMultilevel"/>
    <w:lvl w:ilvl="0">
      <w:lvlJc w:val="left"/>
      <w:lvlText w:val="•"/>
      <w:numFmt w:val="bullet"/>
      <w:start w:val="1"/>
    </w:lvl>
  </w:abstractNum>
  <w:abstractNum w:abstractNumId="70">
    <w:nsid w:val="11447B73"/>
    <w:multiLevelType w:val="hybridMultilevel"/>
    <w:lvl w:ilvl="0">
      <w:lvlJc w:val="left"/>
      <w:lvlText w:val="(%1)"/>
      <w:numFmt w:val="decimal"/>
      <w:start w:val="1"/>
    </w:lvl>
    <w:lvl w:ilvl="1">
      <w:lvlJc w:val="left"/>
      <w:lvlText w:val="•"/>
      <w:numFmt w:val="bullet"/>
      <w:start w:val="1"/>
    </w:lvl>
  </w:abstractNum>
  <w:abstractNum w:abstractNumId="71">
    <w:nsid w:val="42963E5A"/>
    <w:multiLevelType w:val="hybridMultilevel"/>
    <w:lvl w:ilvl="0">
      <w:lvlJc w:val="left"/>
      <w:lvlText w:val="(%1)"/>
      <w:numFmt w:val="decimal"/>
      <w:start w:val="2"/>
    </w:lvl>
  </w:abstractNum>
  <w:abstractNum w:abstractNumId="72">
    <w:nsid w:val="A0382C5"/>
    <w:multiLevelType w:val="hybridMultilevel"/>
    <w:lvl w:ilvl="0">
      <w:lvlJc w:val="left"/>
      <w:lvlText w:val="(%1)"/>
      <w:numFmt w:val="decimal"/>
      <w:start w:val="1"/>
    </w:lvl>
  </w:abstractNum>
  <w:abstractNum w:abstractNumId="73">
    <w:nsid w:val="8F2B15E"/>
    <w:multiLevelType w:val="hybridMultilevel"/>
    <w:lvl w:ilvl="0">
      <w:lvlJc w:val="left"/>
      <w:lvlText w:val="(%1)"/>
      <w:numFmt w:val="decimal"/>
      <w:start w:val="3"/>
    </w:lvl>
  </w:abstractNum>
  <w:abstractNum w:abstractNumId="74">
    <w:nsid w:val="1A32234B"/>
    <w:multiLevelType w:val="hybridMultilevel"/>
    <w:lvl w:ilvl="0">
      <w:lvlJc w:val="left"/>
      <w:lvlText w:val="•"/>
      <w:numFmt w:val="bullet"/>
      <w:start w:val="1"/>
    </w:lvl>
  </w:abstractNum>
  <w:abstractNum w:abstractNumId="75">
    <w:nsid w:val="3B0FD379"/>
    <w:multiLevelType w:val="hybridMultilevel"/>
    <w:lvl w:ilvl="0">
      <w:lvlJc w:val="left"/>
      <w:lvlText w:val="*"/>
      <w:numFmt w:val="bullet"/>
      <w:start w:val="1"/>
    </w:lvl>
  </w:abstractNum>
  <w:abstractNum w:abstractNumId="76">
    <w:nsid w:val="68EB2F63"/>
    <w:multiLevelType w:val="hybridMultilevel"/>
    <w:lvl w:ilvl="0">
      <w:lvlJc w:val="left"/>
      <w:lvlText w:val="(%1)"/>
      <w:numFmt w:val="decimal"/>
      <w:start w:val="1"/>
    </w:lvl>
  </w:abstractNum>
  <w:abstractNum w:abstractNumId="77">
    <w:nsid w:val="4962813B"/>
    <w:multiLevelType w:val="hybridMultilevel"/>
    <w:lvl w:ilvl="0">
      <w:lvlJc w:val="left"/>
      <w:lvlText w:val="%1."/>
      <w:numFmt w:val="decimal"/>
      <w:start w:val="1"/>
    </w:lvl>
  </w:abstractNum>
  <w:abstractNum w:abstractNumId="78">
    <w:nsid w:val="60B6DF70"/>
    <w:multiLevelType w:val="hybridMultilevel"/>
    <w:lvl w:ilvl="0">
      <w:lvlJc w:val="left"/>
      <w:lvlText w:val="•"/>
      <w:numFmt w:val="bullet"/>
      <w:start w:val="1"/>
    </w:lvl>
  </w:abstractNum>
  <w:abstractNum w:abstractNumId="79">
    <w:nsid w:val="6A5EE64"/>
    <w:multiLevelType w:val="hybridMultilevel"/>
    <w:lvl w:ilvl="0">
      <w:lvlJc w:val="left"/>
      <w:lvlText w:val="•"/>
      <w:numFmt w:val="bullet"/>
      <w:start w:val="1"/>
    </w:lvl>
  </w:abstractNum>
  <w:abstractNum w:abstractNumId="80">
    <w:nsid w:val="14330624"/>
    <w:multiLevelType w:val="hybridMultilevel"/>
    <w:lvl w:ilvl="0">
      <w:lvlJc w:val="left"/>
      <w:lvlText w:val="•"/>
      <w:numFmt w:val="bullet"/>
      <w:start w:val="1"/>
    </w:lvl>
  </w:abstractNum>
  <w:abstractNum w:abstractNumId="81">
    <w:nsid w:val="7FFFCA11"/>
    <w:multiLevelType w:val="hybridMultilevel"/>
    <w:lvl w:ilvl="0">
      <w:lvlJc w:val="left"/>
      <w:lvlText w:val="(%1)"/>
      <w:numFmt w:val="decimal"/>
      <w:start w:val="1"/>
    </w:lvl>
  </w:abstractNum>
  <w:abstractNum w:abstractNumId="82">
    <w:nsid w:val="1A27709E"/>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jpe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jpe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jpeg"/><Relationship Id="rId259" Type="http://schemas.openxmlformats.org/officeDocument/2006/relationships/image" Target="media/image252.jpeg"/><Relationship Id="rId260" Type="http://schemas.openxmlformats.org/officeDocument/2006/relationships/image" Target="media/image253.jpeg"/><Relationship Id="rId261" Type="http://schemas.openxmlformats.org/officeDocument/2006/relationships/image" Target="media/image254.jpeg"/><Relationship Id="rId262" Type="http://schemas.openxmlformats.org/officeDocument/2006/relationships/image" Target="media/image255.jpeg"/><Relationship Id="rId263" Type="http://schemas.openxmlformats.org/officeDocument/2006/relationships/image" Target="media/image256.jpeg"/><Relationship Id="rId264" Type="http://schemas.openxmlformats.org/officeDocument/2006/relationships/image" Target="media/image257.jpeg"/><Relationship Id="rId265" Type="http://schemas.openxmlformats.org/officeDocument/2006/relationships/image" Target="media/image258.jpeg"/><Relationship Id="rId266" Type="http://schemas.openxmlformats.org/officeDocument/2006/relationships/image" Target="media/image259.jpeg"/><Relationship Id="rId267" Type="http://schemas.openxmlformats.org/officeDocument/2006/relationships/image" Target="media/image260.jpeg"/><Relationship Id="rId268" Type="http://schemas.openxmlformats.org/officeDocument/2006/relationships/image" Target="media/image261.jpeg"/><Relationship Id="rId269" Type="http://schemas.openxmlformats.org/officeDocument/2006/relationships/image" Target="media/image262.jpeg"/><Relationship Id="rId270" Type="http://schemas.openxmlformats.org/officeDocument/2006/relationships/image" Target="media/image263.jpe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jpeg"/><Relationship Id="rId274" Type="http://schemas.openxmlformats.org/officeDocument/2006/relationships/image" Target="media/image267.jpeg"/><Relationship Id="rId275" Type="http://schemas.openxmlformats.org/officeDocument/2006/relationships/image" Target="media/image268.jpeg"/><Relationship Id="rId276" Type="http://schemas.openxmlformats.org/officeDocument/2006/relationships/image" Target="media/image269.jpeg"/><Relationship Id="rId277" Type="http://schemas.openxmlformats.org/officeDocument/2006/relationships/image" Target="media/image270.jpeg"/><Relationship Id="rId278" Type="http://schemas.openxmlformats.org/officeDocument/2006/relationships/image" Target="media/image271.jpeg"/><Relationship Id="rId279" Type="http://schemas.openxmlformats.org/officeDocument/2006/relationships/image" Target="media/image272.jpeg"/><Relationship Id="rId280" Type="http://schemas.openxmlformats.org/officeDocument/2006/relationships/image" Target="media/image273.jpe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jpeg"/><Relationship Id="rId285" Type="http://schemas.openxmlformats.org/officeDocument/2006/relationships/image" Target="media/image278.jpeg"/><Relationship Id="rId286" Type="http://schemas.openxmlformats.org/officeDocument/2006/relationships/image" Target="media/image279.jpeg"/><Relationship Id="rId287" Type="http://schemas.openxmlformats.org/officeDocument/2006/relationships/image" Target="media/image280.jpeg"/><Relationship Id="rId288" Type="http://schemas.openxmlformats.org/officeDocument/2006/relationships/image" Target="media/image281.jpeg"/><Relationship Id="rId289" Type="http://schemas.openxmlformats.org/officeDocument/2006/relationships/image" Target="media/image282.jpeg"/><Relationship Id="rId290" Type="http://schemas.openxmlformats.org/officeDocument/2006/relationships/image" Target="media/image283.jpeg"/><Relationship Id="rId291" Type="http://schemas.openxmlformats.org/officeDocument/2006/relationships/image" Target="media/image284.jpeg"/><Relationship Id="rId292" Type="http://schemas.openxmlformats.org/officeDocument/2006/relationships/image" Target="media/image285.jpeg"/><Relationship Id="rId293" Type="http://schemas.openxmlformats.org/officeDocument/2006/relationships/image" Target="media/image286.jpeg"/><Relationship Id="rId294" Type="http://schemas.openxmlformats.org/officeDocument/2006/relationships/image" Target="media/image287.jpeg"/><Relationship Id="rId295" Type="http://schemas.openxmlformats.org/officeDocument/2006/relationships/image" Target="media/image288.jpeg"/><Relationship Id="rId296" Type="http://schemas.openxmlformats.org/officeDocument/2006/relationships/image" Target="media/image289.jpeg"/><Relationship Id="rId297" Type="http://schemas.openxmlformats.org/officeDocument/2006/relationships/image" Target="media/image290.jpeg"/><Relationship Id="rId298" Type="http://schemas.openxmlformats.org/officeDocument/2006/relationships/image" Target="media/image291.jpeg"/><Relationship Id="rId299" Type="http://schemas.openxmlformats.org/officeDocument/2006/relationships/image" Target="media/image292.jpeg"/><Relationship Id="rId300" Type="http://schemas.openxmlformats.org/officeDocument/2006/relationships/image" Target="media/image293.jpeg"/><Relationship Id="rId301" Type="http://schemas.openxmlformats.org/officeDocument/2006/relationships/image" Target="media/image294.jpeg"/><Relationship Id="rId302" Type="http://schemas.openxmlformats.org/officeDocument/2006/relationships/image" Target="media/image295.jpeg"/><Relationship Id="rId303" Type="http://schemas.openxmlformats.org/officeDocument/2006/relationships/image" Target="media/image296.jpeg"/><Relationship Id="rId304" Type="http://schemas.openxmlformats.org/officeDocument/2006/relationships/image" Target="media/image297.jpeg"/><Relationship Id="rId305" Type="http://schemas.openxmlformats.org/officeDocument/2006/relationships/image" Target="media/image298.jpeg"/><Relationship Id="rId306" Type="http://schemas.openxmlformats.org/officeDocument/2006/relationships/image" Target="media/image299.jpeg"/><Relationship Id="rId307" Type="http://schemas.openxmlformats.org/officeDocument/2006/relationships/image" Target="media/image300.jpeg"/><Relationship Id="rId308" Type="http://schemas.openxmlformats.org/officeDocument/2006/relationships/image" Target="media/image301.jpeg"/><Relationship Id="rId309" Type="http://schemas.openxmlformats.org/officeDocument/2006/relationships/image" Target="media/image302.jpeg"/><Relationship Id="rId310" Type="http://schemas.openxmlformats.org/officeDocument/2006/relationships/image" Target="media/image303.jpeg"/><Relationship Id="rId311" Type="http://schemas.openxmlformats.org/officeDocument/2006/relationships/image" Target="media/image304.jpeg"/><Relationship Id="rId312" Type="http://schemas.openxmlformats.org/officeDocument/2006/relationships/image" Target="media/image305.jpe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jpe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jpeg"/><Relationship Id="rId327" Type="http://schemas.openxmlformats.org/officeDocument/2006/relationships/image" Target="media/image320.jpeg"/><Relationship Id="rId328" Type="http://schemas.openxmlformats.org/officeDocument/2006/relationships/image" Target="media/image321.jpe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jpeg"/><Relationship Id="rId332" Type="http://schemas.openxmlformats.org/officeDocument/2006/relationships/image" Target="media/image325.jpe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jpeg"/><Relationship Id="rId337" Type="http://schemas.openxmlformats.org/officeDocument/2006/relationships/image" Target="media/image330.jpeg"/><Relationship Id="rId338" Type="http://schemas.openxmlformats.org/officeDocument/2006/relationships/image" Target="media/image331.jpeg"/><Relationship Id="rId339" Type="http://schemas.openxmlformats.org/officeDocument/2006/relationships/image" Target="media/image332.jpeg"/><Relationship Id="rId340" Type="http://schemas.openxmlformats.org/officeDocument/2006/relationships/image" Target="media/image333.jpe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jpeg"/><Relationship Id="rId345" Type="http://schemas.openxmlformats.org/officeDocument/2006/relationships/image" Target="media/image338.jpeg"/><Relationship Id="rId346" Type="http://schemas.openxmlformats.org/officeDocument/2006/relationships/image" Target="media/image339.jpeg"/><Relationship Id="rId347" Type="http://schemas.openxmlformats.org/officeDocument/2006/relationships/image" Target="media/image340.png"/><Relationship Id="rId348" Type="http://schemas.openxmlformats.org/officeDocument/2006/relationships/image" Target="media/image341.jpe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jpeg"/><Relationship Id="rId352" Type="http://schemas.openxmlformats.org/officeDocument/2006/relationships/image" Target="media/image345.jpeg"/><Relationship Id="rId353" Type="http://schemas.openxmlformats.org/officeDocument/2006/relationships/image" Target="media/image346.jpeg"/><Relationship Id="rId354" Type="http://schemas.openxmlformats.org/officeDocument/2006/relationships/image" Target="media/image347.jpeg"/><Relationship Id="rId355" Type="http://schemas.openxmlformats.org/officeDocument/2006/relationships/image" Target="media/image348.jpe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jpeg"/><Relationship Id="rId359" Type="http://schemas.openxmlformats.org/officeDocument/2006/relationships/image" Target="media/image352.jpeg"/><Relationship Id="rId360" Type="http://schemas.openxmlformats.org/officeDocument/2006/relationships/image" Target="media/image353.jpeg"/><Relationship Id="rId361" Type="http://schemas.openxmlformats.org/officeDocument/2006/relationships/image" Target="media/image354.jpe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jpeg"/><Relationship Id="rId365" Type="http://schemas.openxmlformats.org/officeDocument/2006/relationships/image" Target="media/image358.jpeg"/><Relationship Id="rId366" Type="http://schemas.openxmlformats.org/officeDocument/2006/relationships/image" Target="media/image359.jpeg"/><Relationship Id="rId367" Type="http://schemas.openxmlformats.org/officeDocument/2006/relationships/image" Target="media/image360.jpeg"/><Relationship Id="rId368" Type="http://schemas.openxmlformats.org/officeDocument/2006/relationships/image" Target="media/image361.jpe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jpe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jpe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jpeg"/><Relationship Id="rId385" Type="http://schemas.openxmlformats.org/officeDocument/2006/relationships/image" Target="media/image378.jpe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jpeg"/><Relationship Id="rId389" Type="http://schemas.openxmlformats.org/officeDocument/2006/relationships/image" Target="media/image382.png"/><Relationship Id="rId390" Type="http://schemas.openxmlformats.org/officeDocument/2006/relationships/image" Target="media/image383.jpe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jpeg"/><Relationship Id="rId394" Type="http://schemas.openxmlformats.org/officeDocument/2006/relationships/image" Target="media/image387.png"/><Relationship Id="rId395" Type="http://schemas.openxmlformats.org/officeDocument/2006/relationships/image" Target="media/image388.jpeg"/><Relationship Id="rId396" Type="http://schemas.openxmlformats.org/officeDocument/2006/relationships/image" Target="media/image389.png"/><Relationship Id="rId397" Type="http://schemas.openxmlformats.org/officeDocument/2006/relationships/image" Target="media/image390.jpe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jpe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jpe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jpe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jpe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jpeg"/><Relationship Id="rId416" Type="http://schemas.openxmlformats.org/officeDocument/2006/relationships/image" Target="media/image409.jpeg"/><Relationship Id="rId417" Type="http://schemas.openxmlformats.org/officeDocument/2006/relationships/image" Target="media/image410.jpeg"/><Relationship Id="rId418" Type="http://schemas.openxmlformats.org/officeDocument/2006/relationships/image" Target="media/image411.jpeg"/><Relationship Id="rId419" Type="http://schemas.openxmlformats.org/officeDocument/2006/relationships/image" Target="media/image412.jpeg"/><Relationship Id="rId420" Type="http://schemas.openxmlformats.org/officeDocument/2006/relationships/image" Target="media/image413.jpe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jpe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jpe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jpe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jpe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jpe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jpeg"/><Relationship Id="rId447" Type="http://schemas.openxmlformats.org/officeDocument/2006/relationships/image" Target="media/image440.jpe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jpeg"/><Relationship Id="rId453" Type="http://schemas.openxmlformats.org/officeDocument/2006/relationships/image" Target="media/image446.png"/><Relationship Id="rId454" Type="http://schemas.openxmlformats.org/officeDocument/2006/relationships/image" Target="media/image447.jpe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jpe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jpe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jpe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jpe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jpe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jpeg"/><Relationship Id="rId480" Type="http://schemas.openxmlformats.org/officeDocument/2006/relationships/image" Target="media/image473.png"/><Relationship Id="rId481" Type="http://schemas.openxmlformats.org/officeDocument/2006/relationships/image" Target="media/image474.jpe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jpeg"/><Relationship Id="rId485" Type="http://schemas.openxmlformats.org/officeDocument/2006/relationships/image" Target="media/image478.png"/><Relationship Id="rId486" Type="http://schemas.openxmlformats.org/officeDocument/2006/relationships/image" Target="media/image479.jpe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jpeg"/><Relationship Id="rId490" Type="http://schemas.openxmlformats.org/officeDocument/2006/relationships/image" Target="media/image483.jpe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jpe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jpeg"/><Relationship Id="rId497" Type="http://schemas.openxmlformats.org/officeDocument/2006/relationships/image" Target="media/image490.png"/><Relationship Id="rId498" Type="http://schemas.openxmlformats.org/officeDocument/2006/relationships/image" Target="media/image491.jpe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jpeg"/><Relationship Id="rId502" Type="http://schemas.openxmlformats.org/officeDocument/2006/relationships/image" Target="media/image495.png"/><Relationship Id="rId503" Type="http://schemas.openxmlformats.org/officeDocument/2006/relationships/image" Target="media/image496.jpe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jpeg"/><Relationship Id="rId507" Type="http://schemas.openxmlformats.org/officeDocument/2006/relationships/image" Target="media/image500.png"/><Relationship Id="rId508" Type="http://schemas.openxmlformats.org/officeDocument/2006/relationships/image" Target="media/image501.jpe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jpe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jpeg"/><Relationship Id="rId515" Type="http://schemas.openxmlformats.org/officeDocument/2006/relationships/image" Target="media/image508.jpeg"/><Relationship Id="rId516" Type="http://schemas.openxmlformats.org/officeDocument/2006/relationships/image" Target="media/image509.jpeg"/><Relationship Id="rId517" Type="http://schemas.openxmlformats.org/officeDocument/2006/relationships/image" Target="media/image510.jpe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jpe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jpe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jpeg"/><Relationship Id="rId528" Type="http://schemas.openxmlformats.org/officeDocument/2006/relationships/image" Target="media/image521.png"/><Relationship Id="rId529" Type="http://schemas.openxmlformats.org/officeDocument/2006/relationships/image" Target="media/image522.jpe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jpeg"/><Relationship Id="rId533" Type="http://schemas.openxmlformats.org/officeDocument/2006/relationships/image" Target="media/image526.png"/><Relationship Id="rId534" Type="http://schemas.openxmlformats.org/officeDocument/2006/relationships/image" Target="media/image527.jpe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jpeg"/><Relationship Id="rId538" Type="http://schemas.openxmlformats.org/officeDocument/2006/relationships/image" Target="media/image531.png"/><Relationship Id="rId539" Type="http://schemas.openxmlformats.org/officeDocument/2006/relationships/image" Target="media/image532.jpe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jpeg"/><Relationship Id="rId543" Type="http://schemas.openxmlformats.org/officeDocument/2006/relationships/image" Target="media/image536.png"/><Relationship Id="rId544" Type="http://schemas.openxmlformats.org/officeDocument/2006/relationships/image" Target="media/image537.jpe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jpeg"/><Relationship Id="rId552" Type="http://schemas.openxmlformats.org/officeDocument/2006/relationships/image" Target="media/image545.png"/><Relationship Id="rId553" Type="http://schemas.openxmlformats.org/officeDocument/2006/relationships/image" Target="media/image546.jpe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jpeg"/><Relationship Id="rId557" Type="http://schemas.openxmlformats.org/officeDocument/2006/relationships/image" Target="media/image550.png"/><Relationship Id="rId558" Type="http://schemas.openxmlformats.org/officeDocument/2006/relationships/image" Target="media/image551.jpe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jpeg"/><Relationship Id="rId562" Type="http://schemas.openxmlformats.org/officeDocument/2006/relationships/image" Target="media/image555.png"/><Relationship Id="rId563" Type="http://schemas.openxmlformats.org/officeDocument/2006/relationships/image" Target="media/image556.jpe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jpeg"/><Relationship Id="rId567" Type="http://schemas.openxmlformats.org/officeDocument/2006/relationships/image" Target="media/image560.png"/><Relationship Id="rId568" Type="http://schemas.openxmlformats.org/officeDocument/2006/relationships/image" Target="media/image561.jpe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2025-10-10T15:24:46Z</dcterms:created>
  <dcterms:modified xsi:type="dcterms:W3CDTF">2025-10-10T15:24:46Z</dcterms:modified>
</cp:coreProperties>
</file>