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97" w:lineRule="exact"/>
        <w:rPr>
          <w:sz w:val="24"/>
          <w:szCs w:val="24"/>
          <w:color w:val="auto"/>
        </w:rPr>
      </w:pPr>
    </w:p>
    <w:p>
      <w:pPr>
        <w:ind w:left="60"/>
        <w:spacing w:after="0" w:line="228" w:lineRule="exact"/>
        <w:rPr>
          <w:sz w:val="24"/>
          <w:szCs w:val="24"/>
          <w:color w:val="auto"/>
        </w:rPr>
      </w:pPr>
      <w:r>
        <w:rPr>
          <w:rFonts w:ascii="Arial Unicode MS" w:cs="Arial Unicode MS" w:eastAsia="Arial Unicode MS" w:hAnsi="Arial Unicode MS"/>
          <w:sz w:val="17"/>
          <w:szCs w:val="17"/>
          <w:color w:val="auto"/>
        </w:rPr>
        <w:t>☒</w:t>
      </w:r>
      <w:r>
        <w:rPr>
          <w:rFonts w:ascii="Arial" w:cs="Arial" w:eastAsia="Arial" w:hAnsi="Arial"/>
          <w:sz w:val="17"/>
          <w:szCs w:val="17"/>
          <w:b w:val="1"/>
          <w:bCs w:val="1"/>
          <w:color w:val="auto"/>
        </w:rPr>
        <w:t xml:space="preserve"> QUARTERLY REPORT PURSUANT TO SECTION 13 OR 15 (d) OF THE SECURITIES EXCHANGE ACT OF 1934</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31, 2018</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OR</w:t>
      </w:r>
    </w:p>
    <w:p>
      <w:pPr>
        <w:spacing w:after="0" w:line="191" w:lineRule="exact"/>
        <w:rPr>
          <w:sz w:val="24"/>
          <w:szCs w:val="24"/>
          <w:color w:val="auto"/>
        </w:rPr>
      </w:pPr>
    </w:p>
    <w:p>
      <w:pPr>
        <w:ind w:left="60"/>
        <w:spacing w:after="0" w:line="228" w:lineRule="exact"/>
        <w:rPr>
          <w:sz w:val="24"/>
          <w:szCs w:val="24"/>
          <w:color w:val="auto"/>
        </w:rPr>
      </w:pPr>
      <w:r>
        <w:rPr>
          <w:rFonts w:ascii="Arial Unicode MS" w:cs="Arial Unicode MS" w:eastAsia="Arial Unicode MS" w:hAnsi="Arial Unicode MS"/>
          <w:sz w:val="17"/>
          <w:szCs w:val="17"/>
          <w:color w:val="auto"/>
        </w:rPr>
        <w:t>☐</w:t>
      </w:r>
      <w:r>
        <w:rPr>
          <w:rFonts w:ascii="Arial" w:cs="Arial" w:eastAsia="Arial" w:hAnsi="Arial"/>
          <w:sz w:val="17"/>
          <w:szCs w:val="17"/>
          <w:b w:val="1"/>
          <w:bCs w:val="1"/>
          <w:color w:val="auto"/>
        </w:rPr>
        <w:t xml:space="preserve"> TRANSITION REPORT PURSUANT TO SECTION 13 OR 15 (d) OF THE EXCHANGE ACT OF 1934</w:t>
      </w:r>
    </w:p>
    <w:p>
      <w:pPr>
        <w:spacing w:after="0" w:line="204" w:lineRule="exact"/>
        <w:rPr>
          <w:sz w:val="24"/>
          <w:szCs w:val="24"/>
          <w:color w:val="auto"/>
        </w:rPr>
      </w:pPr>
    </w:p>
    <w:tbl>
      <w:tblPr>
        <w:tblLayout w:type="fixed"/>
        <w:tblInd w:w="180" w:type="dxa"/>
        <w:tblCellMar>
          <w:top w:w="0" w:type="dxa"/>
          <w:left w:w="0" w:type="dxa"/>
          <w:bottom w:w="0" w:type="dxa"/>
          <w:right w:w="0" w:type="dxa"/>
        </w:tblCellMar>
      </w:tblPr>
      <w:tr>
        <w:trPr>
          <w:trHeight w:val="222"/>
        </w:trPr>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740" w:type="dxa"/>
            <w:vAlign w:val="bottom"/>
            <w:gridSpan w:val="4"/>
          </w:tcPr>
          <w:p>
            <w:pPr>
              <w:ind w:left="480"/>
              <w:spacing w:after="0"/>
              <w:rPr>
                <w:sz w:val="20"/>
                <w:szCs w:val="20"/>
                <w:color w:val="auto"/>
              </w:rPr>
            </w:pPr>
            <w:r>
              <w:rPr>
                <w:rFonts w:ascii="Arial" w:cs="Arial" w:eastAsia="Arial" w:hAnsi="Arial"/>
                <w:sz w:val="17"/>
                <w:szCs w:val="17"/>
                <w:b w:val="1"/>
                <w:bCs w:val="1"/>
                <w:color w:val="auto"/>
              </w:rPr>
              <w:t>For the transition period from</w:t>
            </w:r>
          </w:p>
        </w:tc>
        <w:tc>
          <w:tcPr>
            <w:tcW w:w="2620" w:type="dxa"/>
            <w:vAlign w:val="bottom"/>
            <w:gridSpan w:val="6"/>
          </w:tcPr>
          <w:p>
            <w:pPr>
              <w:ind w:left="100"/>
              <w:spacing w:after="0"/>
              <w:rPr>
                <w:sz w:val="20"/>
                <w:szCs w:val="20"/>
                <w:color w:val="auto"/>
              </w:rPr>
            </w:pPr>
            <w:r>
              <w:rPr>
                <w:rFonts w:ascii="Arial" w:cs="Arial" w:eastAsia="Arial" w:hAnsi="Arial"/>
                <w:sz w:val="17"/>
                <w:szCs w:val="17"/>
                <w:b w:val="1"/>
                <w:bCs w:val="1"/>
                <w:color w:val="auto"/>
              </w:rPr>
              <w:t>to</w:t>
            </w:r>
          </w:p>
        </w:tc>
      </w:tr>
      <w:tr>
        <w:trPr>
          <w:trHeight w:val="405"/>
        </w:trPr>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0" w:type="dxa"/>
            <w:vAlign w:val="bottom"/>
            <w:gridSpan w:val="9"/>
          </w:tcPr>
          <w:p>
            <w:pPr>
              <w:jc w:val="center"/>
              <w:ind w:right="1740"/>
              <w:spacing w:after="0"/>
              <w:rPr>
                <w:sz w:val="20"/>
                <w:szCs w:val="20"/>
                <w:color w:val="auto"/>
              </w:rPr>
            </w:pPr>
            <w:r>
              <w:rPr>
                <w:rFonts w:ascii="Arial" w:cs="Arial" w:eastAsia="Arial" w:hAnsi="Arial"/>
                <w:sz w:val="17"/>
                <w:szCs w:val="17"/>
                <w:b w:val="1"/>
                <w:bCs w:val="1"/>
                <w:color w:val="auto"/>
                <w:w w:val="90"/>
              </w:rPr>
              <w:t>Commission file number 001-33365</w:t>
            </w:r>
          </w:p>
        </w:tc>
      </w:tr>
      <w:tr>
        <w:trPr>
          <w:trHeight w:val="405"/>
        </w:trPr>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80" w:type="dxa"/>
            <w:vAlign w:val="bottom"/>
            <w:gridSpan w:val="2"/>
          </w:tcPr>
          <w:p>
            <w:pPr>
              <w:jc w:val="center"/>
              <w:ind w:left="115"/>
              <w:spacing w:after="0"/>
              <w:rPr>
                <w:sz w:val="20"/>
                <w:szCs w:val="20"/>
                <w:color w:val="auto"/>
              </w:rPr>
            </w:pPr>
            <w:r>
              <w:rPr>
                <w:rFonts w:ascii="Arial" w:cs="Arial" w:eastAsia="Arial" w:hAnsi="Arial"/>
                <w:sz w:val="17"/>
                <w:szCs w:val="17"/>
                <w:b w:val="1"/>
                <w:bCs w:val="1"/>
                <w:color w:val="auto"/>
                <w:w w:val="88"/>
              </w:rPr>
              <w:t>USA Technologies, Inc.</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19"/>
        </w:trPr>
        <w:tc>
          <w:tcPr>
            <w:tcW w:w="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2"/>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307"/>
        </w:trPr>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0" w:type="dxa"/>
            <w:vAlign w:val="bottom"/>
            <w:gridSpan w:val="9"/>
          </w:tcPr>
          <w:p>
            <w:pPr>
              <w:jc w:val="center"/>
              <w:ind w:right="1740"/>
              <w:spacing w:after="0"/>
              <w:rPr>
                <w:sz w:val="20"/>
                <w:szCs w:val="20"/>
                <w:color w:val="auto"/>
              </w:rPr>
            </w:pPr>
            <w:r>
              <w:rPr>
                <w:rFonts w:ascii="Arial" w:cs="Arial" w:eastAsia="Arial" w:hAnsi="Arial"/>
                <w:sz w:val="17"/>
                <w:szCs w:val="17"/>
                <w:color w:val="auto"/>
                <w:w w:val="91"/>
              </w:rPr>
              <w:t>(Exact name of registrant as specified in its charter)</w:t>
            </w:r>
          </w:p>
        </w:tc>
      </w:tr>
      <w:tr>
        <w:trPr>
          <w:trHeight w:val="369"/>
        </w:trPr>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740" w:type="dxa"/>
            <w:vAlign w:val="bottom"/>
            <w:gridSpan w:val="4"/>
          </w:tcPr>
          <w:p>
            <w:pPr>
              <w:jc w:val="center"/>
              <w:ind w:right="2780"/>
              <w:spacing w:after="0"/>
              <w:rPr>
                <w:sz w:val="20"/>
                <w:szCs w:val="20"/>
                <w:color w:val="auto"/>
              </w:rPr>
            </w:pPr>
            <w:r>
              <w:rPr>
                <w:rFonts w:ascii="Arial" w:cs="Arial" w:eastAsia="Arial" w:hAnsi="Arial"/>
                <w:sz w:val="17"/>
                <w:szCs w:val="17"/>
                <w:b w:val="1"/>
                <w:bCs w:val="1"/>
                <w:color w:val="auto"/>
                <w:w w:val="88"/>
              </w:rPr>
              <w:t>Pennsylvania</w:t>
            </w:r>
          </w:p>
        </w:tc>
        <w:tc>
          <w:tcPr>
            <w:tcW w:w="2620" w:type="dxa"/>
            <w:vAlign w:val="bottom"/>
            <w:gridSpan w:val="6"/>
          </w:tcPr>
          <w:p>
            <w:pPr>
              <w:jc w:val="center"/>
              <w:ind w:left="35"/>
              <w:spacing w:after="0"/>
              <w:rPr>
                <w:sz w:val="20"/>
                <w:szCs w:val="20"/>
                <w:color w:val="auto"/>
              </w:rPr>
            </w:pPr>
            <w:r>
              <w:rPr>
                <w:rFonts w:ascii="Arial" w:cs="Arial" w:eastAsia="Arial" w:hAnsi="Arial"/>
                <w:sz w:val="17"/>
                <w:szCs w:val="17"/>
                <w:b w:val="1"/>
                <w:bCs w:val="1"/>
                <w:color w:val="auto"/>
                <w:w w:val="90"/>
              </w:rPr>
              <w:t>23-2679963</w:t>
            </w:r>
          </w:p>
        </w:tc>
      </w:tr>
      <w:tr>
        <w:trPr>
          <w:trHeight w:val="20"/>
        </w:trPr>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9"/>
        </w:trPr>
        <w:tc>
          <w:tcPr>
            <w:tcW w:w="5300" w:type="dxa"/>
            <w:vAlign w:val="bottom"/>
            <w:gridSpan w:val="6"/>
          </w:tcPr>
          <w:p>
            <w:pPr>
              <w:jc w:val="center"/>
              <w:ind w:right="1220"/>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2620" w:type="dxa"/>
            <w:vAlign w:val="bottom"/>
            <w:gridSpan w:val="6"/>
          </w:tcPr>
          <w:p>
            <w:pPr>
              <w:jc w:val="center"/>
              <w:ind w:left="35"/>
              <w:spacing w:after="0"/>
              <w:rPr>
                <w:sz w:val="20"/>
                <w:szCs w:val="20"/>
                <w:color w:val="auto"/>
              </w:rPr>
            </w:pPr>
            <w:r>
              <w:rPr>
                <w:rFonts w:ascii="Arial" w:cs="Arial" w:eastAsia="Arial" w:hAnsi="Arial"/>
                <w:sz w:val="17"/>
                <w:szCs w:val="17"/>
                <w:color w:val="auto"/>
                <w:w w:val="95"/>
              </w:rPr>
              <w:t>(I.R.S. Employer Identification No.)</w:t>
            </w:r>
          </w:p>
        </w:tc>
      </w:tr>
      <w:tr>
        <w:trPr>
          <w:trHeight w:val="382"/>
        </w:trPr>
        <w:tc>
          <w:tcPr>
            <w:tcW w:w="80" w:type="dxa"/>
            <w:vAlign w:val="bottom"/>
          </w:tcPr>
          <w:p>
            <w:pPr>
              <w:spacing w:after="0"/>
              <w:rPr>
                <w:sz w:val="24"/>
                <w:szCs w:val="24"/>
                <w:color w:val="auto"/>
              </w:rPr>
            </w:pPr>
          </w:p>
        </w:tc>
        <w:tc>
          <w:tcPr>
            <w:tcW w:w="392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1"/>
              </w:rPr>
              <w:t>100 Deerfield Lane, Suite 300, Malvern, Pennsylvania</w:t>
            </w:r>
          </w:p>
        </w:tc>
        <w:tc>
          <w:tcPr>
            <w:tcW w:w="1300" w:type="dxa"/>
            <w:vAlign w:val="bottom"/>
          </w:tcPr>
          <w:p>
            <w:pPr>
              <w:spacing w:after="0"/>
              <w:rPr>
                <w:sz w:val="24"/>
                <w:szCs w:val="24"/>
                <w:color w:val="auto"/>
              </w:rPr>
            </w:pPr>
          </w:p>
        </w:tc>
        <w:tc>
          <w:tcPr>
            <w:tcW w:w="1140" w:type="dxa"/>
            <w:vAlign w:val="bottom"/>
            <w:gridSpan w:val="3"/>
          </w:tcPr>
          <w:p>
            <w:pPr>
              <w:spacing w:after="0"/>
              <w:rPr>
                <w:sz w:val="24"/>
                <w:szCs w:val="2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19355</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9"/>
        </w:trPr>
        <w:tc>
          <w:tcPr>
            <w:tcW w:w="80" w:type="dxa"/>
            <w:vAlign w:val="bottom"/>
          </w:tcPr>
          <w:p>
            <w:pPr>
              <w:spacing w:after="0"/>
              <w:rPr>
                <w:sz w:val="19"/>
                <w:szCs w:val="19"/>
                <w:color w:val="auto"/>
              </w:rPr>
            </w:pPr>
          </w:p>
        </w:tc>
        <w:tc>
          <w:tcPr>
            <w:tcW w:w="5220" w:type="dxa"/>
            <w:vAlign w:val="bottom"/>
            <w:gridSpan w:val="5"/>
          </w:tcPr>
          <w:p>
            <w:pPr>
              <w:jc w:val="center"/>
              <w:ind w:right="1300"/>
              <w:spacing w:after="0"/>
              <w:rPr>
                <w:sz w:val="20"/>
                <w:szCs w:val="20"/>
                <w:color w:val="auto"/>
              </w:rPr>
            </w:pPr>
            <w:r>
              <w:rPr>
                <w:rFonts w:ascii="Arial" w:cs="Arial" w:eastAsia="Arial" w:hAnsi="Arial"/>
                <w:sz w:val="17"/>
                <w:szCs w:val="17"/>
                <w:color w:val="auto"/>
                <w:w w:val="93"/>
              </w:rPr>
              <w:t>(Address of principal executive offices)</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60" w:type="dxa"/>
            <w:vAlign w:val="bottom"/>
            <w:gridSpan w:val="4"/>
          </w:tcPr>
          <w:p>
            <w:pPr>
              <w:jc w:val="center"/>
              <w:ind w:right="860"/>
              <w:spacing w:after="0"/>
              <w:rPr>
                <w:sz w:val="20"/>
                <w:szCs w:val="20"/>
                <w:color w:val="auto"/>
              </w:rPr>
            </w:pPr>
            <w:r>
              <w:rPr>
                <w:rFonts w:ascii="Arial" w:cs="Arial" w:eastAsia="Arial" w:hAnsi="Arial"/>
                <w:sz w:val="17"/>
                <w:szCs w:val="17"/>
                <w:color w:val="auto"/>
                <w:w w:val="94"/>
              </w:rPr>
              <w:t>(Zip Code)</w:t>
            </w:r>
          </w:p>
        </w:tc>
      </w:tr>
      <w:tr>
        <w:trPr>
          <w:trHeight w:val="405"/>
        </w:trPr>
        <w:tc>
          <w:tcPr>
            <w:tcW w:w="5300" w:type="dxa"/>
            <w:vAlign w:val="bottom"/>
            <w:gridSpan w:val="6"/>
          </w:tcPr>
          <w:p>
            <w:pPr>
              <w:jc w:val="center"/>
              <w:ind w:left="3315"/>
              <w:spacing w:after="0"/>
              <w:rPr>
                <w:sz w:val="20"/>
                <w:szCs w:val="20"/>
                <w:color w:val="auto"/>
              </w:rPr>
            </w:pPr>
            <w:r>
              <w:rPr>
                <w:rFonts w:ascii="Arial" w:cs="Arial" w:eastAsia="Arial" w:hAnsi="Arial"/>
                <w:sz w:val="17"/>
                <w:szCs w:val="17"/>
                <w:b w:val="1"/>
                <w:bCs w:val="1"/>
                <w:color w:val="auto"/>
                <w:w w:val="91"/>
              </w:rPr>
              <w:t>(610) 989-0340</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71120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183" w:lineRule="exact"/>
        <w:rPr>
          <w:sz w:val="24"/>
          <w:szCs w:val="24"/>
          <w:color w:val="auto"/>
        </w:rPr>
      </w:pPr>
    </w:p>
    <w:p>
      <w:pPr>
        <w:jc w:val="both"/>
        <w:spacing w:after="0" w:line="19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w:t>
      </w:r>
    </w:p>
    <w:p>
      <w:pPr>
        <w:spacing w:after="0" w:line="117" w:lineRule="exact"/>
        <w:rPr>
          <w:sz w:val="24"/>
          <w:szCs w:val="24"/>
          <w:color w:val="auto"/>
        </w:rPr>
      </w:pPr>
    </w:p>
    <w:p>
      <w:pPr>
        <w:jc w:val="both"/>
        <w:spacing w:after="0" w:line="196"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No</w:t>
      </w:r>
    </w:p>
    <w:p>
      <w:pPr>
        <w:spacing w:after="0" w:line="115" w:lineRule="exact"/>
        <w:rPr>
          <w:sz w:val="24"/>
          <w:szCs w:val="24"/>
          <w:color w:val="auto"/>
        </w:rPr>
      </w:pPr>
    </w:p>
    <w:p>
      <w:pPr>
        <w:jc w:val="both"/>
        <w:spacing w:after="0" w:line="23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20" w:type="dxa"/>
            <w:vAlign w:val="bottom"/>
          </w:tcPr>
          <w:p>
            <w:pPr>
              <w:spacing w:after="0"/>
              <w:rPr>
                <w:sz w:val="19"/>
                <w:szCs w:val="19"/>
                <w:color w:val="auto"/>
              </w:rPr>
            </w:pPr>
          </w:p>
        </w:tc>
        <w:tc>
          <w:tcPr>
            <w:tcW w:w="3160" w:type="dxa"/>
            <w:vAlign w:val="bottom"/>
          </w:tcPr>
          <w:p>
            <w:pPr>
              <w:ind w:left="100"/>
              <w:spacing w:after="0"/>
              <w:rPr>
                <w:sz w:val="20"/>
                <w:szCs w:val="20"/>
                <w:color w:val="auto"/>
              </w:rPr>
            </w:pPr>
            <w:r>
              <w:rPr>
                <w:rFonts w:ascii="Arial" w:cs="Arial" w:eastAsia="Arial" w:hAnsi="Arial"/>
                <w:sz w:val="17"/>
                <w:szCs w:val="17"/>
                <w:color w:val="auto"/>
              </w:rPr>
              <w:t>Accelerated filer</w:t>
            </w:r>
          </w:p>
        </w:tc>
        <w:tc>
          <w:tcPr>
            <w:tcW w:w="1360" w:type="dxa"/>
            <w:vAlign w:val="bottom"/>
          </w:tcPr>
          <w:p>
            <w:pPr>
              <w:jc w:val="right"/>
              <w:spacing w:after="0" w:line="228" w:lineRule="exact"/>
              <w:rPr>
                <w:sz w:val="20"/>
                <w:szCs w:val="20"/>
                <w:color w:val="auto"/>
              </w:rPr>
            </w:pPr>
            <w:r>
              <w:rPr>
                <w:rFonts w:ascii="Arial Unicode MS" w:cs="Arial Unicode MS" w:eastAsia="Arial Unicode MS" w:hAnsi="Arial Unicode MS"/>
                <w:sz w:val="17"/>
                <w:szCs w:val="17"/>
                <w:color w:val="auto"/>
              </w:rPr>
              <w:t>☒</w:t>
            </w:r>
          </w:p>
        </w:tc>
        <w:tc>
          <w:tcPr>
            <w:tcW w:w="0" w:type="dxa"/>
            <w:vAlign w:val="bottom"/>
          </w:tcPr>
          <w:p>
            <w:pPr>
              <w:spacing w:after="0"/>
              <w:rPr>
                <w:sz w:val="1"/>
                <w:szCs w:val="1"/>
                <w:color w:val="auto"/>
              </w:rPr>
            </w:pPr>
          </w:p>
        </w:tc>
      </w:tr>
      <w:tr>
        <w:trPr>
          <w:trHeight w:val="235"/>
        </w:trPr>
        <w:tc>
          <w:tcPr>
            <w:tcW w:w="4120" w:type="dxa"/>
            <w:vAlign w:val="bottom"/>
          </w:tcPr>
          <w:p>
            <w:pPr>
              <w:spacing w:after="0"/>
              <w:rPr>
                <w:sz w:val="20"/>
                <w:szCs w:val="20"/>
                <w:color w:val="auto"/>
              </w:rPr>
            </w:pPr>
            <w:r>
              <w:rPr>
                <w:rFonts w:ascii="Arial" w:cs="Arial" w:eastAsia="Arial" w:hAnsi="Arial"/>
                <w:sz w:val="17"/>
                <w:szCs w:val="17"/>
                <w:color w:val="auto"/>
                <w:w w:val="96"/>
              </w:rPr>
              <w:t>Non-accelerated filer (Do not check if a smaller reporting</w:t>
            </w:r>
          </w:p>
        </w:tc>
        <w:tc>
          <w:tcPr>
            <w:tcW w:w="420" w:type="dxa"/>
            <w:vAlign w:val="bottom"/>
          </w:tcPr>
          <w:p>
            <w:pPr>
              <w:spacing w:after="0"/>
              <w:rPr>
                <w:sz w:val="20"/>
                <w:szCs w:val="20"/>
                <w:color w:val="auto"/>
              </w:rPr>
            </w:pPr>
          </w:p>
        </w:tc>
        <w:tc>
          <w:tcPr>
            <w:tcW w:w="3160" w:type="dxa"/>
            <w:vAlign w:val="bottom"/>
          </w:tcPr>
          <w:p>
            <w:pPr>
              <w:ind w:left="100"/>
              <w:spacing w:after="0"/>
              <w:rPr>
                <w:sz w:val="20"/>
                <w:szCs w:val="20"/>
                <w:color w:val="auto"/>
              </w:rPr>
            </w:pPr>
            <w:r>
              <w:rPr>
                <w:rFonts w:ascii="Arial" w:cs="Arial" w:eastAsia="Arial" w:hAnsi="Arial"/>
                <w:sz w:val="17"/>
                <w:szCs w:val="17"/>
                <w:color w:val="auto"/>
              </w:rPr>
              <w:t>Smaller reporting company</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company)</w:t>
            </w:r>
          </w:p>
        </w:tc>
        <w:tc>
          <w:tcPr>
            <w:tcW w:w="420" w:type="dxa"/>
            <w:vAlign w:val="bottom"/>
            <w:vMerge w:val="restart"/>
          </w:tcPr>
          <w:p>
            <w:pPr>
              <w:spacing w:after="0"/>
              <w:rPr>
                <w:sz w:val="17"/>
                <w:szCs w:val="17"/>
                <w:color w:val="auto"/>
              </w:rPr>
            </w:pPr>
          </w:p>
        </w:tc>
        <w:tc>
          <w:tcPr>
            <w:tcW w:w="3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420" w:type="dxa"/>
            <w:vAlign w:val="bottom"/>
            <w:vMerge w:val="continue"/>
          </w:tcPr>
          <w:p>
            <w:pPr>
              <w:spacing w:after="0"/>
              <w:rPr>
                <w:sz w:val="21"/>
                <w:szCs w:val="21"/>
                <w:color w:val="auto"/>
              </w:rPr>
            </w:pPr>
          </w:p>
        </w:tc>
        <w:tc>
          <w:tcPr>
            <w:tcW w:w="3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5" w:lineRule="exact"/>
        <w:rPr>
          <w:sz w:val="24"/>
          <w:szCs w:val="24"/>
          <w:color w:val="auto"/>
        </w:rPr>
      </w:pPr>
    </w:p>
    <w:p>
      <w:pPr>
        <w:ind w:right="280"/>
        <w:spacing w:after="0" w:line="305"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56" w:lineRule="exact"/>
        <w:rPr>
          <w:sz w:val="24"/>
          <w:szCs w:val="24"/>
          <w:color w:val="auto"/>
        </w:rPr>
      </w:pPr>
    </w:p>
    <w:p>
      <w:pPr>
        <w:ind w:right="1080"/>
        <w:spacing w:after="0" w:line="269"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No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As of May 1, 2018 there were 53,67</w:t>
      </w:r>
      <w:r>
        <w:rPr>
          <w:rFonts w:ascii="Arial" w:cs="Arial" w:eastAsia="Arial" w:hAnsi="Arial"/>
          <w:sz w:val="18"/>
          <w:szCs w:val="18"/>
          <w:color w:val="auto"/>
        </w:rPr>
        <w:t>0,467</w:t>
      </w:r>
      <w:r>
        <w:rPr>
          <w:rFonts w:ascii="Arial" w:cs="Arial" w:eastAsia="Arial" w:hAnsi="Arial"/>
          <w:sz w:val="17"/>
          <w:szCs w:val="17"/>
          <w:color w:val="auto"/>
        </w:rPr>
        <w:t xml:space="preserve">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5754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77470</wp:posOffset>
            </wp:positionV>
            <wp:extent cx="575437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652145</wp:posOffset>
            </wp:positionV>
            <wp:extent cx="57543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233" w:right="1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240" w:type="dxa"/>
            <w:vAlign w:val="bottom"/>
            <w:gridSpan w:val="18"/>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820" w:type="dxa"/>
            <w:vAlign w:val="bottom"/>
          </w:tcPr>
          <w:p>
            <w:pPr>
              <w:spacing w:after="0"/>
              <w:rPr>
                <w:sz w:val="17"/>
                <w:szCs w:val="17"/>
                <w:color w:val="auto"/>
              </w:rPr>
            </w:pPr>
          </w:p>
        </w:tc>
      </w:tr>
      <w:tr>
        <w:trPr>
          <w:trHeight w:val="758"/>
        </w:trPr>
        <w:tc>
          <w:tcPr>
            <w:tcW w:w="52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500" w:type="dxa"/>
            <w:vAlign w:val="bottom"/>
            <w:tcBorders>
              <w:top w:val="single" w:sz="8" w:color="0563C1"/>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20" w:type="dxa"/>
            <w:vAlign w:val="bottom"/>
            <w:gridSpan w:val="7"/>
          </w:tcPr>
          <w:p>
            <w:pPr>
              <w:jc w:val="center"/>
              <w:ind w:right="1300"/>
              <w:spacing w:after="0"/>
              <w:rPr>
                <w:sz w:val="20"/>
                <w:szCs w:val="20"/>
                <w:color w:val="auto"/>
              </w:rPr>
            </w:pPr>
            <w:r>
              <w:rPr>
                <w:rFonts w:ascii="Arial" w:cs="Arial" w:eastAsia="Arial" w:hAnsi="Arial"/>
                <w:sz w:val="18"/>
                <w:szCs w:val="18"/>
                <w:b w:val="1"/>
                <w:bCs w:val="1"/>
                <w:color w:val="auto"/>
              </w:rPr>
              <w:t>USA TECHNOLOGIES, INC.</w:t>
            </w:r>
          </w:p>
        </w:tc>
        <w:tc>
          <w:tcPr>
            <w:tcW w:w="1820" w:type="dxa"/>
            <w:vAlign w:val="bottom"/>
          </w:tcPr>
          <w:p>
            <w:pPr>
              <w:spacing w:after="0"/>
              <w:rPr>
                <w:sz w:val="24"/>
                <w:szCs w:val="24"/>
                <w:color w:val="auto"/>
              </w:rPr>
            </w:pPr>
          </w:p>
        </w:tc>
      </w:tr>
      <w:tr>
        <w:trPr>
          <w:trHeight w:val="234"/>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20" w:type="dxa"/>
            <w:vAlign w:val="bottom"/>
            <w:gridSpan w:val="7"/>
          </w:tcPr>
          <w:p>
            <w:pPr>
              <w:jc w:val="center"/>
              <w:ind w:right="1280"/>
              <w:spacing w:after="0"/>
              <w:rPr>
                <w:sz w:val="20"/>
                <w:szCs w:val="20"/>
                <w:color w:val="auto"/>
              </w:rPr>
            </w:pPr>
            <w:r>
              <w:rPr>
                <w:rFonts w:ascii="Arial" w:cs="Arial" w:eastAsia="Arial" w:hAnsi="Arial"/>
                <w:sz w:val="18"/>
                <w:szCs w:val="18"/>
                <w:b w:val="1"/>
                <w:bCs w:val="1"/>
                <w:color w:val="auto"/>
                <w:w w:val="98"/>
              </w:rPr>
              <w:t>TABLE OF CONTENTS</w:t>
            </w:r>
          </w:p>
        </w:tc>
        <w:tc>
          <w:tcPr>
            <w:tcW w:w="1820" w:type="dxa"/>
            <w:vAlign w:val="bottom"/>
          </w:tcPr>
          <w:p>
            <w:pPr>
              <w:spacing w:after="0"/>
              <w:rPr>
                <w:sz w:val="20"/>
                <w:szCs w:val="20"/>
                <w:color w:val="auto"/>
              </w:rPr>
            </w:pPr>
          </w:p>
        </w:tc>
      </w:tr>
      <w:tr>
        <w:trPr>
          <w:trHeight w:val="392"/>
        </w:trPr>
        <w:tc>
          <w:tcPr>
            <w:tcW w:w="21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Part I - Financial Information</w:t>
              </w:r>
            </w:hyperlink>
          </w:p>
        </w:tc>
        <w:tc>
          <w:tcPr>
            <w:tcW w:w="5100" w:type="dxa"/>
            <w:vAlign w:val="bottom"/>
            <w:gridSpan w:val="10"/>
          </w:tcPr>
          <w:p>
            <w:pPr>
              <w:spacing w:after="0"/>
              <w:rPr>
                <w:sz w:val="24"/>
                <w:szCs w:val="24"/>
                <w:color w:val="auto"/>
              </w:rPr>
            </w:pPr>
          </w:p>
        </w:tc>
        <w:tc>
          <w:tcPr>
            <w:tcW w:w="1820" w:type="dxa"/>
            <w:vAlign w:val="bottom"/>
          </w:tcPr>
          <w:p>
            <w:pPr>
              <w:spacing w:after="0"/>
              <w:rPr>
                <w:sz w:val="24"/>
                <w:szCs w:val="24"/>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6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 (unaudited)</w:t>
              </w:r>
            </w:hyperlink>
          </w:p>
        </w:tc>
        <w:tc>
          <w:tcPr>
            <w:tcW w:w="1820" w:type="dxa"/>
            <w:vAlign w:val="bottom"/>
          </w:tcPr>
          <w:p>
            <w:pPr>
              <w:spacing w:after="0"/>
              <w:rPr>
                <w:sz w:val="24"/>
                <w:szCs w:val="24"/>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w:t>
              </w:r>
            </w:hyperlink>
          </w:p>
        </w:tc>
        <w:tc>
          <w:tcPr>
            <w:tcW w:w="1280" w:type="dxa"/>
            <w:vAlign w:val="bottom"/>
            <w:tcBorders>
              <w:top w:val="single" w:sz="8" w:color="0000EE"/>
            </w:tcBorders>
            <w:gridSpan w:val="5"/>
          </w:tcPr>
          <w:p>
            <w:pPr>
              <w:spacing w:after="0"/>
              <w:rPr>
                <w:sz w:val="24"/>
                <w:szCs w:val="24"/>
                <w:color w:val="auto"/>
              </w:rPr>
            </w:pPr>
          </w:p>
        </w:tc>
        <w:tc>
          <w:tcPr>
            <w:tcW w:w="3080" w:type="dxa"/>
            <w:vAlign w:val="bottom"/>
            <w:gridSpan w:val="3"/>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Shareholders’ Equity</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w:t>
              </w:r>
            </w:hyperlink>
          </w:p>
        </w:tc>
        <w:tc>
          <w:tcPr>
            <w:tcW w:w="600" w:type="dxa"/>
            <w:vAlign w:val="bottom"/>
            <w:tcBorders>
              <w:top w:val="single" w:sz="8" w:color="0000EE"/>
            </w:tcBorders>
            <w:gridSpan w:val="3"/>
          </w:tcPr>
          <w:p>
            <w:pPr>
              <w:spacing w:after="0"/>
              <w:rPr>
                <w:sz w:val="24"/>
                <w:szCs w:val="24"/>
                <w:color w:val="auto"/>
              </w:rPr>
            </w:pPr>
          </w:p>
        </w:tc>
        <w:tc>
          <w:tcPr>
            <w:tcW w:w="2980" w:type="dxa"/>
            <w:vAlign w:val="bottom"/>
            <w:gridSpan w:val="2"/>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Consolidated Financial Statements</w:t>
              </w:r>
            </w:hyperlink>
          </w:p>
        </w:tc>
        <w:tc>
          <w:tcPr>
            <w:tcW w:w="3300" w:type="dxa"/>
            <w:vAlign w:val="bottom"/>
            <w:gridSpan w:val="4"/>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2.</w:t>
              </w:r>
            </w:hyperlink>
          </w:p>
        </w:tc>
        <w:tc>
          <w:tcPr>
            <w:tcW w:w="260" w:type="dxa"/>
            <w:vAlign w:val="bottom"/>
          </w:tcPr>
          <w:p>
            <w:pPr>
              <w:spacing w:after="0"/>
              <w:rPr>
                <w:sz w:val="24"/>
                <w:szCs w:val="24"/>
                <w:color w:val="auto"/>
              </w:rPr>
            </w:pP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2"/>
        </w:trPr>
        <w:tc>
          <w:tcPr>
            <w:tcW w:w="520" w:type="dxa"/>
            <w:vAlign w:val="bottom"/>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3.</w:t>
              </w:r>
            </w:hyperlink>
          </w:p>
        </w:tc>
        <w:tc>
          <w:tcPr>
            <w:tcW w:w="26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4.</w:t>
              </w:r>
            </w:hyperlink>
          </w:p>
        </w:tc>
        <w:tc>
          <w:tcPr>
            <w:tcW w:w="26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8"/>
          </w:tcPr>
          <w:p>
            <w:pPr>
              <w:spacing w:after="0"/>
              <w:rPr>
                <w:sz w:val="24"/>
                <w:szCs w:val="24"/>
                <w:color w:val="auto"/>
              </w:rPr>
            </w:pPr>
          </w:p>
        </w:tc>
        <w:tc>
          <w:tcPr>
            <w:tcW w:w="21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628"/>
        </w:trPr>
        <w:tc>
          <w:tcPr>
            <w:tcW w:w="724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Part II - Other Information</w:t>
              </w:r>
            </w:hyperlink>
          </w:p>
        </w:tc>
        <w:tc>
          <w:tcPr>
            <w:tcW w:w="182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1.</w:t>
              </w:r>
            </w:hyperlink>
          </w:p>
        </w:tc>
        <w:tc>
          <w:tcPr>
            <w:tcW w:w="26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3.</w:t>
              </w:r>
            </w:hyperlink>
          </w:p>
        </w:tc>
        <w:tc>
          <w:tcPr>
            <w:tcW w:w="260" w:type="dxa"/>
            <w:vAlign w:val="bottom"/>
          </w:tcPr>
          <w:p>
            <w:pPr>
              <w:spacing w:after="0"/>
              <w:rPr>
                <w:sz w:val="24"/>
                <w:szCs w:val="24"/>
                <w:color w:val="auto"/>
              </w:rPr>
            </w:pPr>
          </w:p>
        </w:tc>
        <w:tc>
          <w:tcPr>
            <w:tcW w:w="23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Defaults Upon Senior Securities</w:t>
              </w:r>
            </w:hyperlink>
          </w:p>
        </w:tc>
        <w:tc>
          <w:tcPr>
            <w:tcW w:w="4120" w:type="dxa"/>
            <w:vAlign w:val="bottom"/>
            <w:gridSpan w:val="7"/>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520" w:type="dxa"/>
            <w:vAlign w:val="bottom"/>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6.</w:t>
              </w:r>
            </w:hyperlink>
          </w:p>
        </w:tc>
        <w:tc>
          <w:tcPr>
            <w:tcW w:w="26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1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608"/>
        </w:trPr>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111"/>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91"/>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85"/>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 in thousands, except shares)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91"/>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1"/>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ind w:right="71"/>
              <w:spacing w:after="0"/>
              <w:rPr>
                <w:sz w:val="20"/>
                <w:szCs w:val="20"/>
                <w:color w:val="auto"/>
              </w:rPr>
            </w:pPr>
            <w:r>
              <w:rPr>
                <w:rFonts w:ascii="Arial" w:cs="Arial" w:eastAsia="Arial" w:hAnsi="Arial"/>
                <w:sz w:val="14"/>
                <w:szCs w:val="14"/>
                <w:b w:val="1"/>
                <w:bCs w:val="1"/>
                <w:i w:val="1"/>
                <w:iCs w:val="1"/>
                <w:color w:val="auto"/>
                <w:w w:val="91"/>
              </w:rPr>
              <w:t>(unaudited)</w:t>
            </w: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51"/>
              <w:spacing w:after="0"/>
              <w:rPr>
                <w:sz w:val="20"/>
                <w:szCs w:val="20"/>
                <w:color w:val="auto"/>
              </w:rPr>
            </w:pPr>
            <w:r>
              <w:rPr>
                <w:rFonts w:ascii="Arial" w:cs="Arial" w:eastAsia="Arial" w:hAnsi="Arial"/>
                <w:sz w:val="14"/>
                <w:szCs w:val="14"/>
                <w:b w:val="1"/>
                <w:bCs w:val="1"/>
                <w:i w:val="1"/>
                <w:iCs w:val="1"/>
                <w:color w:val="auto"/>
                <w:w w:val="91"/>
              </w:rPr>
              <w:t>(audited)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Pr>
          <w:p>
            <w:pPr>
              <w:spacing w:after="0" w:line="176"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17,107</w:t>
            </w:r>
          </w:p>
        </w:tc>
        <w:tc>
          <w:tcPr>
            <w:tcW w:w="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12,745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Pr>
          <w:p>
            <w:pPr>
              <w:ind w:left="100"/>
              <w:spacing w:after="0" w:line="176" w:lineRule="exact"/>
              <w:rPr>
                <w:sz w:val="20"/>
                <w:szCs w:val="20"/>
                <w:color w:val="auto"/>
              </w:rPr>
            </w:pPr>
            <w:r>
              <w:rPr>
                <w:rFonts w:ascii="Arial" w:cs="Arial" w:eastAsia="Arial" w:hAnsi="Arial"/>
                <w:sz w:val="18"/>
                <w:szCs w:val="18"/>
                <w:color w:val="auto"/>
              </w:rPr>
              <w:t>Accounts receivable, less allowance of $2,587 and $3,149, respectively</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23,166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7,193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Finance receivables, less allowance of $42 and $19, respectively</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3,904</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11,010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Pr>
          <w:p>
            <w:pPr>
              <w:ind w:left="100"/>
              <w:spacing w:after="0" w:line="176" w:lineRule="exact"/>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11,030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1,869</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60" w:type="dxa"/>
            <w:vAlign w:val="bottom"/>
          </w:tcPr>
          <w:p>
            <w:pPr>
              <w:spacing w:after="0" w:line="170" w:lineRule="exact"/>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line="170" w:lineRule="exact"/>
              <w:rPr>
                <w:sz w:val="20"/>
                <w:szCs w:val="20"/>
                <w:color w:val="auto"/>
              </w:rPr>
            </w:pPr>
            <w:r>
              <w:rPr>
                <w:rFonts w:ascii="Arial" w:cs="Arial" w:eastAsia="Arial" w:hAnsi="Arial"/>
                <w:sz w:val="18"/>
                <w:szCs w:val="18"/>
                <w:color w:val="auto"/>
              </w:rPr>
              <w:t>57,076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70" w:lineRule="exact"/>
              <w:rPr>
                <w:sz w:val="20"/>
                <w:szCs w:val="20"/>
                <w:color w:val="auto"/>
              </w:rPr>
            </w:pPr>
            <w:r>
              <w:rPr>
                <w:rFonts w:ascii="Arial" w:cs="Arial" w:eastAsia="Arial" w:hAnsi="Arial"/>
                <w:sz w:val="18"/>
                <w:szCs w:val="18"/>
                <w:color w:val="auto"/>
              </w:rPr>
              <w:t>36,502</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160" w:type="dxa"/>
            <w:vAlign w:val="bottom"/>
          </w:tcPr>
          <w:p>
            <w:pPr>
              <w:spacing w:after="0" w:line="176" w:lineRule="exact"/>
              <w:rPr>
                <w:sz w:val="20"/>
                <w:szCs w:val="20"/>
                <w:color w:val="auto"/>
              </w:rPr>
            </w:pPr>
            <w:r>
              <w:rPr>
                <w:rFonts w:ascii="Arial" w:cs="Arial" w:eastAsia="Arial" w:hAnsi="Arial"/>
                <w:sz w:val="18"/>
                <w:szCs w:val="18"/>
                <w:color w:val="auto"/>
              </w:rPr>
              <w:t>Non-current assets: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Finance receivables, less current portion</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9,679</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Pr>
          <w:p>
            <w:pPr>
              <w:ind w:left="100"/>
              <w:spacing w:after="0" w:line="176" w:lineRule="exact"/>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1,214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12,198</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12,111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Pr>
          <w:p>
            <w:pPr>
              <w:ind w:left="100"/>
              <w:spacing w:after="0" w:line="176" w:lineRule="exact"/>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16,911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27,670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Intangibles, net</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30,119</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64,196</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11,492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non-current assets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134,317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61,189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191,393</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97,691</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Liabilities and shareholders’ equity</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Pr>
          <w:p>
            <w:pPr>
              <w:spacing w:after="0" w:line="176" w:lineRule="exact"/>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29,446</w:t>
            </w:r>
          </w:p>
        </w:tc>
        <w:tc>
          <w:tcPr>
            <w:tcW w:w="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16,054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Pr>
          <w:p>
            <w:pPr>
              <w:ind w:left="100"/>
              <w:spacing w:after="0" w:line="176" w:lineRule="exact"/>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7,961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Line of Credit, net</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Pr>
          <w:p>
            <w:pPr>
              <w:ind w:left="100"/>
              <w:spacing w:after="0" w:line="176" w:lineRule="exact"/>
              <w:rPr>
                <w:sz w:val="20"/>
                <w:szCs w:val="20"/>
                <w:color w:val="auto"/>
              </w:rPr>
            </w:pPr>
            <w:r>
              <w:rPr>
                <w:rFonts w:ascii="Arial" w:cs="Arial" w:eastAsia="Arial" w:hAnsi="Arial"/>
                <w:sz w:val="18"/>
                <w:szCs w:val="18"/>
                <w:color w:val="auto"/>
              </w:rPr>
              <w:t>Capital lease obligations and current obligations under long-term debt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4,475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441</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Deferred gain from sale-leaseback transactions</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198</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42,521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30,699</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Long-term liabilities:</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Pr>
          <w:p>
            <w:pPr>
              <w:ind w:left="100"/>
              <w:spacing w:after="0" w:line="176" w:lineRule="exact"/>
              <w:rPr>
                <w:sz w:val="20"/>
                <w:szCs w:val="20"/>
                <w:color w:val="auto"/>
              </w:rPr>
            </w:pPr>
            <w:r>
              <w:rPr>
                <w:rFonts w:ascii="Arial" w:cs="Arial" w:eastAsia="Arial" w:hAnsi="Arial"/>
                <w:sz w:val="18"/>
                <w:szCs w:val="18"/>
                <w:color w:val="auto"/>
              </w:rPr>
              <w:t>Revolving Credit Facility</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10,000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Capital lease obligations and long-term debt, less current portion</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22,895</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Pr>
          <w:p>
            <w:pPr>
              <w:ind w:left="100"/>
              <w:spacing w:after="0" w:line="176" w:lineRule="exact"/>
              <w:rPr>
                <w:sz w:val="20"/>
                <w:szCs w:val="20"/>
                <w:color w:val="auto"/>
              </w:rPr>
            </w:pPr>
            <w:r>
              <w:rPr>
                <w:rFonts w:ascii="Arial" w:cs="Arial" w:eastAsia="Arial" w:hAnsi="Arial"/>
                <w:sz w:val="18"/>
                <w:szCs w:val="18"/>
                <w:color w:val="auto"/>
              </w:rPr>
              <w:t>Accrued expenses, less current portion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66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Deferred gain from sale-leaseback transactions, less current portion</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60" w:type="dxa"/>
            <w:vAlign w:val="bottom"/>
          </w:tcPr>
          <w:p>
            <w:pPr>
              <w:spacing w:after="0" w:line="170" w:lineRule="exact"/>
              <w:rPr>
                <w:sz w:val="20"/>
                <w:szCs w:val="20"/>
                <w:color w:val="auto"/>
              </w:rPr>
            </w:pPr>
            <w:r>
              <w:rPr>
                <w:rFonts w:ascii="Arial" w:cs="Arial" w:eastAsia="Arial" w:hAnsi="Arial"/>
                <w:sz w:val="18"/>
                <w:szCs w:val="18"/>
                <w:color w:val="auto"/>
              </w:rPr>
              <w:t>Total long-term liabilities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line="170" w:lineRule="exact"/>
              <w:rPr>
                <w:sz w:val="20"/>
                <w:szCs w:val="20"/>
                <w:color w:val="auto"/>
              </w:rPr>
            </w:pPr>
            <w:r>
              <w:rPr>
                <w:rFonts w:ascii="Arial" w:cs="Arial" w:eastAsia="Arial" w:hAnsi="Arial"/>
                <w:sz w:val="18"/>
                <w:szCs w:val="18"/>
                <w:color w:val="auto"/>
              </w:rPr>
              <w:t>32,961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70" w:lineRule="exact"/>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6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75,482</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31,913</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160" w:type="dxa"/>
            <w:vAlign w:val="bottom"/>
          </w:tcPr>
          <w:p>
            <w:pPr>
              <w:spacing w:after="0" w:line="176" w:lineRule="exact"/>
              <w:rPr>
                <w:sz w:val="20"/>
                <w:szCs w:val="20"/>
                <w:color w:val="auto"/>
              </w:rPr>
            </w:pPr>
            <w:r>
              <w:rPr>
                <w:rFonts w:ascii="Arial" w:cs="Arial" w:eastAsia="Arial" w:hAnsi="Arial"/>
                <w:sz w:val="18"/>
                <w:szCs w:val="18"/>
                <w:color w:val="auto"/>
              </w:rPr>
              <w:t>Commitments and contingencies (Note 14)</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Pr>
          <w:p>
            <w:pPr>
              <w:ind w:left="100"/>
              <w:spacing w:after="0" w:line="176" w:lineRule="exact"/>
              <w:rPr>
                <w:sz w:val="20"/>
                <w:szCs w:val="20"/>
                <w:color w:val="auto"/>
              </w:rPr>
            </w:pPr>
            <w:r>
              <w:rPr>
                <w:rFonts w:ascii="Arial" w:cs="Arial" w:eastAsia="Arial" w:hAnsi="Arial"/>
                <w:sz w:val="18"/>
                <w:szCs w:val="18"/>
                <w:color w:val="auto"/>
                <w:w w:val="98"/>
              </w:rPr>
              <w:t>Preferred stock, no par value, 1,800,000 shares authorized, no shares issued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color w:val="auto"/>
                <w:w w:val="94"/>
              </w:rPr>
              <w:t>Series A convertible preferred stock, 900,000 shares authorized, 445,063 issued and</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outstanding, with liquidation preferences of $19,443 and $18,775 at</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March 31, 2018 and June 30, 2017, respectively</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ind w:left="100"/>
              <w:spacing w:after="0" w:line="149" w:lineRule="exact"/>
              <w:rPr>
                <w:sz w:val="20"/>
                <w:szCs w:val="20"/>
                <w:color w:val="auto"/>
              </w:rPr>
            </w:pPr>
            <w:r>
              <w:rPr>
                <w:rFonts w:ascii="Arial" w:cs="Arial" w:eastAsia="Arial" w:hAnsi="Arial"/>
                <w:sz w:val="17"/>
                <w:szCs w:val="17"/>
                <w:color w:val="auto"/>
              </w:rPr>
              <w:t>Common stock, no par value, 640,000,000 shares authorized, 53,666,718 and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Pr>
          <w:p>
            <w:pPr>
              <w:ind w:left="100"/>
              <w:spacing w:after="0" w:line="176" w:lineRule="exact"/>
              <w:rPr>
                <w:sz w:val="20"/>
                <w:szCs w:val="20"/>
                <w:color w:val="auto"/>
              </w:rPr>
            </w:pPr>
            <w:r>
              <w:rPr>
                <w:rFonts w:ascii="Arial" w:cs="Arial" w:eastAsia="Arial" w:hAnsi="Arial"/>
                <w:sz w:val="18"/>
                <w:szCs w:val="18"/>
                <w:color w:val="auto"/>
                <w:w w:val="93"/>
              </w:rPr>
              <w:t>40,331,645 shares issued and outstanding at March 31, 2018 and June 30, 2017,</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307,634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245,999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100"/>
              <w:spacing w:after="0" w:line="202" w:lineRule="exact"/>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(194,861)</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(183,359)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6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115,911</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65,778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191,393</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97,691</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222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3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 in thousands, except shares and per share data)</w:t>
            </w:r>
          </w:p>
        </w:tc>
        <w:tc>
          <w:tcPr>
            <w:tcW w:w="180" w:type="dxa"/>
            <w:vAlign w:val="bottom"/>
          </w:tcPr>
          <w:p>
            <w:pPr>
              <w:spacing w:after="0"/>
              <w:rPr>
                <w:sz w:val="14"/>
                <w:szCs w:val="14"/>
                <w:color w:val="auto"/>
              </w:rPr>
            </w:pPr>
          </w:p>
        </w:tc>
        <w:tc>
          <w:tcPr>
            <w:tcW w:w="9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8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Revenues:</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License and transaction fees</w:t>
            </w: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27,020</w:t>
            </w:r>
          </w:p>
        </w:tc>
        <w:tc>
          <w:tcPr>
            <w:tcW w:w="80" w:type="dxa"/>
            <w:vAlign w:val="bottom"/>
          </w:tcPr>
          <w:p>
            <w:pPr>
              <w:spacing w:after="0"/>
              <w:rPr>
                <w:sz w:val="15"/>
                <w:szCs w:val="15"/>
                <w:color w:val="auto"/>
              </w:rPr>
            </w:pPr>
          </w:p>
        </w:tc>
        <w:tc>
          <w:tcPr>
            <w:tcW w:w="300" w:type="dxa"/>
            <w:vAlign w:val="bottom"/>
            <w:gridSpan w:val="2"/>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17,459</w:t>
            </w:r>
          </w:p>
        </w:tc>
        <w:tc>
          <w:tcPr>
            <w:tcW w:w="14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69,817</w:t>
            </w:r>
          </w:p>
        </w:tc>
        <w:tc>
          <w:tcPr>
            <w:tcW w:w="160" w:type="dxa"/>
            <w:vAlign w:val="bottom"/>
          </w:tcPr>
          <w:p>
            <w:pPr>
              <w:spacing w:after="0"/>
              <w:rPr>
                <w:sz w:val="15"/>
                <w:szCs w:val="15"/>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50,463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Equipment sales</w:t>
            </w: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8,812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9,001</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24,138</w:t>
            </w:r>
          </w:p>
        </w:tc>
        <w:tc>
          <w:tcPr>
            <w:tcW w:w="1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19,341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40" w:type="dxa"/>
            <w:vAlign w:val="bottom"/>
            <w:gridSpan w:val="2"/>
          </w:tcPr>
          <w:p>
            <w:pPr>
              <w:spacing w:after="0" w:line="170" w:lineRule="exact"/>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14"/>
                <w:szCs w:val="14"/>
                <w:color w:val="auto"/>
              </w:rPr>
            </w:pPr>
          </w:p>
        </w:tc>
        <w:tc>
          <w:tcPr>
            <w:tcW w:w="960" w:type="dxa"/>
            <w:vAlign w:val="bottom"/>
          </w:tcPr>
          <w:p>
            <w:pPr>
              <w:jc w:val="right"/>
              <w:spacing w:after="0" w:line="170" w:lineRule="exact"/>
              <w:rPr>
                <w:sz w:val="20"/>
                <w:szCs w:val="20"/>
                <w:color w:val="auto"/>
              </w:rPr>
            </w:pPr>
            <w:r>
              <w:rPr>
                <w:rFonts w:ascii="Arial" w:cs="Arial" w:eastAsia="Arial" w:hAnsi="Arial"/>
                <w:sz w:val="18"/>
                <w:szCs w:val="18"/>
                <w:color w:val="auto"/>
              </w:rPr>
              <w:t>35,832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8"/>
                <w:szCs w:val="18"/>
                <w:color w:val="auto"/>
              </w:rPr>
              <w:t>26,460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line="170" w:lineRule="exact"/>
              <w:rPr>
                <w:sz w:val="20"/>
                <w:szCs w:val="20"/>
                <w:color w:val="auto"/>
              </w:rPr>
            </w:pPr>
            <w:r>
              <w:rPr>
                <w:rFonts w:ascii="Arial" w:cs="Arial" w:eastAsia="Arial" w:hAnsi="Arial"/>
                <w:sz w:val="18"/>
                <w:szCs w:val="18"/>
                <w:color w:val="auto"/>
              </w:rPr>
              <w:t>93,955</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8"/>
                <w:szCs w:val="18"/>
                <w:color w:val="auto"/>
              </w:rPr>
              <w:t>69,804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gridSpan w:val="2"/>
          </w:tcPr>
          <w:p>
            <w:pPr>
              <w:spacing w:after="0" w:line="176" w:lineRule="exact"/>
              <w:rPr>
                <w:sz w:val="20"/>
                <w:szCs w:val="20"/>
                <w:color w:val="auto"/>
              </w:rPr>
            </w:pPr>
            <w:r>
              <w:rPr>
                <w:rFonts w:ascii="Arial" w:cs="Arial" w:eastAsia="Arial" w:hAnsi="Arial"/>
                <w:sz w:val="18"/>
                <w:szCs w:val="18"/>
                <w:color w:val="auto"/>
              </w:rPr>
              <w:t>Costs of sales: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Cost of services</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16,012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11,876</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43,700</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34,508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tcBorders>
              <w:bottom w:val="single" w:sz="8" w:color="CCEEFF"/>
            </w:tcBorders>
            <w:gridSpan w:val="2"/>
          </w:tcPr>
          <w:p>
            <w:pPr>
              <w:ind w:left="120"/>
              <w:spacing w:after="0" w:line="176" w:lineRule="exact"/>
              <w:rPr>
                <w:sz w:val="20"/>
                <w:szCs w:val="20"/>
                <w:color w:val="auto"/>
              </w:rPr>
            </w:pPr>
            <w:r>
              <w:rPr>
                <w:rFonts w:ascii="Arial" w:cs="Arial" w:eastAsia="Arial" w:hAnsi="Arial"/>
                <w:sz w:val="18"/>
                <w:szCs w:val="18"/>
                <w:color w:val="auto"/>
              </w:rPr>
              <w:t>Cost of equipment</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7,876</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7,959</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21,909</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16,170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Total costs of sales</w:t>
            </w:r>
          </w:p>
        </w:tc>
        <w:tc>
          <w:tcPr>
            <w:tcW w:w="1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23,888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19,835</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65,609</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50,678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11,944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6,625</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28,346</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19,126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9,572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5,947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24,647</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18,540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Integration and acquisition costs</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1,747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5,844</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tcBorders>
              <w:bottom w:val="single" w:sz="8" w:color="CCEEFF"/>
            </w:tcBorders>
            <w:gridSpan w:val="2"/>
          </w:tcPr>
          <w:p>
            <w:pPr>
              <w:ind w:left="120"/>
              <w:spacing w:after="0" w:line="176" w:lineRule="exact"/>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1,125</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259</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2,107</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12,444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6,206</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32,598</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19,423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Operating (loss) income</w:t>
            </w: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419</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(4,252)</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134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114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465</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387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(612)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(1,315)</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tcBorders>
              <w:bottom w:val="single" w:sz="8" w:color="CCEEFF"/>
            </w:tcBorders>
            <w:gridSpan w:val="2"/>
          </w:tcPr>
          <w:p>
            <w:pPr>
              <w:ind w:left="120"/>
              <w:spacing w:after="0" w:line="176" w:lineRule="exact"/>
              <w:rPr>
                <w:sz w:val="20"/>
                <w:szCs w:val="20"/>
                <w:color w:val="auto"/>
              </w:rPr>
            </w:pPr>
            <w:r>
              <w:rPr>
                <w:rFonts w:ascii="Arial" w:cs="Arial" w:eastAsia="Arial" w:hAnsi="Arial"/>
                <w:sz w:val="18"/>
                <w:szCs w:val="18"/>
                <w:color w:val="auto"/>
              </w:rPr>
              <w:t>Change in fair value of warrant liabilities</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Total other expense, net</w:t>
            </w:r>
          </w:p>
        </w:tc>
        <w:tc>
          <w:tcPr>
            <w:tcW w:w="1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(478)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(Loss) income before income taxes</w:t>
            </w: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(978)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345</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(5,102)</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gridSpan w:val="2"/>
          </w:tcPr>
          <w:p>
            <w:pPr>
              <w:spacing w:after="0" w:line="176" w:lineRule="exact"/>
              <w:rPr>
                <w:sz w:val="20"/>
                <w:szCs w:val="20"/>
                <w:color w:val="auto"/>
              </w:rPr>
            </w:pPr>
            <w:r>
              <w:rPr>
                <w:rFonts w:ascii="Arial" w:cs="Arial" w:eastAsia="Arial" w:hAnsi="Arial"/>
                <w:sz w:val="18"/>
                <w:szCs w:val="18"/>
                <w:color w:val="auto"/>
              </w:rPr>
              <w:t>Benefit (provision) for income taxes</w:t>
            </w:r>
          </w:p>
        </w:tc>
        <w:tc>
          <w:tcPr>
            <w:tcW w:w="1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2,138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(209)</w:t>
            </w:r>
          </w:p>
        </w:tc>
        <w:tc>
          <w:tcPr>
            <w:tcW w:w="160" w:type="dxa"/>
            <w:vAlign w:val="bottom"/>
          </w:tcPr>
          <w:p>
            <w:pPr>
              <w:spacing w:after="0"/>
              <w:rPr>
                <w:sz w:val="15"/>
                <w:szCs w:val="15"/>
                <w:color w:val="auto"/>
              </w:rPr>
            </w:pPr>
          </w:p>
        </w:tc>
        <w:tc>
          <w:tcPr>
            <w:tcW w:w="110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(6,467)</w:t>
            </w:r>
          </w:p>
        </w:tc>
        <w:tc>
          <w:tcPr>
            <w:tcW w:w="2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40" w:type="dxa"/>
            <w:vAlign w:val="bottom"/>
            <w:gridSpan w:val="2"/>
          </w:tcPr>
          <w:p>
            <w:pPr>
              <w:spacing w:after="0" w:line="176" w:lineRule="exact"/>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1,160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136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(11,569)</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(2,095)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Preferred dividends</w:t>
            </w: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(334)</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(668)</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40" w:type="dxa"/>
            <w:vAlign w:val="bottom"/>
            <w:tcBorders>
              <w:bottom w:val="single" w:sz="8" w:color="CCEEFF"/>
            </w:tcBorders>
            <w:gridSpan w:val="2"/>
          </w:tcPr>
          <w:p>
            <w:pPr>
              <w:spacing w:after="0" w:line="170" w:lineRule="exact"/>
              <w:rPr>
                <w:sz w:val="20"/>
                <w:szCs w:val="20"/>
                <w:color w:val="auto"/>
              </w:rPr>
            </w:pPr>
            <w:r>
              <w:rPr>
                <w:rFonts w:ascii="Arial" w:cs="Arial" w:eastAsia="Arial" w:hAnsi="Arial"/>
                <w:sz w:val="18"/>
                <w:szCs w:val="18"/>
                <w:color w:val="auto"/>
              </w:rPr>
              <w:t>Net income (loss) applicable to common shares</w:t>
            </w:r>
          </w:p>
        </w:tc>
        <w:tc>
          <w:tcPr>
            <w:tcW w:w="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826</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(198)</w:t>
            </w:r>
          </w:p>
        </w:tc>
        <w:tc>
          <w:tcPr>
            <w:tcW w:w="14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(12,237)</w:t>
            </w:r>
          </w:p>
        </w:tc>
        <w:tc>
          <w:tcPr>
            <w:tcW w:w="16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Net income (loss) per common share</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14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Basic</w:t>
            </w:r>
          </w:p>
        </w:tc>
        <w:tc>
          <w:tcPr>
            <w:tcW w:w="1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0.02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(0.00)</w:t>
            </w:r>
          </w:p>
        </w:tc>
        <w:tc>
          <w:tcPr>
            <w:tcW w:w="160" w:type="dxa"/>
            <w:vAlign w:val="bottom"/>
          </w:tcPr>
          <w:p>
            <w:pPr>
              <w:spacing w:after="0"/>
              <w:rPr>
                <w:sz w:val="15"/>
                <w:szCs w:val="15"/>
                <w:color w:val="auto"/>
              </w:rPr>
            </w:pPr>
          </w:p>
        </w:tc>
        <w:tc>
          <w:tcPr>
            <w:tcW w:w="110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(0.24)</w:t>
            </w:r>
          </w:p>
        </w:tc>
        <w:tc>
          <w:tcPr>
            <w:tcW w:w="2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40" w:type="dxa"/>
            <w:vAlign w:val="bottom"/>
            <w:tcBorders>
              <w:top w:val="single" w:sz="8" w:color="CCEEFF"/>
              <w:bottom w:val="single" w:sz="8" w:color="CCEEFF"/>
            </w:tcBorders>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0.02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(0.24)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4140" w:type="dxa"/>
            <w:vAlign w:val="bottom"/>
            <w:gridSpan w:val="2"/>
          </w:tcPr>
          <w:p>
            <w:pPr>
              <w:spacing w:after="0" w:line="122" w:lineRule="exact"/>
              <w:rPr>
                <w:sz w:val="20"/>
                <w:szCs w:val="20"/>
                <w:color w:val="auto"/>
              </w:rPr>
            </w:pPr>
            <w:r>
              <w:rPr>
                <w:rFonts w:ascii="Arial" w:cs="Arial" w:eastAsia="Arial" w:hAnsi="Arial"/>
                <w:sz w:val="14"/>
                <w:szCs w:val="14"/>
                <w:color w:val="auto"/>
              </w:rPr>
              <w:t>Weighted average number of common shares</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140" w:type="dxa"/>
            <w:vAlign w:val="bottom"/>
            <w:gridSpan w:val="2"/>
          </w:tcPr>
          <w:p>
            <w:pPr>
              <w:spacing w:after="0" w:line="202" w:lineRule="exact"/>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53,637,085</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0"/>
              </w:rPr>
              <w:t>40,327,697</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51,101,813</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8"/>
              </w:rPr>
              <w:t>39,703,690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140" w:type="dxa"/>
            <w:vAlign w:val="bottom"/>
            <w:gridSpan w:val="2"/>
          </w:tcPr>
          <w:p>
            <w:pPr>
              <w:ind w:left="220"/>
              <w:spacing w:after="0" w:line="163"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97"/>
              </w:rPr>
              <w:t>54,234,566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90"/>
              </w:rPr>
              <w:t>40,327,697</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97"/>
              </w:rPr>
              <w:t>51,101,813</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88"/>
              </w:rPr>
              <w:t>39,703,690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Series A</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Convertible</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5"/>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Preferred Stock</w:t>
            </w:r>
          </w:p>
        </w:tc>
        <w:tc>
          <w:tcPr>
            <w:tcW w:w="19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Common Stock</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69"/>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 in thousands, except shares)</w:t>
            </w:r>
          </w:p>
        </w:tc>
        <w:tc>
          <w:tcPr>
            <w:tcW w:w="98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04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r>
      <w:tr>
        <w:trPr>
          <w:trHeight w:val="169"/>
        </w:trPr>
        <w:tc>
          <w:tcPr>
            <w:tcW w:w="308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Balance, June 30, 2017</w:t>
            </w:r>
          </w:p>
        </w:tc>
        <w:tc>
          <w:tcPr>
            <w:tcW w:w="1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445,063</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3,138</w:t>
            </w:r>
          </w:p>
        </w:tc>
        <w:tc>
          <w:tcPr>
            <w:tcW w:w="1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40,331,645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245,999</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3"/>
              </w:rPr>
              <w:t>(183,359)</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65,778</w:t>
            </w: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7"/>
                <w:szCs w:val="17"/>
                <w:color w:val="auto"/>
              </w:rPr>
              <w:t>Issuance of common stock in relation to</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6"/>
        </w:trPr>
        <w:tc>
          <w:tcPr>
            <w:tcW w:w="3200" w:type="dxa"/>
            <w:vAlign w:val="bottom"/>
            <w:gridSpan w:val="2"/>
          </w:tcPr>
          <w:p>
            <w:pPr>
              <w:spacing w:after="0" w:line="176" w:lineRule="exact"/>
              <w:rPr>
                <w:sz w:val="20"/>
                <w:szCs w:val="20"/>
                <w:color w:val="auto"/>
              </w:rPr>
            </w:pPr>
            <w:r>
              <w:rPr>
                <w:rFonts w:ascii="Arial" w:cs="Arial" w:eastAsia="Arial" w:hAnsi="Arial"/>
                <w:sz w:val="18"/>
                <w:szCs w:val="18"/>
                <w:color w:val="auto"/>
              </w:rPr>
              <w:t>public offering, net of offering costs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 xml:space="preserve">incurred of $3,237 </w:t>
            </w:r>
            <w:r>
              <w:rPr>
                <w:rFonts w:ascii="Arial" w:cs="Arial" w:eastAsia="Arial" w:hAnsi="Arial"/>
                <w:sz w:val="8"/>
                <w:szCs w:val="8"/>
                <w:color w:val="auto"/>
              </w:rPr>
              <w:t>(a)</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9,583,332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39,888</w:t>
            </w: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7"/>
                <w:szCs w:val="17"/>
                <w:color w:val="auto"/>
              </w:rPr>
              <w:t>Issuance of common stock as merger</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23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consideration</w:t>
            </w:r>
            <w:r>
              <w:rPr>
                <w:rFonts w:ascii="Arial" w:cs="Arial" w:eastAsia="Arial" w:hAnsi="Arial"/>
                <w:sz w:val="8"/>
                <w:szCs w:val="8"/>
                <w:color w:val="auto"/>
              </w:rPr>
              <w:t>(b)</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3,423,367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19,810</w:t>
            </w:r>
          </w:p>
        </w:tc>
      </w:tr>
      <w:tr>
        <w:trPr>
          <w:trHeight w:val="176"/>
        </w:trPr>
        <w:tc>
          <w:tcPr>
            <w:tcW w:w="3200" w:type="dxa"/>
            <w:vAlign w:val="bottom"/>
            <w:gridSpan w:val="2"/>
          </w:tcPr>
          <w:p>
            <w:pPr>
              <w:spacing w:after="0" w:line="176" w:lineRule="exact"/>
              <w:rPr>
                <w:sz w:val="20"/>
                <w:szCs w:val="20"/>
                <w:color w:val="auto"/>
              </w:rPr>
            </w:pPr>
            <w:r>
              <w:rPr>
                <w:rFonts w:ascii="Arial" w:cs="Arial" w:eastAsia="Arial" w:hAnsi="Arial"/>
                <w:sz w:val="18"/>
                <w:szCs w:val="18"/>
                <w:color w:val="auto"/>
              </w:rPr>
              <w:t>Stock based compensation</w:t>
            </w:r>
          </w:p>
        </w:tc>
        <w:tc>
          <w:tcPr>
            <w:tcW w:w="98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347,975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2,114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2,114</w:t>
            </w:r>
          </w:p>
        </w:tc>
      </w:tr>
      <w:tr>
        <w:trPr>
          <w:trHeight w:val="203"/>
        </w:trPr>
        <w:tc>
          <w:tcPr>
            <w:tcW w:w="3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Excess tax benefit from stock plans</w:t>
            </w:r>
            <w:r>
              <w:rPr>
                <w:rFonts w:ascii="Arial" w:cs="Arial" w:eastAsia="Arial" w:hAnsi="Arial"/>
                <w:sz w:val="8"/>
                <w:szCs w:val="8"/>
                <w:color w:val="auto"/>
              </w:rPr>
              <w:t>(c)</w:t>
            </w: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r>
      <w:tr>
        <w:trPr>
          <w:trHeight w:val="176"/>
        </w:trPr>
        <w:tc>
          <w:tcPr>
            <w:tcW w:w="3200" w:type="dxa"/>
            <w:vAlign w:val="bottom"/>
            <w:gridSpan w:val="2"/>
          </w:tcPr>
          <w:p>
            <w:pPr>
              <w:spacing w:after="0" w:line="176" w:lineRule="exact"/>
              <w:rPr>
                <w:sz w:val="20"/>
                <w:szCs w:val="20"/>
                <w:color w:val="auto"/>
              </w:rPr>
            </w:pPr>
            <w:r>
              <w:rPr>
                <w:rFonts w:ascii="Arial" w:cs="Arial" w:eastAsia="Arial" w:hAnsi="Arial"/>
                <w:sz w:val="18"/>
                <w:szCs w:val="18"/>
                <w:color w:val="auto"/>
              </w:rPr>
              <w:t>Retirement of common stock</w:t>
            </w:r>
          </w:p>
        </w:tc>
        <w:tc>
          <w:tcPr>
            <w:tcW w:w="98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(19,601)</w:t>
            </w:r>
          </w:p>
        </w:tc>
        <w:tc>
          <w:tcPr>
            <w:tcW w:w="120" w:type="dxa"/>
            <w:vAlign w:val="bottom"/>
          </w:tcPr>
          <w:p>
            <w:pPr>
              <w:spacing w:after="0"/>
              <w:rPr>
                <w:sz w:val="15"/>
                <w:szCs w:val="15"/>
                <w:color w:val="auto"/>
              </w:rPr>
            </w:pPr>
          </w:p>
        </w:tc>
        <w:tc>
          <w:tcPr>
            <w:tcW w:w="8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(177)</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(177)</w:t>
            </w:r>
          </w:p>
        </w:tc>
      </w:tr>
      <w:tr>
        <w:trPr>
          <w:trHeight w:val="176"/>
        </w:trPr>
        <w:tc>
          <w:tcPr>
            <w:tcW w:w="32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Net loss</w:t>
            </w:r>
          </w:p>
        </w:tc>
        <w:tc>
          <w:tcPr>
            <w:tcW w:w="98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(11,569)</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(11,569)</w:t>
            </w:r>
          </w:p>
        </w:tc>
      </w:tr>
      <w:tr>
        <w:trPr>
          <w:trHeight w:val="176"/>
        </w:trPr>
        <w:tc>
          <w:tcPr>
            <w:tcW w:w="3200" w:type="dxa"/>
            <w:vAlign w:val="bottom"/>
            <w:gridSpan w:val="2"/>
          </w:tcPr>
          <w:p>
            <w:pPr>
              <w:spacing w:after="0" w:line="170" w:lineRule="exact"/>
              <w:rPr>
                <w:sz w:val="20"/>
                <w:szCs w:val="20"/>
                <w:color w:val="auto"/>
              </w:rPr>
            </w:pPr>
            <w:r>
              <w:rPr>
                <w:rFonts w:ascii="Arial" w:cs="Arial" w:eastAsia="Arial" w:hAnsi="Arial"/>
                <w:sz w:val="18"/>
                <w:szCs w:val="18"/>
                <w:color w:val="auto"/>
              </w:rPr>
              <w:t>Balance, March 31, 2018</w:t>
            </w:r>
          </w:p>
        </w:tc>
        <w:tc>
          <w:tcPr>
            <w:tcW w:w="8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445,063</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3,138</w:t>
            </w:r>
          </w:p>
        </w:tc>
        <w:tc>
          <w:tcPr>
            <w:tcW w:w="12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53,666,718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307,634</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3"/>
              </w:rPr>
              <w:t>(194,861)</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115,911</w:t>
            </w:r>
          </w:p>
        </w:tc>
      </w:tr>
    </w:tbl>
    <w:p>
      <w:pPr>
        <w:ind w:left="320" w:hanging="317"/>
        <w:spacing w:after="0" w:line="227" w:lineRule="auto"/>
        <w:tabs>
          <w:tab w:leader="none" w:pos="320" w:val="left"/>
        </w:tabs>
        <w:numPr>
          <w:ilvl w:val="0"/>
          <w:numId w:val="3"/>
        </w:numPr>
        <w:rPr>
          <w:rFonts w:ascii="Arial" w:cs="Arial" w:eastAsia="Arial" w:hAnsi="Arial"/>
          <w:sz w:val="36"/>
          <w:szCs w:val="36"/>
          <w:color w:val="auto"/>
          <w:vertAlign w:val="subscript"/>
        </w:rPr>
      </w:pPr>
      <w:r>
        <w:rPr>
          <w:rFonts w:ascii="Arial" w:cs="Arial" w:eastAsia="Arial" w:hAnsi="Arial"/>
          <w:sz w:val="14"/>
          <w:szCs w:val="14"/>
          <w:color w:val="auto"/>
        </w:rPr>
        <w:t>Refer to Note 13 regarding the public offering issued during July 2017.</w:t>
      </w:r>
    </w:p>
    <w:p>
      <w:pPr>
        <w:spacing w:after="0" w:line="47" w:lineRule="exact"/>
        <w:rPr>
          <w:rFonts w:ascii="Arial" w:cs="Arial" w:eastAsia="Arial" w:hAnsi="Arial"/>
          <w:sz w:val="36"/>
          <w:szCs w:val="36"/>
          <w:color w:val="auto"/>
          <w:vertAlign w:val="subscript"/>
        </w:rPr>
      </w:pPr>
    </w:p>
    <w:p>
      <w:pPr>
        <w:ind w:left="320" w:hanging="317"/>
        <w:spacing w:after="0" w:line="187" w:lineRule="auto"/>
        <w:tabs>
          <w:tab w:leader="none" w:pos="320" w:val="left"/>
        </w:tabs>
        <w:numPr>
          <w:ilvl w:val="0"/>
          <w:numId w:val="3"/>
        </w:numPr>
        <w:rPr>
          <w:rFonts w:ascii="Arial" w:cs="Arial" w:eastAsia="Arial" w:hAnsi="Arial"/>
          <w:sz w:val="19"/>
          <w:szCs w:val="19"/>
          <w:color w:val="auto"/>
          <w:vertAlign w:val="subscript"/>
        </w:rPr>
      </w:pPr>
      <w:r>
        <w:rPr>
          <w:rFonts w:ascii="Arial" w:cs="Arial" w:eastAsia="Arial" w:hAnsi="Arial"/>
          <w:sz w:val="11"/>
          <w:szCs w:val="11"/>
          <w:color w:val="auto"/>
        </w:rPr>
        <w:t>Refer to Note 3 regarding the business acquisition executed during November 2017.</w:t>
      </w:r>
    </w:p>
    <w:p>
      <w:pPr>
        <w:spacing w:after="0" w:line="45" w:lineRule="exact"/>
        <w:rPr>
          <w:rFonts w:ascii="Arial" w:cs="Arial" w:eastAsia="Arial" w:hAnsi="Arial"/>
          <w:sz w:val="19"/>
          <w:szCs w:val="19"/>
          <w:color w:val="auto"/>
          <w:vertAlign w:val="subscript"/>
        </w:rPr>
      </w:pPr>
    </w:p>
    <w:p>
      <w:pPr>
        <w:ind w:left="320" w:hanging="317"/>
        <w:spacing w:after="0" w:line="187" w:lineRule="auto"/>
        <w:tabs>
          <w:tab w:leader="none" w:pos="320" w:val="left"/>
        </w:tabs>
        <w:numPr>
          <w:ilvl w:val="0"/>
          <w:numId w:val="3"/>
        </w:numPr>
        <w:rPr>
          <w:rFonts w:ascii="Arial" w:cs="Arial" w:eastAsia="Arial" w:hAnsi="Arial"/>
          <w:sz w:val="19"/>
          <w:szCs w:val="19"/>
          <w:color w:val="auto"/>
          <w:vertAlign w:val="subscript"/>
        </w:rPr>
      </w:pPr>
      <w:r>
        <w:rPr>
          <w:rFonts w:ascii="Arial" w:cs="Arial" w:eastAsia="Arial" w:hAnsi="Arial"/>
          <w:sz w:val="11"/>
          <w:szCs w:val="11"/>
          <w:color w:val="auto"/>
        </w:rPr>
        <w:t>Refer to Note 2 regarding the adoption of ASU 2016-09.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-386080</wp:posOffset>
            </wp:positionV>
            <wp:extent cx="5754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6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4"/>
                <w:szCs w:val="14"/>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33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9"/>
        </w:trPr>
        <w:tc>
          <w:tcPr>
            <w:tcW w:w="65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OPERATING ACTIVITIES:</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40" w:type="dxa"/>
            <w:vAlign w:val="bottom"/>
            <w:gridSpan w:val="2"/>
          </w:tcPr>
          <w:p>
            <w:pPr>
              <w:spacing w:after="0" w:line="176" w:lineRule="exact"/>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line="17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(11,569)</w:t>
            </w:r>
          </w:p>
        </w:tc>
        <w:tc>
          <w:tcPr>
            <w:tcW w:w="160" w:type="dxa"/>
            <w:vAlign w:val="bottom"/>
          </w:tcPr>
          <w:p>
            <w:pPr>
              <w:spacing w:after="0"/>
              <w:rPr>
                <w:sz w:val="15"/>
                <w:szCs w:val="15"/>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176"/>
        </w:trPr>
        <w:tc>
          <w:tcPr>
            <w:tcW w:w="6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Adjustments to reconcile net loss to net cash provided by (used in) operating activities: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Non-cash stock based compensation</w:t>
            </w:r>
          </w:p>
        </w:tc>
        <w:tc>
          <w:tcPr>
            <w:tcW w:w="2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2,005</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176"/>
        </w:trPr>
        <w:tc>
          <w:tcPr>
            <w:tcW w:w="66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Gain on disposal of property and equipment</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(112)</w:t>
            </w: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76"/>
        </w:trPr>
        <w:tc>
          <w:tcPr>
            <w:tcW w:w="66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Non-cash interest and amortization of debt discount</w:t>
            </w:r>
          </w:p>
        </w:tc>
        <w:tc>
          <w:tcPr>
            <w:tcW w:w="2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100</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76"/>
        </w:trPr>
        <w:tc>
          <w:tcPr>
            <w:tcW w:w="66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Bad debt expense</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506</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176"/>
        </w:trPr>
        <w:tc>
          <w:tcPr>
            <w:tcW w:w="66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5,858</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3,774</w:t>
            </w:r>
          </w:p>
        </w:tc>
        <w:tc>
          <w:tcPr>
            <w:tcW w:w="0" w:type="dxa"/>
            <w:vAlign w:val="bottom"/>
          </w:tcPr>
          <w:p>
            <w:pPr>
              <w:spacing w:after="0"/>
              <w:rPr>
                <w:sz w:val="1"/>
                <w:szCs w:val="1"/>
                <w:color w:val="auto"/>
              </w:rPr>
            </w:pPr>
          </w:p>
        </w:tc>
      </w:tr>
      <w:tr>
        <w:trPr>
          <w:trHeight w:val="176"/>
        </w:trPr>
        <w:tc>
          <w:tcPr>
            <w:tcW w:w="66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Change in fair value of warrant liabilities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176"/>
        </w:trPr>
        <w:tc>
          <w:tcPr>
            <w:tcW w:w="66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Excess tax benefits</w:t>
            </w:r>
          </w:p>
        </w:tc>
        <w:tc>
          <w:tcPr>
            <w:tcW w:w="2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67</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6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Deferred income taxes, net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6,400</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76"/>
        </w:trPr>
        <w:tc>
          <w:tcPr>
            <w:tcW w:w="66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5"/>
                <w:szCs w:val="15"/>
                <w:color w:val="auto"/>
              </w:rPr>
            </w:pPr>
          </w:p>
        </w:tc>
        <w:tc>
          <w:tcPr>
            <w:tcW w:w="104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(185)</w:t>
            </w:r>
          </w:p>
        </w:tc>
        <w:tc>
          <w:tcPr>
            <w:tcW w:w="32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6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Recognition of deferred gain from sale-leaseback transactions</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(143)</w:t>
            </w: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176"/>
        </w:trPr>
        <w:tc>
          <w:tcPr>
            <w:tcW w:w="6640" w:type="dxa"/>
            <w:vAlign w:val="bottom"/>
            <w:gridSpan w:val="2"/>
          </w:tcPr>
          <w:p>
            <w:pPr>
              <w:spacing w:after="0" w:line="176" w:lineRule="exact"/>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(12,972)</w:t>
            </w: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176"/>
        </w:trPr>
        <w:tc>
          <w:tcPr>
            <w:tcW w:w="66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Finance receivables</w:t>
            </w:r>
          </w:p>
        </w:tc>
        <w:tc>
          <w:tcPr>
            <w:tcW w:w="2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11,114</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176"/>
        </w:trPr>
        <w:tc>
          <w:tcPr>
            <w:tcW w:w="66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(5,624)</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176"/>
        </w:trPr>
        <w:tc>
          <w:tcPr>
            <w:tcW w:w="66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15"/>
                <w:szCs w:val="15"/>
                <w:color w:val="auto"/>
              </w:rPr>
            </w:pPr>
          </w:p>
        </w:tc>
        <w:tc>
          <w:tcPr>
            <w:tcW w:w="104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(564)</w:t>
            </w:r>
          </w:p>
        </w:tc>
        <w:tc>
          <w:tcPr>
            <w:tcW w:w="32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176"/>
        </w:trPr>
        <w:tc>
          <w:tcPr>
            <w:tcW w:w="66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Accounts payable and accrued expenses</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13,808</w:t>
            </w:r>
          </w:p>
        </w:tc>
        <w:tc>
          <w:tcPr>
            <w:tcW w:w="1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169"/>
        </w:trPr>
        <w:tc>
          <w:tcPr>
            <w:tcW w:w="6640" w:type="dxa"/>
            <w:vAlign w:val="bottom"/>
            <w:gridSpan w:val="2"/>
          </w:tcPr>
          <w:p>
            <w:pPr>
              <w:spacing w:after="0" w:line="170" w:lineRule="exact"/>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Pr>
          <w:p>
            <w:pPr>
              <w:spacing w:after="0"/>
              <w:rPr>
                <w:sz w:val="14"/>
                <w:szCs w:val="14"/>
                <w:color w:val="auto"/>
              </w:rPr>
            </w:pPr>
          </w:p>
        </w:tc>
        <w:tc>
          <w:tcPr>
            <w:tcW w:w="880" w:type="dxa"/>
            <w:vAlign w:val="bottom"/>
          </w:tcPr>
          <w:p>
            <w:pPr>
              <w:jc w:val="right"/>
              <w:spacing w:after="0" w:line="170" w:lineRule="exact"/>
              <w:rPr>
                <w:sz w:val="20"/>
                <w:szCs w:val="20"/>
                <w:color w:val="auto"/>
              </w:rPr>
            </w:pPr>
            <w:r>
              <w:rPr>
                <w:rFonts w:ascii="Arial" w:cs="Arial" w:eastAsia="Arial" w:hAnsi="Arial"/>
                <w:sz w:val="18"/>
                <w:szCs w:val="18"/>
                <w:color w:val="auto"/>
              </w:rPr>
              <w:t>8,689</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Arial" w:cs="Arial" w:eastAsia="Arial" w:hAnsi="Arial"/>
                <w:sz w:val="18"/>
                <w:szCs w:val="18"/>
                <w:color w:val="auto"/>
              </w:rPr>
              <w:t>(4,295)</w:t>
            </w: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40" w:type="dxa"/>
            <w:vAlign w:val="bottom"/>
            <w:gridSpan w:val="2"/>
          </w:tcPr>
          <w:p>
            <w:pPr>
              <w:spacing w:after="0" w:line="176" w:lineRule="exact"/>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Purchase of property and equipment, including rentals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(3,005)</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176"/>
        </w:trPr>
        <w:tc>
          <w:tcPr>
            <w:tcW w:w="6640" w:type="dxa"/>
            <w:vAlign w:val="bottom"/>
            <w:gridSpan w:val="2"/>
          </w:tcPr>
          <w:p>
            <w:pPr>
              <w:spacing w:after="0" w:line="176" w:lineRule="exact"/>
              <w:rPr>
                <w:sz w:val="20"/>
                <w:szCs w:val="20"/>
                <w:color w:val="auto"/>
              </w:rPr>
            </w:pPr>
            <w:r>
              <w:rPr>
                <w:rFonts w:ascii="Arial" w:cs="Arial" w:eastAsia="Arial" w:hAnsi="Arial"/>
                <w:sz w:val="18"/>
                <w:szCs w:val="18"/>
                <w:color w:val="auto"/>
              </w:rPr>
              <w:t>Proceeds from sale of property and equipment, including rentals</w:t>
            </w:r>
          </w:p>
        </w:tc>
        <w:tc>
          <w:tcPr>
            <w:tcW w:w="2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252</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76"/>
        </w:trPr>
        <w:tc>
          <w:tcPr>
            <w:tcW w:w="6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Cash paid for assets acquired from Cantaloupe</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(65,181)</w:t>
            </w: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6640" w:type="dxa"/>
            <w:vAlign w:val="bottom"/>
            <w:gridSpan w:val="2"/>
          </w:tcPr>
          <w:p>
            <w:pPr>
              <w:spacing w:after="0" w:line="170" w:lineRule="exact"/>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(67,934)</w:t>
            </w:r>
          </w:p>
        </w:tc>
        <w:tc>
          <w:tcPr>
            <w:tcW w:w="1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40" w:type="dxa"/>
            <w:vAlign w:val="bottom"/>
            <w:gridSpan w:val="2"/>
          </w:tcPr>
          <w:p>
            <w:pPr>
              <w:spacing w:after="0" w:line="176" w:lineRule="exact"/>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Payment of debt issuance costs</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(445)</w:t>
            </w: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76"/>
        </w:trPr>
        <w:tc>
          <w:tcPr>
            <w:tcW w:w="6640" w:type="dxa"/>
            <w:vAlign w:val="bottom"/>
            <w:gridSpan w:val="2"/>
          </w:tcPr>
          <w:p>
            <w:pPr>
              <w:spacing w:after="0" w:line="176" w:lineRule="exact"/>
              <w:rPr>
                <w:sz w:val="20"/>
                <w:szCs w:val="20"/>
                <w:color w:val="auto"/>
              </w:rPr>
            </w:pPr>
            <w:r>
              <w:rPr>
                <w:rFonts w:ascii="Arial" w:cs="Arial" w:eastAsia="Arial" w:hAnsi="Arial"/>
                <w:sz w:val="18"/>
                <w:szCs w:val="18"/>
                <w:color w:val="auto"/>
              </w:rPr>
              <w:t>Issuance of common stock in public offering, net</w:t>
            </w:r>
          </w:p>
        </w:tc>
        <w:tc>
          <w:tcPr>
            <w:tcW w:w="2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39,888</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Proceeds from issuance of long-term debt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25,100</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640" w:type="dxa"/>
            <w:vAlign w:val="bottom"/>
            <w:gridSpan w:val="2"/>
          </w:tcPr>
          <w:p>
            <w:pPr>
              <w:spacing w:after="0" w:line="176" w:lineRule="exact"/>
              <w:rPr>
                <w:sz w:val="20"/>
                <w:szCs w:val="20"/>
                <w:color w:val="auto"/>
              </w:rPr>
            </w:pPr>
            <w:r>
              <w:rPr>
                <w:rFonts w:ascii="Arial" w:cs="Arial" w:eastAsia="Arial" w:hAnsi="Arial"/>
                <w:sz w:val="18"/>
                <w:szCs w:val="18"/>
                <w:color w:val="auto"/>
              </w:rPr>
              <w:t>Proceeds from Revolving Credit Facility</w:t>
            </w:r>
          </w:p>
        </w:tc>
        <w:tc>
          <w:tcPr>
            <w:tcW w:w="2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12,500</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Repayment of Revolving Credit Facility</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640" w:type="dxa"/>
            <w:vAlign w:val="bottom"/>
            <w:gridSpan w:val="2"/>
          </w:tcPr>
          <w:p>
            <w:pPr>
              <w:spacing w:after="0" w:line="176" w:lineRule="exact"/>
              <w:rPr>
                <w:sz w:val="20"/>
                <w:szCs w:val="20"/>
                <w:color w:val="auto"/>
              </w:rPr>
            </w:pPr>
            <w:r>
              <w:rPr>
                <w:rFonts w:ascii="Arial" w:cs="Arial" w:eastAsia="Arial" w:hAnsi="Arial"/>
                <w:sz w:val="18"/>
                <w:szCs w:val="18"/>
                <w:color w:val="auto"/>
              </w:rPr>
              <w:t>Repayment of Line of Credit, net</w:t>
            </w:r>
          </w:p>
        </w:tc>
        <w:tc>
          <w:tcPr>
            <w:tcW w:w="2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(7,111)</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Repayment of capital lease obligations and long-term debt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(3,778)</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176"/>
        </w:trPr>
        <w:tc>
          <w:tcPr>
            <w:tcW w:w="6640" w:type="dxa"/>
            <w:vAlign w:val="bottom"/>
            <w:gridSpan w:val="2"/>
          </w:tcPr>
          <w:p>
            <w:pPr>
              <w:spacing w:after="0" w:line="176" w:lineRule="exact"/>
              <w:rPr>
                <w:sz w:val="20"/>
                <w:szCs w:val="20"/>
                <w:color w:val="auto"/>
              </w:rPr>
            </w:pPr>
            <w:r>
              <w:rPr>
                <w:rFonts w:ascii="Arial" w:cs="Arial" w:eastAsia="Arial" w:hAnsi="Arial"/>
                <w:sz w:val="18"/>
                <w:szCs w:val="18"/>
                <w:color w:val="auto"/>
              </w:rPr>
              <w:t>Cash used in retirement of common stock</w:t>
            </w:r>
          </w:p>
        </w:tc>
        <w:tc>
          <w:tcPr>
            <w:tcW w:w="260" w:type="dxa"/>
            <w:vAlign w:val="bottom"/>
          </w:tcPr>
          <w:p>
            <w:pPr>
              <w:spacing w:after="0"/>
              <w:rPr>
                <w:sz w:val="15"/>
                <w:szCs w:val="15"/>
                <w:color w:val="auto"/>
              </w:rPr>
            </w:pPr>
          </w:p>
        </w:tc>
        <w:tc>
          <w:tcPr>
            <w:tcW w:w="104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(156)</w:t>
            </w:r>
          </w:p>
        </w:tc>
        <w:tc>
          <w:tcPr>
            <w:tcW w:w="32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76"/>
        </w:trPr>
        <w:tc>
          <w:tcPr>
            <w:tcW w:w="6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Proceeds from exercise of common stock options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64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8"/>
                <w:szCs w:val="18"/>
                <w:color w:val="auto"/>
              </w:rPr>
              <w:t>Proceeds from exercise of common stock warrants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6,193</w:t>
            </w:r>
          </w:p>
        </w:tc>
        <w:tc>
          <w:tcPr>
            <w:tcW w:w="0" w:type="dxa"/>
            <w:vAlign w:val="bottom"/>
          </w:tcPr>
          <w:p>
            <w:pPr>
              <w:spacing w:after="0"/>
              <w:rPr>
                <w:sz w:val="1"/>
                <w:szCs w:val="1"/>
                <w:color w:val="auto"/>
              </w:rPr>
            </w:pPr>
          </w:p>
        </w:tc>
      </w:tr>
      <w:tr>
        <w:trPr>
          <w:trHeight w:val="169"/>
        </w:trPr>
        <w:tc>
          <w:tcPr>
            <w:tcW w:w="66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Net cash provided by financing activities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63,607</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5,516</w:t>
            </w:r>
          </w:p>
        </w:tc>
        <w:tc>
          <w:tcPr>
            <w:tcW w:w="0" w:type="dxa"/>
            <w:vAlign w:val="bottom"/>
          </w:tcPr>
          <w:p>
            <w:pPr>
              <w:spacing w:after="0"/>
              <w:rPr>
                <w:sz w:val="1"/>
                <w:szCs w:val="1"/>
                <w:color w:val="auto"/>
              </w:rPr>
            </w:pPr>
          </w:p>
        </w:tc>
      </w:tr>
      <w:tr>
        <w:trPr>
          <w:trHeight w:val="176"/>
        </w:trPr>
        <w:tc>
          <w:tcPr>
            <w:tcW w:w="6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4,362</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176"/>
        </w:trPr>
        <w:tc>
          <w:tcPr>
            <w:tcW w:w="664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8"/>
                <w:szCs w:val="18"/>
                <w:color w:val="auto"/>
              </w:rPr>
              <w:t>Cash and cash equivalents at beginning of year</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12,745</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19,272</w:t>
            </w:r>
          </w:p>
        </w:tc>
        <w:tc>
          <w:tcPr>
            <w:tcW w:w="0" w:type="dxa"/>
            <w:vAlign w:val="bottom"/>
          </w:tcPr>
          <w:p>
            <w:pPr>
              <w:spacing w:after="0"/>
              <w:rPr>
                <w:sz w:val="1"/>
                <w:szCs w:val="1"/>
                <w:color w:val="auto"/>
              </w:rPr>
            </w:pPr>
          </w:p>
        </w:tc>
      </w:tr>
      <w:tr>
        <w:trPr>
          <w:trHeight w:val="176"/>
        </w:trPr>
        <w:tc>
          <w:tcPr>
            <w:tcW w:w="6640" w:type="dxa"/>
            <w:vAlign w:val="bottom"/>
            <w:tcBorders>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17,107</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5"/>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17,780</w:t>
            </w:r>
          </w:p>
        </w:tc>
        <w:tc>
          <w:tcPr>
            <w:tcW w:w="0" w:type="dxa"/>
            <w:vAlign w:val="bottom"/>
          </w:tcPr>
          <w:p>
            <w:pPr>
              <w:spacing w:after="0"/>
              <w:rPr>
                <w:sz w:val="1"/>
                <w:szCs w:val="1"/>
                <w:color w:val="auto"/>
              </w:rPr>
            </w:pPr>
          </w:p>
        </w:tc>
      </w:tr>
      <w:tr>
        <w:trPr>
          <w:trHeight w:val="176"/>
        </w:trPr>
        <w:tc>
          <w:tcPr>
            <w:tcW w:w="6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Supplemental disclosures of cash flow information</w:t>
            </w: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4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8"/>
                <w:szCs w:val="18"/>
                <w:color w:val="auto"/>
              </w:rPr>
              <w:t>Interest paid in cash</w:t>
            </w:r>
          </w:p>
        </w:tc>
        <w:tc>
          <w:tcPr>
            <w:tcW w:w="260" w:type="dxa"/>
            <w:vAlign w:val="bottom"/>
            <w:tcBorders>
              <w:bottom w:val="single" w:sz="8" w:color="auto"/>
            </w:tcBorders>
          </w:tcPr>
          <w:p>
            <w:pPr>
              <w:jc w:val="right"/>
              <w:ind w:right="70"/>
              <w:spacing w:after="0" w:line="17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1,153</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Income taxes paid in cash (refund), net</w:t>
            </w:r>
          </w:p>
        </w:tc>
        <w:tc>
          <w:tcPr>
            <w:tcW w:w="260" w:type="dxa"/>
            <w:vAlign w:val="bottom"/>
            <w:tcBorders>
              <w:bottom w:val="single" w:sz="8" w:color="auto"/>
            </w:tcBorders>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3"/>
        </w:trPr>
        <w:tc>
          <w:tcPr>
            <w:tcW w:w="6640" w:type="dxa"/>
            <w:vAlign w:val="bottom"/>
            <w:gridSpan w:val="2"/>
          </w:tcPr>
          <w:p>
            <w:pPr>
              <w:spacing w:after="0" w:line="163" w:lineRule="exact"/>
              <w:rPr>
                <w:sz w:val="20"/>
                <w:szCs w:val="20"/>
                <w:color w:val="auto"/>
              </w:rPr>
            </w:pPr>
            <w:r>
              <w:rPr>
                <w:rFonts w:ascii="Arial" w:cs="Arial" w:eastAsia="Arial" w:hAnsi="Arial"/>
                <w:sz w:val="18"/>
                <w:szCs w:val="18"/>
                <w:i w:val="1"/>
                <w:iCs w:val="1"/>
                <w:color w:val="auto"/>
              </w:rPr>
              <w:t>Supplemental disclosures of noncash financing and investing activities: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40" w:type="dxa"/>
            <w:vAlign w:val="bottom"/>
            <w:gridSpan w:val="2"/>
            <w:shd w:val="clear" w:color="auto" w:fill="CCEEFF"/>
          </w:tcPr>
          <w:p>
            <w:pPr>
              <w:spacing w:after="0" w:line="149" w:lineRule="exact"/>
              <w:rPr>
                <w:sz w:val="20"/>
                <w:szCs w:val="20"/>
                <w:color w:val="auto"/>
              </w:rPr>
            </w:pPr>
            <w:r>
              <w:rPr>
                <w:rFonts w:ascii="Arial" w:cs="Arial" w:eastAsia="Arial" w:hAnsi="Arial"/>
                <w:sz w:val="17"/>
                <w:szCs w:val="17"/>
                <w:color w:val="auto"/>
              </w:rPr>
              <w:t>Equity issued in connection with Cantaloupe Acquisition, net of post-working capital</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19,789</w:t>
            </w:r>
          </w:p>
        </w:tc>
        <w:tc>
          <w:tcPr>
            <w:tcW w:w="16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640" w:type="dxa"/>
            <w:vAlign w:val="bottom"/>
            <w:tcBorders>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adjustment for retired shares</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6640" w:type="dxa"/>
            <w:vAlign w:val="bottom"/>
            <w:gridSpan w:val="2"/>
          </w:tcPr>
          <w:p>
            <w:pPr>
              <w:spacing w:after="0" w:line="163" w:lineRule="exact"/>
              <w:rPr>
                <w:sz w:val="20"/>
                <w:szCs w:val="20"/>
                <w:color w:val="auto"/>
              </w:rPr>
            </w:pPr>
            <w:r>
              <w:rPr>
                <w:rFonts w:ascii="Arial" w:cs="Arial" w:eastAsia="Arial" w:hAnsi="Arial"/>
                <w:sz w:val="18"/>
                <w:szCs w:val="18"/>
                <w:color w:val="auto"/>
              </w:rPr>
              <w:t>Equipment and software acquired under capital lease</w:t>
            </w:r>
          </w:p>
        </w:tc>
        <w:tc>
          <w:tcPr>
            <w:tcW w:w="260" w:type="dxa"/>
            <w:vAlign w:val="bottom"/>
            <w:tcBorders>
              <w:bottom w:val="single" w:sz="8" w:color="auto"/>
            </w:tcBorders>
          </w:tcPr>
          <w:p>
            <w:pPr>
              <w:jc w:val="right"/>
              <w:ind w:right="70"/>
              <w:spacing w:after="0" w:line="16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227</w:t>
            </w: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ind w:right="165"/>
              <w:spacing w:after="0" w:line="163"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USA Technologies, Inc. (the “Company”, “We”, “USAT”, or “Our”) was incorporated in the Commonwealth of Pennsylvania in January 1992. We are a provider of technology-enabled solutions and value-added services that facilitate electronic payment transactions and consumer engagement services primarily within the unattended Point of Sale (“POS”) market. We are a leading provider in the small ticket, beverage and food vending industry and are expanding our solutions and services to other unattended market segments, such as amusement, commercial laundry, kiosk and others. Since our founding, we have designed and marketed systems and solutions that facilitate electronic payment options, as well as telemetry Internet of Things (“IoT”)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 The connection to the ePort Connect platform also enables consumer loyalty programs, national rewards programs and digital content, including advertisements and product information to be delivered at the point of sale.</w:t>
      </w:r>
    </w:p>
    <w:p>
      <w:pPr>
        <w:spacing w:after="0" w:line="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November 9, 2017, the Company acquired all of the outstanding equity interests of Cantaloupe Systems, Inc. (“Cantaloupe”), pursuant to the Agreement and Plan of Merger (“Merger Agreement”). Cantaloupe is a premier provider of cloud and mobile solutions for vending, micro markets, and office coffee service. The acquisition expanded the Company’s existing platform to become an end-to-end enterprise platform integrating Cantaloupe’s Seed Cloud which provides cloud and mobile solutions for dynamic route scheduling, automated pre-kitting, responsive merchandising, inventory management, warehouse and accounting management, as well as cashless vending. The combined companies complete the value chain for customers by providing both top-line revenue generating services as well as bottom line business efficiency services to help operators of unattended retail machines run their business better. The combined product offering provides the data-rich Seed system with USAT’s consumer benefits, providing operators with valuable consumer data that results in customized experiences. In addition to new technology and services, due to Cantaloupe’s existing customer base, the acquisition expands the Company’s footprint into new global markets.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accompanying unaudited consolidated financial statements of the Company have been prepared in accordance with U.S. generally accepted accounting principles for interim financial information and with the instructions to Form 10-</w:t>
      </w:r>
    </w:p>
    <w:p>
      <w:pPr>
        <w:jc w:val="both"/>
        <w:ind w:firstLine="3"/>
        <w:spacing w:after="0" w:line="288" w:lineRule="auto"/>
        <w:tabs>
          <w:tab w:leader="none" w:pos="297" w:val="left"/>
        </w:tabs>
        <w:numPr>
          <w:ilvl w:val="0"/>
          <w:numId w:val="4"/>
        </w:numPr>
        <w:rPr>
          <w:rFonts w:ascii="Arial" w:cs="Arial" w:eastAsia="Arial" w:hAnsi="Arial"/>
          <w:sz w:val="16"/>
          <w:szCs w:val="16"/>
          <w:color w:val="auto"/>
        </w:rPr>
      </w:pPr>
      <w:r>
        <w:rPr>
          <w:rFonts w:ascii="Arial" w:cs="Arial" w:eastAsia="Arial" w:hAnsi="Arial"/>
          <w:sz w:val="16"/>
          <w:szCs w:val="16"/>
          <w:color w:val="auto"/>
        </w:rPr>
        <w:t>Accordingly, they do not include all of the information and footnotes required by U.S. generally accepted accounting principles for complete financial statements and therefore should be read in conjunction with the Company’s Annual Report on Form 10-K for the year ended June 30, 2017. In the opinion of management, all adjustments considered necessary for a fair presentation, consisting of normal recurring adjustments, have been included. Operating results for the three and nine months ended March 31, 2018 are not necessarily indicative of the results that may be expected for the year ending June 30, 2018. The balance sheet at June 30, 2017 has been derived from the audited consolidated financial statements at that date, but does not include all disclosures required by accounting principles generally accepted in the United States of America.</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reclassifications of prior year’s data have been made to conform to current year’s presentation. As disclosed in Note 3, the Company incurred integration and acquisition costs during the current fiscal year and deemed it appropriate to have such costs individually captioned within the Statement of Operations. Accordingly, the Company retrospectively reclassified integration and acquisition costs incurred in the corresponding periods from the previous fiscal year to conform to the current period’s presentation.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 in fiscal year 2018</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2017, the Financial Accounting Standards Board (the "FASB") issued Accounting Standards Update No. 2017-04 ("ASU 2017-04"), which eliminates Step 2 from the goodwill impairment test. Under ASU 2017-04,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Additionally, an entity should consider income tax effects from any tax deductible goodwill on the carrying amount of the reporting unit when measuring the goodwill impairment loss, if applicable. ASU 2017-04 is effective for annual or any interim goodwill impairment tests in fiscal years beginning after December 15, 2019. We early adopted ASU 2017-04 for impairment tests to be performed on testing dates after July 1, 2017, which did not impact our consolidated financial statements.</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March 2016, the FASB issued ASU No. 2016-09, Compensation - Stock Compensation (Topic 718), Improvements to Employee Share-Based Payment Accounting, which modifies the accounting for certain aspects of share-based payments to employees. The new guidance requires excess tax benefits and tax deficiencies to be recorded in the income statement when stock awards vest or are settled. In addition, cash flows related to excess tax benefits are to be separately classified as an operating activity apart from other income tax cash flows. The standard also allows the Company to repurchase more of an employee’s vested shares for tax withholding purposes without triggering liability accounting, and clarifies that all cash payments made to tax authorities on an employee’s behalf for withheld shares should be presented as a financing activity on the statement of cash flows. The Company adopted this standard as of July 1, 2017.</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primary impact of adoption was the recognition of excess tax benefits in the Company's provision for income taxes which is applied prospectively starting July 1, 2017 in accordance with the guidance. Adoption of the new standard resulted in the recognition of $31 thousand of excess tax benefits in the Company's provision for income taxes for the nine months ended March 31, 2018. Through June 30, 2017 excess tax benefits were reflected as a reduction of deferred tax assets via reducing actual operating loss carryforwards because such benefits had not reduced income taxes payable. Under the new standard the treatment of excess tax benefits changed and the cumulative excess tax benefits as of June 30, 2017 amounting to $67 thousand were credited to accumulated deficit.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adoption of ASU No. 2016-09 did not impact our statement of cash flows for the nine months ended March 31,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to be adopted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evaluating whether the effects of the following recent accounting pronouncements or any other recently issued, but not yet effective accounting standards, will have a material effect on the Company’s consolidated financial position, results of operations or cash flows.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the FASB issued ASU 2014-09, “Revenue from Contracts with Customers (Topic 606) (“the New Standard”). This New Standard was amended by ASU No. 2015-14, issued in August 2015, which deferred the original effective date by one year. The New Standard provides a single model for entities to use in accounting for revenue arising from contracts with customers and will supersede most current revenue recognition guidance. The New Standard also requires expanded qualitative and quantitative disclosures about the nature, timing and uncertainty of revenue and cash flows rising from contracts with customers. The New Standard is now effective for fiscal years, and interim reporting periods within those years, beginning with the year ending June 30, 2019.</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project plan includes a three-phase approach to implementing this New Standard. The Company has completed its initial assessment work for the consolidated company, during which the Company identified work which included internal surveys of the business, holding revenue recognition workshops with sales and business unit finance leadership, and reviewing a representative sample of revenue arrangements across the business to initially identify a set of applicable qualitative revenue recognition changes related to the New Standard.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objectives for the second phase of the project will be to establish and document key accounting policies and assess disclosures, business process and control impacts resulting from the New Standard. New policies and procedures identified during phase two will be applied to the consolidated company. Lastly, the objectives of phase three will comprise effectively implementing the New Standard and embedding the new accounting treatment into the Company’s business processes and controls to support the financial reporting requirements. Phase two and three are expected to be completed in the fourth quarter of 2018.</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still evaluating the impact that the New Standard will have on the Company’s consolidated financial statements and will be unable to quantify its impact until the third phase of the project has been completed. The New Standard is expected to impact the Company’s revenue recognition processes, primarily in the areas of the allocation of contract revenues. An entity can elect to apply the New Standard under one of the following two methods: (i) retrospectively to each prior reporting period presented – referred to as the full retrospective method or (ii) retrospectively with the cumulative effect of initially applying the New Standard recognized at the date of initial application in retained earning – referred to as the modified retrospective method. The method of adoption has not yet been determined and is not expected to be finalized until the second phase of the project plan has been completed.</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22222"/>
        </w:rPr>
        <w:t>In February 2016, the FASB issued ASU 2016-02, "Leases (Topic 842)." ASU 2016-02 requires that a lessee recognize the assets and liabilities that arise from operating leases. A lessee should recognize in the statement of financial position a liability to make lease payments (the lease liability) and a right-of-use asset representing its right to use the underlying asset for the lease term. For leases with a term of 12 months or less, a lessee is permitted to make an accounting policy election by class of underlying asset not to recognize lease assets and lease liabilities. In transition, lessees and lessors are required to recognize and measure leases at the beginning of the earliest period presented using a modified retrospective approach. The company is the lessee under various agreements which are accounted for as operating leases. This amendment will be effective for the Company beginning with the year ending June 30, 2020, including interim periods within those fiscal years. Early application is permitted.</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2016, the FASB issued ASU No. 2016-13, “Financial Instruments – Credit Losses (Topic 326).” The new guidance introduces the accounting for estimated credit losses pertaining to certain types of financial instruments, including but not limited to, trade and lease receivables. This pronouncement will be effective for fiscal years beginning after December 15, 2019. Early adoption of the guidance is permitted for fiscal years beginning after December 15, 2018.</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2016, the FASB issued ASU No. 2016-15, “Statement of Cash Flows (Topic 230), Classification of Certain Cash Receipts and Cash Payments.” The new guidance makes eight targeted changes to how cash receipts and cash payments are presented and classified in the statement of cash flows. This pronouncement will be effective for the Company beginning with the year ending June 30, 2019, and interim periods within that fiscal year.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The new guidance requires adoption on a retrospective basis unless it is impracticable to apply, in which case the company would be required to apply the amendments prospectively as of the earliest date practicable. Upon adoption, the Company does not anticipate significant changes to the Company's existing accounting policies or presentation of the Statement of Cash Flows.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ASU No. 2017-01, “Business Combinations (Topic 805), Clarifying the Definition of a Business.” ASU 2017-01 provides guidance in ascertaining whether a collection of assets and activities is considered a business. Adoption of the amendment will be applied prospectively effective for annual periods beginning after December 15, 2017 with early adoption permissible for specific transactions. Adoption is not expected to have a material effect on the Company’s consolidated financial statements.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2017, the FASB issued ASU No. 2017-09, “Compensation – Stock Compensation (Topic 718), Scope of Modification Accounting.” The standard provides guidance about which changes to the terms or conditions of a share-based payment award require modification accounting, which may result in a different fair value for the award. This ASU is effective for annual periods and interim periods beginning after December 15, 2017, with early adoption permissible. The guidance is required to be applied prospectively to awards modified on or after the effective date. Historically, modifications to our share-based payment awards have been limited. As such, we do not expect the application of this standard to have a material effect on our results of operations or financial position.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 OF CANTALOUPE SYSTEMS, INC.</w:t>
      </w:r>
    </w:p>
    <w:p>
      <w:pPr>
        <w:spacing w:after="0" w:line="1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9, 2017, the Company acquired all of the outstanding equity interests of Cantaloupe pursuant to the Merger Agreement, for approximately $84.7 million in aggregate consideration. Cantaloupe is a premier provider of cloud and mobile solutions for vending, micro markets, and office coffee service.</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acquisition expanded the Company’s existing platform to become an end-to-end enterprise platform integrating Cantaloupe’s Seed Cloud which provides cloud and mobile solutions for dynamic route scheduling, automated pre-kitting, responsive merchandising, inventory management, warehouse and accounting management, as well as cashless vending. In addition to new technology and services, due to Cantaloupe’s existing customer base, the acquisition expands the Company’s footprint into new global markets.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purchase price consideration consisted of the following:</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84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0"/>
        </w:trPr>
        <w:tc>
          <w:tcPr>
            <w:tcW w:w="6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Cash consideration, net of cash acquired </w:t>
            </w:r>
            <w:r>
              <w:rPr>
                <w:rFonts w:ascii="Arial" w:cs="Arial" w:eastAsia="Arial" w:hAnsi="Arial"/>
                <w:sz w:val="18"/>
                <w:szCs w:val="18"/>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(65,181)</w:t>
            </w: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 xml:space="preserve">USAT shares issued as stock consideration </w:t>
            </w:r>
            <w:r>
              <w:rPr>
                <w:rFonts w:ascii="Arial" w:cs="Arial" w:eastAsia="Arial" w:hAnsi="Arial"/>
                <w:sz w:val="18"/>
                <w:szCs w:val="18"/>
                <w:color w:val="auto"/>
                <w:vertAlign w:val="superscript"/>
              </w:rPr>
              <w:t>(2)</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(19,810)</w:t>
            </w: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Post-closing adjustment for working capital </w:t>
            </w:r>
            <w:r>
              <w:rPr>
                <w:rFonts w:ascii="Arial" w:cs="Arial" w:eastAsia="Arial" w:hAnsi="Arial"/>
                <w:sz w:val="18"/>
                <w:szCs w:val="18"/>
                <w:color w:val="auto"/>
                <w:vertAlign w:val="superscript"/>
              </w:rPr>
              <w:t>(3)</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17"/>
        </w:trPr>
        <w:tc>
          <w:tcPr>
            <w:tcW w:w="6840" w:type="dxa"/>
            <w:vAlign w:val="bottom"/>
            <w:gridSpan w:val="2"/>
          </w:tcPr>
          <w:p>
            <w:pPr>
              <w:spacing w:after="0"/>
              <w:rPr>
                <w:sz w:val="20"/>
                <w:szCs w:val="20"/>
                <w:color w:val="auto"/>
              </w:rPr>
            </w:pPr>
            <w:r>
              <w:rPr>
                <w:rFonts w:ascii="Arial" w:cs="Arial" w:eastAsia="Arial" w:hAnsi="Arial"/>
                <w:sz w:val="18"/>
                <w:szCs w:val="18"/>
                <w:color w:val="auto"/>
              </w:rPr>
              <w:t>Total consideration</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57543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900" w:hanging="330"/>
        <w:spacing w:after="0" w:line="253"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Cash Consideration is subject to certain post-closing adjustments, including with respect to the Company’s net working capital, as set forth in the Merger Agreement.</w:t>
      </w:r>
    </w:p>
    <w:p>
      <w:pPr>
        <w:spacing w:after="0" w:line="133" w:lineRule="exact"/>
        <w:rPr>
          <w:rFonts w:ascii="Arial" w:cs="Arial" w:eastAsia="Arial" w:hAnsi="Arial"/>
          <w:sz w:val="14"/>
          <w:szCs w:val="14"/>
          <w:color w:val="auto"/>
        </w:rPr>
      </w:pPr>
    </w:p>
    <w:p>
      <w:pPr>
        <w:jc w:val="both"/>
        <w:ind w:left="900" w:hanging="330"/>
        <w:spacing w:after="0" w:line="229"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the stock consideration amount pursuant to the terms and conditions of the Merger Agreement equal to the 3,423,367 USAT Shares issued by the Company, multiplied by the fair market value per share of the USAT common stock, as determined by the Merger Agreement. Pursuant to an Escrow Agreement, 1,496,707 of the USAT Shares, with a value of $8.7 million as determined under the Merger Agreement, were not delivered to the former stockholders or warrant holders of Cantaloupe but are to be held in escrow for a minimum of fifteen months following the acquisition as partial security for certain indemnification obligations of the former stockholders and warrant holders of Cantaloupe under the Merger Agreement.</w:t>
      </w:r>
    </w:p>
    <w:p>
      <w:pPr>
        <w:spacing w:after="0" w:line="145" w:lineRule="exact"/>
        <w:rPr>
          <w:rFonts w:ascii="Arial" w:cs="Arial" w:eastAsia="Arial" w:hAnsi="Arial"/>
          <w:sz w:val="14"/>
          <w:szCs w:val="14"/>
          <w:color w:val="auto"/>
        </w:rPr>
      </w:pPr>
    </w:p>
    <w:p>
      <w:pPr>
        <w:jc w:val="both"/>
        <w:ind w:left="900" w:hanging="330"/>
        <w:spacing w:after="0" w:line="238"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During the third quarter ended March 31, 2018, the Company recorded a receivable of $232 thousand and cancelled 3,577 of our shares that had been held in escrow with a fair value of $21 thousand to reflect the final net working capital adjustment, as set forth in the Merger Agreement.</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financed a portion of the purchase price with proceeds from a $25.0 million term loan (“Term Loan”) and $10.0 million of borrowings under a line of credit (“Revolving Credit Facility”), provided by JPMorgan Chase Bank, N.A., for an aggregate principal amount of $35.0 million. Refer to Note 10 for additional details.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acquisition of Cantaloupe was accounted for as a business combination using the acquisition method. Under the acquisition method of accounting, the assets acquired and liabilities assumed in the transaction were recorded at the date of acquisition at their respective fair values using assumptions that are subject to change. The Company has not finalized its valuation of certain assets and liabilities recorded in connection with this transaction. Thus, the estimated measurements recorded to date are subject to change and any changes will be recorded as adjustments to the fair value of those assets and liabilities and residual amounts will be allocated to goodwill. The final valuation adjustments may also require adjustment to the consolidated statements of operations and cash flows. The final determination of these fair values will be completed as soon as possible but no later than one year from the acquisition date.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fair value of total consideration transferred to the holders of all of the outstanding equity interests of Cantaloupe at the acquisition date of November 9, 2017:</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152"/>
              <w:spacing w:after="0"/>
              <w:rPr>
                <w:sz w:val="20"/>
                <w:szCs w:val="20"/>
                <w:color w:val="auto"/>
              </w:rPr>
            </w:pPr>
            <w:r>
              <w:rPr>
                <w:rFonts w:ascii="Arial" w:cs="Arial" w:eastAsia="Arial" w:hAnsi="Arial"/>
                <w:sz w:val="14"/>
                <w:szCs w:val="14"/>
                <w:b w:val="1"/>
                <w:bCs w:val="1"/>
                <w:color w:val="auto"/>
              </w:rPr>
              <w:t>Cantaloupe</w:t>
            </w:r>
          </w:p>
        </w:tc>
        <w:tc>
          <w:tcPr>
            <w:tcW w:w="0" w:type="dxa"/>
            <w:vAlign w:val="bottom"/>
          </w:tcPr>
          <w:p>
            <w:pPr>
              <w:spacing w:after="0"/>
              <w:rPr>
                <w:sz w:val="1"/>
                <w:szCs w:val="1"/>
                <w:color w:val="auto"/>
              </w:rPr>
            </w:pPr>
          </w:p>
        </w:tc>
      </w:tr>
      <w:tr>
        <w:trPr>
          <w:trHeight w:val="171"/>
        </w:trPr>
        <w:tc>
          <w:tcPr>
            <w:tcW w:w="58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3"/>
              </w:rPr>
              <w:t>Systems, Inc.</w:t>
            </w: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16"/>
        </w:trPr>
        <w:tc>
          <w:tcPr>
            <w:tcW w:w="5800" w:type="dxa"/>
            <w:vAlign w:val="bottom"/>
          </w:tcPr>
          <w:p>
            <w:pPr>
              <w:ind w:left="100"/>
              <w:spacing w:after="0"/>
              <w:rPr>
                <w:sz w:val="20"/>
                <w:szCs w:val="20"/>
                <w:color w:val="auto"/>
              </w:rPr>
            </w:pPr>
            <w:r>
              <w:rPr>
                <w:rFonts w:ascii="Arial" w:cs="Arial" w:eastAsia="Arial" w:hAnsi="Arial"/>
                <w:sz w:val="18"/>
                <w:szCs w:val="18"/>
                <w:color w:val="auto"/>
              </w:rPr>
              <w:t>Finance receivables, current portion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5800" w:type="dxa"/>
            <w:vAlign w:val="bottom"/>
          </w:tcPr>
          <w:p>
            <w:pPr>
              <w:ind w:left="100"/>
              <w:spacing w:after="0"/>
              <w:rPr>
                <w:sz w:val="20"/>
                <w:szCs w:val="20"/>
                <w:color w:val="auto"/>
              </w:rPr>
            </w:pPr>
            <w:r>
              <w:rPr>
                <w:rFonts w:ascii="Arial" w:cs="Arial" w:eastAsia="Arial" w:hAnsi="Arial"/>
                <w:sz w:val="18"/>
                <w:szCs w:val="18"/>
                <w:color w:val="auto"/>
              </w:rPr>
              <w:t>Prepaid expense and other current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receivables, less current portion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16"/>
        </w:trPr>
        <w:tc>
          <w:tcPr>
            <w:tcW w:w="5800" w:type="dxa"/>
            <w:vAlign w:val="bottom"/>
          </w:tcPr>
          <w:p>
            <w:pPr>
              <w:ind w:left="10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and equipment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16"/>
        </w:trPr>
        <w:tc>
          <w:tcPr>
            <w:tcW w:w="5800" w:type="dxa"/>
            <w:vAlign w:val="bottom"/>
          </w:tcPr>
          <w:p>
            <w:pPr>
              <w:ind w:left="100"/>
              <w:spacing w:after="0"/>
              <w:rPr>
                <w:sz w:val="20"/>
                <w:szCs w:val="20"/>
                <w:color w:val="auto"/>
              </w:rPr>
            </w:pPr>
            <w:r>
              <w:rPr>
                <w:rFonts w:ascii="Arial" w:cs="Arial" w:eastAsia="Arial" w:hAnsi="Arial"/>
                <w:sz w:val="18"/>
                <w:szCs w:val="18"/>
                <w:color w:val="auto"/>
              </w:rPr>
              <w:t>Intangibles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30,800</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52,704</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assets acquired</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94,946</w:t>
            </w: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16"/>
        </w:trPr>
        <w:tc>
          <w:tcPr>
            <w:tcW w:w="5800" w:type="dxa"/>
            <w:vAlign w:val="bottom"/>
          </w:tcPr>
          <w:p>
            <w:pPr>
              <w:ind w:left="10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5800" w:type="dxa"/>
            <w:vAlign w:val="bottom"/>
          </w:tcPr>
          <w:p>
            <w:pPr>
              <w:ind w:left="100"/>
              <w:spacing w:after="0"/>
              <w:rPr>
                <w:sz w:val="20"/>
                <w:szCs w:val="20"/>
                <w:color w:val="auto"/>
              </w:rPr>
            </w:pPr>
            <w:r>
              <w:rPr>
                <w:rFonts w:ascii="Arial" w:cs="Arial" w:eastAsia="Arial" w:hAnsi="Arial"/>
                <w:sz w:val="18"/>
                <w:szCs w:val="18"/>
                <w:color w:val="auto"/>
              </w:rPr>
              <w:t>Capital lease obligations and current obligations under long-term debt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 lease obligations and long-term debt, less current portion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Deferred income tax liabilities</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17"/>
        </w:trPr>
        <w:tc>
          <w:tcPr>
            <w:tcW w:w="5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net assets acquired</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84,738</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Amounts allocated to intangible assets included $18.9 million related to customer relationships, $10.3 million related to developed technology, and $1.6 million related to trade names. The fair value of the acquired customer relationships was determined using the excess earnings method. The fair value of both the acquired developed technology and the acquired trade names was determined using the relief from royalty method. The estimated useful life of the acquired intangible assets ranged from 6 to 18 years, with a weighted average estimated useful life of 13 years. The related amortization will be recorded on a straight-line basis.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of $52.7 million arising from the acquisition includes the expected synergies between Cantaloupe and the Company, the value of the employee workforce, and intangible assets that do not qualify for separate recognition at the time of acquisition. The goodwill, which is not deductible for income tax purposes, was assigned to the Company’s only reporting unit.</w:t>
      </w:r>
    </w:p>
    <w:p>
      <w:pPr>
        <w:spacing w:after="0" w:line="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amount of Cantaloupe revenues included in the Company’s Consolidated Statements of Operations for the three and nine months ended March 31, 2018 is $8.9 million and $13.6 million, respectively. The amount of Cantaloupe earnings included in the Company’s Consolidated Statements of Operations for the three and nine months ended March 31, 2018 is $0.9 million and $2.7 million, respectively. The Cantaloupe earnings for the three and nine months ended March 31, 2018 included an income tax provision of $0.3 million and an income tax benefit of $1.4 million, respectively.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disclosure of pro forma information</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supplemental unaudited pro forma information presents the combined results of USAT and Cantaloupe as if the acquisition of Cantaloupe occurred on July 1, 2016. This supplemental pro forma information has been prepared for comparative purposes and does not purport to be indicative of what would have occurred had the acquisition been made on July 1, 2016, nor are they indicative of any future results.</w:t>
      </w:r>
    </w:p>
    <w:p>
      <w:pPr>
        <w:spacing w:after="0" w:line="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pro forma results include adjustments for the preliminary purchase accounting impact of the Cantaloupe acquisition (including, but not limited to, amortization associated with the acquired intangible assets, and the interest expense and amortization of deferred financing fees associated with the Term Loan and Revolving Credit Facility that were used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finance a portion of the purchase price, along with the related tax impacts) and the alignment of accounting policies. Other material non-recurring adjustments are reflected in the pro forma and described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w w:val="99"/>
              </w:rPr>
              <w:t>Three months ended March 31,</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right"/>
              <w:ind w:right="392"/>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169"/>
        </w:trPr>
        <w:tc>
          <w:tcPr>
            <w:tcW w:w="3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9"/>
        </w:trPr>
        <w:tc>
          <w:tcPr>
            <w:tcW w:w="31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35,832</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5"/>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32,265</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90"/>
              <w:spacing w:after="0" w:line="170"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103,474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90"/>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86,969</w:t>
            </w:r>
          </w:p>
        </w:tc>
        <w:tc>
          <w:tcPr>
            <w:tcW w:w="0" w:type="dxa"/>
            <w:vAlign w:val="bottom"/>
          </w:tcPr>
          <w:p>
            <w:pPr>
              <w:spacing w:after="0"/>
              <w:rPr>
                <w:sz w:val="1"/>
                <w:szCs w:val="1"/>
                <w:color w:val="auto"/>
              </w:rPr>
            </w:pPr>
          </w:p>
        </w:tc>
      </w:tr>
      <w:tr>
        <w:trPr>
          <w:trHeight w:val="176"/>
        </w:trPr>
        <w:tc>
          <w:tcPr>
            <w:tcW w:w="3160" w:type="dxa"/>
            <w:vAlign w:val="bottom"/>
          </w:tcPr>
          <w:p>
            <w:pPr>
              <w:spacing w:after="0" w:line="176" w:lineRule="exact"/>
              <w:rPr>
                <w:sz w:val="20"/>
                <w:szCs w:val="20"/>
                <w:color w:val="auto"/>
              </w:rPr>
            </w:pPr>
            <w:r>
              <w:rPr>
                <w:rFonts w:ascii="Arial" w:cs="Arial" w:eastAsia="Arial" w:hAnsi="Arial"/>
                <w:sz w:val="18"/>
                <w:szCs w:val="18"/>
                <w:color w:val="auto"/>
              </w:rPr>
              <w:t>Net income (loss) attributable to USAT</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2,488</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(339)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(8,064)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(6,898)</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Net income (loss) attributable to USAT</w:t>
            </w:r>
          </w:p>
        </w:tc>
        <w:tc>
          <w:tcPr>
            <w:tcW w:w="42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440" w:type="dxa"/>
            <w:vAlign w:val="bottom"/>
            <w:gridSpan w:val="2"/>
            <w:vMerge w:val="restart"/>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42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(8,732)</w:t>
            </w:r>
          </w:p>
        </w:tc>
        <w:tc>
          <w:tcPr>
            <w:tcW w:w="6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(7,566)</w:t>
            </w: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shares</w:t>
            </w:r>
          </w:p>
        </w:tc>
        <w:tc>
          <w:tcPr>
            <w:tcW w:w="420" w:type="dxa"/>
            <w:vAlign w:val="bottom"/>
            <w:gridSpan w:val="2"/>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line="170" w:lineRule="exact"/>
              <w:rPr>
                <w:sz w:val="20"/>
                <w:szCs w:val="20"/>
                <w:color w:val="auto"/>
              </w:rPr>
            </w:pPr>
            <w:r>
              <w:rPr>
                <w:rFonts w:ascii="Arial" w:cs="Arial" w:eastAsia="Arial" w:hAnsi="Arial"/>
                <w:sz w:val="18"/>
                <w:szCs w:val="18"/>
                <w:color w:val="auto"/>
              </w:rPr>
              <w:t>Net income (loss) per share:</w:t>
            </w:r>
          </w:p>
        </w:tc>
        <w:tc>
          <w:tcPr>
            <w:tcW w:w="1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Basic</w:t>
            </w:r>
          </w:p>
        </w:tc>
        <w:tc>
          <w:tcPr>
            <w:tcW w:w="420" w:type="dxa"/>
            <w:vAlign w:val="bottom"/>
            <w:gridSpan w:val="2"/>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0.04</w:t>
            </w:r>
          </w:p>
        </w:tc>
        <w:tc>
          <w:tcPr>
            <w:tcW w:w="440" w:type="dxa"/>
            <w:vAlign w:val="bottom"/>
            <w:gridSpan w:val="2"/>
            <w:shd w:val="clear" w:color="auto" w:fill="CCEEFF"/>
          </w:tcPr>
          <w:p>
            <w:pPr>
              <w:jc w:val="right"/>
              <w:ind w:right="125"/>
              <w:spacing w:after="0" w:line="17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(0.01)</w:t>
            </w:r>
          </w:p>
        </w:tc>
        <w:tc>
          <w:tcPr>
            <w:tcW w:w="420" w:type="dxa"/>
            <w:vAlign w:val="bottom"/>
            <w:gridSpan w:val="2"/>
            <w:shd w:val="clear" w:color="auto" w:fill="CCEEFF"/>
          </w:tcPr>
          <w:p>
            <w:pPr>
              <w:jc w:val="right"/>
              <w:ind w:right="90"/>
              <w:spacing w:after="0" w:line="17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(0.16)</w:t>
            </w:r>
          </w:p>
        </w:tc>
        <w:tc>
          <w:tcPr>
            <w:tcW w:w="360" w:type="dxa"/>
            <w:vAlign w:val="bottom"/>
            <w:gridSpan w:val="2"/>
            <w:shd w:val="clear" w:color="auto" w:fill="CCEEFF"/>
          </w:tcPr>
          <w:p>
            <w:pPr>
              <w:jc w:val="right"/>
              <w:ind w:right="90"/>
              <w:spacing w:after="0" w:line="17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170"/>
        </w:trPr>
        <w:tc>
          <w:tcPr>
            <w:tcW w:w="3160" w:type="dxa"/>
            <w:vAlign w:val="bottom"/>
            <w:tcBorders>
              <w:top w:val="single" w:sz="8" w:color="CCEEFF"/>
              <w:bottom w:val="single" w:sz="8" w:color="CCEEFF"/>
            </w:tcBorders>
          </w:tcPr>
          <w:p>
            <w:pPr>
              <w:ind w:left="120"/>
              <w:spacing w:after="0" w:line="163" w:lineRule="exact"/>
              <w:rPr>
                <w:sz w:val="20"/>
                <w:szCs w:val="20"/>
                <w:color w:val="auto"/>
              </w:rPr>
            </w:pPr>
            <w:r>
              <w:rPr>
                <w:rFonts w:ascii="Arial" w:cs="Arial" w:eastAsia="Arial" w:hAnsi="Arial"/>
                <w:sz w:val="18"/>
                <w:szCs w:val="18"/>
                <w:color w:val="auto"/>
              </w:rPr>
              <w:t>Diluted</w:t>
            </w:r>
          </w:p>
        </w:tc>
        <w:tc>
          <w:tcPr>
            <w:tcW w:w="160" w:type="dxa"/>
            <w:vAlign w:val="bottom"/>
            <w:tcBorders>
              <w:top w:val="single" w:sz="8" w:color="CCEEFF"/>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70"/>
              <w:spacing w:after="0" w:line="16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0.04</w:t>
            </w:r>
          </w:p>
        </w:tc>
        <w:tc>
          <w:tcPr>
            <w:tcW w:w="160" w:type="dxa"/>
            <w:vAlign w:val="bottom"/>
            <w:tcBorders>
              <w:top w:val="single" w:sz="8" w:color="CCEEFF"/>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25"/>
              <w:spacing w:after="0" w:line="163" w:lineRule="exact"/>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(0.01)</w:t>
            </w:r>
          </w:p>
        </w:tc>
        <w:tc>
          <w:tcPr>
            <w:tcW w:w="140" w:type="dxa"/>
            <w:vAlign w:val="bottom"/>
            <w:tcBorders>
              <w:top w:val="single" w:sz="8" w:color="CCEEFF"/>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90"/>
              <w:spacing w:after="0" w:line="16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(0.16)</w:t>
            </w:r>
          </w:p>
        </w:tc>
        <w:tc>
          <w:tcPr>
            <w:tcW w:w="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90"/>
              <w:spacing w:after="0" w:line="16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Weighted average number of common</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outstanding:</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60" w:type="dxa"/>
            <w:vAlign w:val="bottom"/>
            <w:tcBorders>
              <w:bottom w:val="single" w:sz="8" w:color="CCEEFF"/>
            </w:tcBorders>
          </w:tcPr>
          <w:p>
            <w:pPr>
              <w:ind w:left="120"/>
              <w:spacing w:after="0" w:line="176" w:lineRule="exact"/>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53,637,085</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53,334,396</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53,601,684</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52,686,654</w:t>
            </w:r>
          </w:p>
        </w:tc>
        <w:tc>
          <w:tcPr>
            <w:tcW w:w="0" w:type="dxa"/>
            <w:vAlign w:val="bottom"/>
          </w:tcPr>
          <w:p>
            <w:pPr>
              <w:spacing w:after="0"/>
              <w:rPr>
                <w:sz w:val="1"/>
                <w:szCs w:val="1"/>
                <w:color w:val="auto"/>
              </w:rPr>
            </w:pPr>
          </w:p>
        </w:tc>
      </w:tr>
      <w:tr>
        <w:trPr>
          <w:trHeight w:val="183"/>
        </w:trPr>
        <w:tc>
          <w:tcPr>
            <w:tcW w:w="3160" w:type="dxa"/>
            <w:vAlign w:val="bottom"/>
            <w:tcBorders>
              <w:bottom w:val="single" w:sz="8" w:color="CCEEFF"/>
            </w:tcBorders>
            <w:shd w:val="clear" w:color="auto" w:fill="CCEEFF"/>
          </w:tcPr>
          <w:p>
            <w:pPr>
              <w:ind w:left="120"/>
              <w:spacing w:after="0" w:line="176" w:lineRule="exact"/>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54,234,566</w:t>
            </w:r>
          </w:p>
        </w:tc>
        <w:tc>
          <w:tcPr>
            <w:tcW w:w="1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53,334,396</w:t>
            </w: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53,601,684</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52,686,654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supplemental unaudited pro forma earnings for the three and nine months ended March 31, 2018 were adjusted to exclude $1.7 million and $5.8 million of integration and acquisition costs,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supplemental unaudited pro forma earnings for the nine months ended March 31, 2017 were adjusted to include $5.8 million of integration and acquisition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RESTRUCTURING/INTEGRATION COSTS</w:t>
      </w:r>
    </w:p>
    <w:p>
      <w:pPr>
        <w:spacing w:after="0" w:line="31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Subsequent to the Cantaloupe acquisition, the Company has initiated workforce reductions to integrate the Cantaloupe business. For the three and nine months ended March 31, 2018, severance charges for these activities totaled $338 thousand and $381 thousand, respectively. The Company has included these severance charges under “Integration and acquisition costs” within the Consolidated Statements of Operations, with the remaining outstanding balance included within “Accrued expenses” on the Consolidated Balance Sheet. Liabilities for severance will generally be paid during the next twelve months.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Company’s severance activity for the three and nine months ended March 31, 2018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right="194"/>
              <w:spacing w:after="0"/>
              <w:rPr>
                <w:sz w:val="20"/>
                <w:szCs w:val="20"/>
                <w:color w:val="auto"/>
              </w:rPr>
            </w:pPr>
            <w:r>
              <w:rPr>
                <w:rFonts w:ascii="Arial" w:cs="Arial" w:eastAsia="Arial" w:hAnsi="Arial"/>
                <w:sz w:val="14"/>
                <w:szCs w:val="14"/>
                <w:b w:val="1"/>
                <w:bCs w:val="1"/>
                <w:color w:val="auto"/>
                <w:w w:val="95"/>
              </w:rPr>
              <w:t>Workforce</w:t>
            </w:r>
          </w:p>
        </w:tc>
        <w:tc>
          <w:tcPr>
            <w:tcW w:w="0" w:type="dxa"/>
            <w:vAlign w:val="bottom"/>
          </w:tcPr>
          <w:p>
            <w:pPr>
              <w:spacing w:after="0"/>
              <w:rPr>
                <w:sz w:val="1"/>
                <w:szCs w:val="1"/>
                <w:color w:val="auto"/>
              </w:rPr>
            </w:pPr>
          </w:p>
        </w:tc>
      </w:tr>
      <w:tr>
        <w:trPr>
          <w:trHeight w:val="171"/>
        </w:trPr>
        <w:tc>
          <w:tcPr>
            <w:tcW w:w="4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right="194"/>
              <w:spacing w:after="0"/>
              <w:rPr>
                <w:sz w:val="20"/>
                <w:szCs w:val="20"/>
                <w:color w:val="auto"/>
              </w:rPr>
            </w:pPr>
            <w:r>
              <w:rPr>
                <w:rFonts w:ascii="Arial" w:cs="Arial" w:eastAsia="Arial" w:hAnsi="Arial"/>
                <w:sz w:val="14"/>
                <w:szCs w:val="14"/>
                <w:b w:val="1"/>
                <w:bCs w:val="1"/>
                <w:color w:val="auto"/>
                <w:w w:val="90"/>
              </w:rPr>
              <w:t>reduction</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July 1, 2017</w:t>
            </w: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060" w:type="dxa"/>
            <w:vAlign w:val="bottom"/>
          </w:tcPr>
          <w:p>
            <w:pPr>
              <w:ind w:left="100"/>
              <w:spacing w:after="0"/>
              <w:rPr>
                <w:sz w:val="20"/>
                <w:szCs w:val="20"/>
                <w:color w:val="auto"/>
              </w:rPr>
            </w:pPr>
            <w:r>
              <w:rPr>
                <w:rFonts w:ascii="Arial" w:cs="Arial" w:eastAsia="Arial" w:hAnsi="Arial"/>
                <w:sz w:val="18"/>
                <w:szCs w:val="18"/>
                <w:color w:val="auto"/>
              </w:rPr>
              <w:t>Additional liability recorded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cash payments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September 30, 2017</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liability recorded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cash payments</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060" w:type="dxa"/>
            <w:vAlign w:val="bottom"/>
          </w:tcPr>
          <w:p>
            <w:pPr>
              <w:ind w:left="100"/>
              <w:spacing w:after="0"/>
              <w:rPr>
                <w:sz w:val="20"/>
                <w:szCs w:val="20"/>
                <w:color w:val="auto"/>
              </w:rPr>
            </w:pPr>
            <w:r>
              <w:rPr>
                <w:rFonts w:ascii="Arial" w:cs="Arial" w:eastAsia="Arial" w:hAnsi="Arial"/>
                <w:sz w:val="18"/>
                <w:szCs w:val="18"/>
                <w:color w:val="auto"/>
              </w:rPr>
              <w:t>Additional liability recorded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cash payments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7"/>
        </w:trPr>
        <w:tc>
          <w:tcPr>
            <w:tcW w:w="4980" w:type="dxa"/>
            <w:vAlign w:val="bottom"/>
            <w:gridSpan w:val="2"/>
          </w:tcPr>
          <w:p>
            <w:pPr>
              <w:ind w:left="920"/>
              <w:spacing w:after="0"/>
              <w:rPr>
                <w:sz w:val="20"/>
                <w:szCs w:val="20"/>
                <w:color w:val="auto"/>
              </w:rPr>
            </w:pPr>
            <w:r>
              <w:rPr>
                <w:rFonts w:ascii="Arial" w:cs="Arial" w:eastAsia="Arial" w:hAnsi="Arial"/>
                <w:sz w:val="18"/>
                <w:szCs w:val="18"/>
                <w:color w:val="auto"/>
              </w:rPr>
              <w:t>Balance at March 31, 2018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311"/>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5. FINANCE RECEIVABLES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80" w:type="dxa"/>
            <w:vAlign w:val="bottom"/>
            <w:gridSpan w:val="2"/>
          </w:tcPr>
          <w:p>
            <w:pPr>
              <w:spacing w:after="0"/>
              <w:rPr>
                <w:sz w:val="20"/>
                <w:szCs w:val="20"/>
                <w:color w:val="auto"/>
              </w:rPr>
            </w:pPr>
            <w:r>
              <w:rPr>
                <w:rFonts w:ascii="Arial" w:cs="Arial" w:eastAsia="Arial" w:hAnsi="Arial"/>
                <w:sz w:val="18"/>
                <w:szCs w:val="18"/>
                <w:color w:val="auto"/>
              </w:rPr>
              <w:t>Finance receivables consist of the following:</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98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4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right="154"/>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Finance receivables, current</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3,904</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Finance receivables, non-current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9,679</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finance receivables</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13,583</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routinely evaluates outstanding finance receivables for impairment based on past due balances or accounts otherwise determined to be at a higher risk of loss. A finance receivable is classified as nonperforming if it is considered probable the Company will be unable to collect all contractual interest and principal payments as scheduled. In addition, all leases and all customer accounts over ninety days past due are considered nonperforming and on nonaccrual status.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2018 and June 30, 2017, credit quality indicators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jc w:val="right"/>
              <w:ind w:right="284"/>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jc w:val="right"/>
              <w:ind w:right="444"/>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Performing</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CEEFF"/>
          </w:tcPr>
          <w:p>
            <w:pPr>
              <w:jc w:val="center"/>
              <w:ind w:left="294"/>
              <w:spacing w:after="0"/>
              <w:rPr>
                <w:sz w:val="20"/>
                <w:szCs w:val="20"/>
                <w:color w:val="auto"/>
              </w:rPr>
            </w:pPr>
            <w:r>
              <w:rPr>
                <w:rFonts w:ascii="Arial" w:cs="Arial" w:eastAsia="Arial" w:hAnsi="Arial"/>
                <w:sz w:val="18"/>
                <w:szCs w:val="18"/>
                <w:color w:val="auto"/>
                <w:w w:val="90"/>
              </w:rPr>
              <w:t>13,508</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19,515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Nonperforming</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shd w:val="clear" w:color="auto" w:fill="CCEEFF"/>
          </w:tcPr>
          <w:p>
            <w:pPr>
              <w:jc w:val="center"/>
              <w:ind w:left="294"/>
              <w:spacing w:after="0"/>
              <w:rPr>
                <w:sz w:val="20"/>
                <w:szCs w:val="20"/>
                <w:color w:val="auto"/>
              </w:rPr>
            </w:pPr>
            <w:r>
              <w:rPr>
                <w:rFonts w:ascii="Arial" w:cs="Arial" w:eastAsia="Arial" w:hAnsi="Arial"/>
                <w:sz w:val="18"/>
                <w:szCs w:val="18"/>
                <w:color w:val="auto"/>
                <w:w w:val="90"/>
              </w:rPr>
              <w:t>13,583</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19,617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80" w:type="dxa"/>
            <w:vAlign w:val="bottom"/>
            <w:gridSpan w:val="11"/>
          </w:tcPr>
          <w:p>
            <w:pPr>
              <w:jc w:val="center"/>
              <w:spacing w:after="0"/>
              <w:rPr>
                <w:sz w:val="20"/>
                <w:szCs w:val="20"/>
                <w:color w:val="auto"/>
              </w:rPr>
            </w:pPr>
            <w:r>
              <w:rPr>
                <w:rFonts w:ascii="Arial" w:cs="Arial" w:eastAsia="Arial" w:hAnsi="Arial"/>
                <w:sz w:val="18"/>
                <w:szCs w:val="18"/>
                <w:color w:val="auto"/>
                <w:w w:val="90"/>
              </w:rPr>
              <w:t>Age Analysis of Past Due Finance Receivables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6"/>
          </w:tcPr>
          <w:p>
            <w:pPr>
              <w:jc w:val="center"/>
              <w:ind w:right="46"/>
              <w:spacing w:after="0"/>
              <w:rPr>
                <w:sz w:val="20"/>
                <w:szCs w:val="20"/>
                <w:color w:val="auto"/>
              </w:rPr>
            </w:pPr>
            <w:r>
              <w:rPr>
                <w:rFonts w:ascii="Arial" w:cs="Arial" w:eastAsia="Arial" w:hAnsi="Arial"/>
                <w:sz w:val="18"/>
                <w:szCs w:val="18"/>
                <w:color w:val="auto"/>
                <w:w w:val="92"/>
              </w:rPr>
              <w:t>As of March 31, 2018</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30 and Under</w:t>
            </w:r>
          </w:p>
        </w:tc>
        <w:tc>
          <w:tcPr>
            <w:tcW w:w="140" w:type="dxa"/>
            <w:vAlign w:val="bottom"/>
          </w:tcPr>
          <w:p>
            <w:pPr>
              <w:spacing w:after="0"/>
              <w:rPr>
                <w:sz w:val="24"/>
                <w:szCs w:val="24"/>
                <w:color w:val="auto"/>
              </w:rPr>
            </w:pPr>
          </w:p>
        </w:tc>
        <w:tc>
          <w:tcPr>
            <w:tcW w:w="880" w:type="dxa"/>
            <w:vAlign w:val="bottom"/>
            <w:gridSpan w:val="3"/>
          </w:tcPr>
          <w:p>
            <w:pPr>
              <w:jc w:val="center"/>
              <w:ind w:right="66"/>
              <w:spacing w:after="0"/>
              <w:rPr>
                <w:sz w:val="20"/>
                <w:szCs w:val="20"/>
                <w:color w:val="auto"/>
              </w:rPr>
            </w:pPr>
            <w:r>
              <w:rPr>
                <w:rFonts w:ascii="Arial" w:cs="Arial" w:eastAsia="Arial" w:hAnsi="Arial"/>
                <w:sz w:val="14"/>
                <w:szCs w:val="14"/>
                <w:b w:val="1"/>
                <w:bCs w:val="1"/>
                <w:color w:val="auto"/>
                <w:w w:val="89"/>
              </w:rPr>
              <w:t>31 – 60</w:t>
            </w:r>
          </w:p>
        </w:tc>
        <w:tc>
          <w:tcPr>
            <w:tcW w:w="100" w:type="dxa"/>
            <w:vAlign w:val="bottom"/>
          </w:tcPr>
          <w:p>
            <w:pPr>
              <w:spacing w:after="0"/>
              <w:rPr>
                <w:sz w:val="24"/>
                <w:szCs w:val="24"/>
                <w:color w:val="auto"/>
              </w:rPr>
            </w:pPr>
          </w:p>
        </w:tc>
        <w:tc>
          <w:tcPr>
            <w:tcW w:w="780" w:type="dxa"/>
            <w:vAlign w:val="bottom"/>
          </w:tcPr>
          <w:p>
            <w:pPr>
              <w:jc w:val="center"/>
              <w:ind w:left="184"/>
              <w:spacing w:after="0"/>
              <w:rPr>
                <w:sz w:val="20"/>
                <w:szCs w:val="20"/>
                <w:color w:val="auto"/>
              </w:rPr>
            </w:pPr>
            <w:r>
              <w:rPr>
                <w:rFonts w:ascii="Arial" w:cs="Arial" w:eastAsia="Arial" w:hAnsi="Arial"/>
                <w:sz w:val="14"/>
                <w:szCs w:val="14"/>
                <w:b w:val="1"/>
                <w:bCs w:val="1"/>
                <w:color w:val="auto"/>
                <w:w w:val="94"/>
              </w:rPr>
              <w:t>61 – 90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Greater than</w:t>
            </w:r>
          </w:p>
        </w:tc>
        <w:tc>
          <w:tcPr>
            <w:tcW w:w="140" w:type="dxa"/>
            <w:vAlign w:val="bottom"/>
          </w:tcPr>
          <w:p>
            <w:pPr>
              <w:spacing w:after="0"/>
              <w:rPr>
                <w:sz w:val="24"/>
                <w:szCs w:val="24"/>
                <w:color w:val="auto"/>
              </w:rPr>
            </w:pPr>
          </w:p>
        </w:tc>
        <w:tc>
          <w:tcPr>
            <w:tcW w:w="900" w:type="dxa"/>
            <w:vAlign w:val="bottom"/>
          </w:tcPr>
          <w:p>
            <w:pPr>
              <w:jc w:val="center"/>
              <w:ind w:right="6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Current</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Days Past</w:t>
            </w:r>
          </w:p>
        </w:tc>
        <w:tc>
          <w:tcPr>
            <w:tcW w:w="140" w:type="dxa"/>
            <w:vAlign w:val="bottom"/>
          </w:tcPr>
          <w:p>
            <w:pPr>
              <w:spacing w:after="0"/>
              <w:rPr>
                <w:sz w:val="12"/>
                <w:szCs w:val="12"/>
                <w:color w:val="auto"/>
              </w:rPr>
            </w:pPr>
          </w:p>
        </w:tc>
        <w:tc>
          <w:tcPr>
            <w:tcW w:w="880" w:type="dxa"/>
            <w:vAlign w:val="bottom"/>
            <w:gridSpan w:val="3"/>
          </w:tcPr>
          <w:p>
            <w:pPr>
              <w:jc w:val="center"/>
              <w:ind w:right="86"/>
              <w:spacing w:after="0" w:line="149" w:lineRule="exact"/>
              <w:rPr>
                <w:sz w:val="20"/>
                <w:szCs w:val="20"/>
                <w:color w:val="auto"/>
              </w:rPr>
            </w:pPr>
            <w:r>
              <w:rPr>
                <w:rFonts w:ascii="Arial" w:cs="Arial" w:eastAsia="Arial" w:hAnsi="Arial"/>
                <w:sz w:val="14"/>
                <w:szCs w:val="14"/>
                <w:b w:val="1"/>
                <w:bCs w:val="1"/>
                <w:color w:val="auto"/>
                <w:w w:val="89"/>
              </w:rPr>
              <w:t>Days Past</w:t>
            </w:r>
          </w:p>
        </w:tc>
        <w:tc>
          <w:tcPr>
            <w:tcW w:w="10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Days Past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90 Days Past</w:t>
            </w:r>
          </w:p>
        </w:tc>
        <w:tc>
          <w:tcPr>
            <w:tcW w:w="140" w:type="dxa"/>
            <w:vAlign w:val="bottom"/>
          </w:tcPr>
          <w:p>
            <w:pPr>
              <w:spacing w:after="0"/>
              <w:rPr>
                <w:sz w:val="12"/>
                <w:szCs w:val="12"/>
                <w:color w:val="auto"/>
              </w:rPr>
            </w:pPr>
          </w:p>
        </w:tc>
        <w:tc>
          <w:tcPr>
            <w:tcW w:w="9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Finance</w:t>
            </w:r>
          </w:p>
        </w:tc>
        <w:tc>
          <w:tcPr>
            <w:tcW w:w="0" w:type="dxa"/>
            <w:vAlign w:val="bottom"/>
          </w:tcPr>
          <w:p>
            <w:pPr>
              <w:spacing w:after="0"/>
              <w:rPr>
                <w:sz w:val="1"/>
                <w:szCs w:val="1"/>
                <w:color w:val="auto"/>
              </w:rPr>
            </w:pPr>
          </w:p>
        </w:tc>
      </w:tr>
      <w:tr>
        <w:trPr>
          <w:trHeight w:val="171"/>
        </w:trPr>
        <w:tc>
          <w:tcPr>
            <w:tcW w:w="2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Due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center"/>
              <w:ind w:right="306"/>
              <w:spacing w:after="0"/>
              <w:rPr>
                <w:sz w:val="20"/>
                <w:szCs w:val="20"/>
                <w:color w:val="auto"/>
              </w:rPr>
            </w:pPr>
            <w:r>
              <w:rPr>
                <w:rFonts w:ascii="Arial" w:cs="Arial" w:eastAsia="Arial" w:hAnsi="Arial"/>
                <w:sz w:val="14"/>
                <w:szCs w:val="14"/>
                <w:b w:val="1"/>
                <w:bCs w:val="1"/>
                <w:color w:val="auto"/>
                <w:w w:val="98"/>
              </w:rPr>
              <w:t>Due</w:t>
            </w:r>
          </w:p>
        </w:tc>
        <w:tc>
          <w:tcPr>
            <w:tcW w:w="100" w:type="dxa"/>
            <w:vAlign w:val="bottom"/>
          </w:tcPr>
          <w:p>
            <w:pPr>
              <w:spacing w:after="0"/>
              <w:rPr>
                <w:sz w:val="14"/>
                <w:szCs w:val="14"/>
                <w:color w:val="auto"/>
              </w:rPr>
            </w:pPr>
          </w:p>
        </w:tc>
        <w:tc>
          <w:tcPr>
            <w:tcW w:w="780" w:type="dxa"/>
            <w:vAlign w:val="bottom"/>
          </w:tcPr>
          <w:p>
            <w:pPr>
              <w:jc w:val="center"/>
              <w:ind w:left="184"/>
              <w:spacing w:after="0"/>
              <w:rPr>
                <w:sz w:val="20"/>
                <w:szCs w:val="20"/>
                <w:color w:val="auto"/>
              </w:rPr>
            </w:pPr>
            <w:r>
              <w:rPr>
                <w:rFonts w:ascii="Arial" w:cs="Arial" w:eastAsia="Arial" w:hAnsi="Arial"/>
                <w:sz w:val="14"/>
                <w:szCs w:val="14"/>
                <w:b w:val="1"/>
                <w:bCs w:val="1"/>
                <w:color w:val="auto"/>
                <w:w w:val="90"/>
              </w:rPr>
              <w:t>Due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Due</w:t>
            </w:r>
          </w:p>
        </w:tc>
        <w:tc>
          <w:tcPr>
            <w:tcW w:w="140" w:type="dxa"/>
            <w:vAlign w:val="bottom"/>
          </w:tcPr>
          <w:p>
            <w:pPr>
              <w:spacing w:after="0"/>
              <w:rPr>
                <w:sz w:val="14"/>
                <w:szCs w:val="14"/>
                <w:color w:val="auto"/>
              </w:rPr>
            </w:pPr>
          </w:p>
        </w:tc>
        <w:tc>
          <w:tcPr>
            <w:tcW w:w="900" w:type="dxa"/>
            <w:vAlign w:val="bottom"/>
          </w:tcPr>
          <w:p>
            <w:pPr>
              <w:jc w:val="center"/>
              <w:ind w:right="64"/>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17"/>
        </w:trPr>
        <w:tc>
          <w:tcPr>
            <w:tcW w:w="224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QuickStart Leases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04"/>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13,583</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80" w:type="dxa"/>
            <w:vAlign w:val="bottom"/>
            <w:gridSpan w:val="11"/>
          </w:tcPr>
          <w:p>
            <w:pPr>
              <w:jc w:val="center"/>
              <w:spacing w:after="0"/>
              <w:rPr>
                <w:sz w:val="20"/>
                <w:szCs w:val="20"/>
                <w:color w:val="auto"/>
              </w:rPr>
            </w:pPr>
            <w:r>
              <w:rPr>
                <w:rFonts w:ascii="Arial" w:cs="Arial" w:eastAsia="Arial" w:hAnsi="Arial"/>
                <w:sz w:val="18"/>
                <w:szCs w:val="18"/>
                <w:color w:val="auto"/>
                <w:w w:val="90"/>
              </w:rPr>
              <w:t>Age Analysis of Past Due Finance Receivables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6"/>
          </w:tcPr>
          <w:p>
            <w:pPr>
              <w:jc w:val="center"/>
              <w:ind w:right="26"/>
              <w:spacing w:after="0"/>
              <w:rPr>
                <w:sz w:val="20"/>
                <w:szCs w:val="20"/>
                <w:color w:val="auto"/>
              </w:rPr>
            </w:pPr>
            <w:r>
              <w:rPr>
                <w:rFonts w:ascii="Arial" w:cs="Arial" w:eastAsia="Arial" w:hAnsi="Arial"/>
                <w:sz w:val="18"/>
                <w:szCs w:val="18"/>
                <w:color w:val="auto"/>
                <w:w w:val="89"/>
              </w:rPr>
              <w:t>As of June 30, 2017</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30 and Under</w:t>
            </w:r>
          </w:p>
        </w:tc>
        <w:tc>
          <w:tcPr>
            <w:tcW w:w="140" w:type="dxa"/>
            <w:vAlign w:val="bottom"/>
          </w:tcPr>
          <w:p>
            <w:pPr>
              <w:spacing w:after="0"/>
              <w:rPr>
                <w:sz w:val="24"/>
                <w:szCs w:val="24"/>
                <w:color w:val="auto"/>
              </w:rPr>
            </w:pPr>
          </w:p>
        </w:tc>
        <w:tc>
          <w:tcPr>
            <w:tcW w:w="880" w:type="dxa"/>
            <w:vAlign w:val="bottom"/>
            <w:gridSpan w:val="3"/>
          </w:tcPr>
          <w:p>
            <w:pPr>
              <w:jc w:val="center"/>
              <w:ind w:right="66"/>
              <w:spacing w:after="0"/>
              <w:rPr>
                <w:sz w:val="20"/>
                <w:szCs w:val="20"/>
                <w:color w:val="auto"/>
              </w:rPr>
            </w:pPr>
            <w:r>
              <w:rPr>
                <w:rFonts w:ascii="Arial" w:cs="Arial" w:eastAsia="Arial" w:hAnsi="Arial"/>
                <w:sz w:val="14"/>
                <w:szCs w:val="14"/>
                <w:b w:val="1"/>
                <w:bCs w:val="1"/>
                <w:color w:val="auto"/>
                <w:w w:val="89"/>
              </w:rPr>
              <w:t>31 – 60</w:t>
            </w:r>
          </w:p>
        </w:tc>
        <w:tc>
          <w:tcPr>
            <w:tcW w:w="100" w:type="dxa"/>
            <w:vAlign w:val="bottom"/>
          </w:tcPr>
          <w:p>
            <w:pPr>
              <w:spacing w:after="0"/>
              <w:rPr>
                <w:sz w:val="24"/>
                <w:szCs w:val="24"/>
                <w:color w:val="auto"/>
              </w:rPr>
            </w:pPr>
          </w:p>
        </w:tc>
        <w:tc>
          <w:tcPr>
            <w:tcW w:w="780" w:type="dxa"/>
            <w:vAlign w:val="bottom"/>
          </w:tcPr>
          <w:p>
            <w:pPr>
              <w:jc w:val="center"/>
              <w:ind w:left="184"/>
              <w:spacing w:after="0"/>
              <w:rPr>
                <w:sz w:val="20"/>
                <w:szCs w:val="20"/>
                <w:color w:val="auto"/>
              </w:rPr>
            </w:pPr>
            <w:r>
              <w:rPr>
                <w:rFonts w:ascii="Arial" w:cs="Arial" w:eastAsia="Arial" w:hAnsi="Arial"/>
                <w:sz w:val="14"/>
                <w:szCs w:val="14"/>
                <w:b w:val="1"/>
                <w:bCs w:val="1"/>
                <w:color w:val="auto"/>
                <w:w w:val="94"/>
              </w:rPr>
              <w:t>61 – 90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Greater than</w:t>
            </w:r>
          </w:p>
        </w:tc>
        <w:tc>
          <w:tcPr>
            <w:tcW w:w="140" w:type="dxa"/>
            <w:vAlign w:val="bottom"/>
          </w:tcPr>
          <w:p>
            <w:pPr>
              <w:spacing w:after="0"/>
              <w:rPr>
                <w:sz w:val="24"/>
                <w:szCs w:val="24"/>
                <w:color w:val="auto"/>
              </w:rPr>
            </w:pPr>
          </w:p>
        </w:tc>
        <w:tc>
          <w:tcPr>
            <w:tcW w:w="900" w:type="dxa"/>
            <w:vAlign w:val="bottom"/>
          </w:tcPr>
          <w:p>
            <w:pPr>
              <w:jc w:val="center"/>
              <w:ind w:right="6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Current</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Days Past</w:t>
            </w:r>
          </w:p>
        </w:tc>
        <w:tc>
          <w:tcPr>
            <w:tcW w:w="140" w:type="dxa"/>
            <w:vAlign w:val="bottom"/>
          </w:tcPr>
          <w:p>
            <w:pPr>
              <w:spacing w:after="0"/>
              <w:rPr>
                <w:sz w:val="12"/>
                <w:szCs w:val="12"/>
                <w:color w:val="auto"/>
              </w:rPr>
            </w:pPr>
          </w:p>
        </w:tc>
        <w:tc>
          <w:tcPr>
            <w:tcW w:w="880" w:type="dxa"/>
            <w:vAlign w:val="bottom"/>
            <w:gridSpan w:val="3"/>
          </w:tcPr>
          <w:p>
            <w:pPr>
              <w:jc w:val="center"/>
              <w:ind w:right="86"/>
              <w:spacing w:after="0" w:line="149" w:lineRule="exact"/>
              <w:rPr>
                <w:sz w:val="20"/>
                <w:szCs w:val="20"/>
                <w:color w:val="auto"/>
              </w:rPr>
            </w:pPr>
            <w:r>
              <w:rPr>
                <w:rFonts w:ascii="Arial" w:cs="Arial" w:eastAsia="Arial" w:hAnsi="Arial"/>
                <w:sz w:val="14"/>
                <w:szCs w:val="14"/>
                <w:b w:val="1"/>
                <w:bCs w:val="1"/>
                <w:color w:val="auto"/>
                <w:w w:val="89"/>
              </w:rPr>
              <w:t>Days Past</w:t>
            </w:r>
          </w:p>
        </w:tc>
        <w:tc>
          <w:tcPr>
            <w:tcW w:w="10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Days Past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90 Days Past</w:t>
            </w:r>
          </w:p>
        </w:tc>
        <w:tc>
          <w:tcPr>
            <w:tcW w:w="140" w:type="dxa"/>
            <w:vAlign w:val="bottom"/>
          </w:tcPr>
          <w:p>
            <w:pPr>
              <w:spacing w:after="0"/>
              <w:rPr>
                <w:sz w:val="12"/>
                <w:szCs w:val="12"/>
                <w:color w:val="auto"/>
              </w:rPr>
            </w:pPr>
          </w:p>
        </w:tc>
        <w:tc>
          <w:tcPr>
            <w:tcW w:w="9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Finance</w:t>
            </w:r>
          </w:p>
        </w:tc>
        <w:tc>
          <w:tcPr>
            <w:tcW w:w="0" w:type="dxa"/>
            <w:vAlign w:val="bottom"/>
          </w:tcPr>
          <w:p>
            <w:pPr>
              <w:spacing w:after="0"/>
              <w:rPr>
                <w:sz w:val="1"/>
                <w:szCs w:val="1"/>
                <w:color w:val="auto"/>
              </w:rPr>
            </w:pPr>
          </w:p>
        </w:tc>
      </w:tr>
      <w:tr>
        <w:trPr>
          <w:trHeight w:val="171"/>
        </w:trPr>
        <w:tc>
          <w:tcPr>
            <w:tcW w:w="2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Due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center"/>
              <w:ind w:right="306"/>
              <w:spacing w:after="0"/>
              <w:rPr>
                <w:sz w:val="20"/>
                <w:szCs w:val="20"/>
                <w:color w:val="auto"/>
              </w:rPr>
            </w:pPr>
            <w:r>
              <w:rPr>
                <w:rFonts w:ascii="Arial" w:cs="Arial" w:eastAsia="Arial" w:hAnsi="Arial"/>
                <w:sz w:val="14"/>
                <w:szCs w:val="14"/>
                <w:b w:val="1"/>
                <w:bCs w:val="1"/>
                <w:color w:val="auto"/>
                <w:w w:val="98"/>
              </w:rPr>
              <w:t>Due</w:t>
            </w:r>
          </w:p>
        </w:tc>
        <w:tc>
          <w:tcPr>
            <w:tcW w:w="100" w:type="dxa"/>
            <w:vAlign w:val="bottom"/>
          </w:tcPr>
          <w:p>
            <w:pPr>
              <w:spacing w:after="0"/>
              <w:rPr>
                <w:sz w:val="14"/>
                <w:szCs w:val="14"/>
                <w:color w:val="auto"/>
              </w:rPr>
            </w:pPr>
          </w:p>
        </w:tc>
        <w:tc>
          <w:tcPr>
            <w:tcW w:w="780" w:type="dxa"/>
            <w:vAlign w:val="bottom"/>
          </w:tcPr>
          <w:p>
            <w:pPr>
              <w:jc w:val="center"/>
              <w:ind w:left="184"/>
              <w:spacing w:after="0"/>
              <w:rPr>
                <w:sz w:val="20"/>
                <w:szCs w:val="20"/>
                <w:color w:val="auto"/>
              </w:rPr>
            </w:pPr>
            <w:r>
              <w:rPr>
                <w:rFonts w:ascii="Arial" w:cs="Arial" w:eastAsia="Arial" w:hAnsi="Arial"/>
                <w:sz w:val="14"/>
                <w:szCs w:val="14"/>
                <w:b w:val="1"/>
                <w:bCs w:val="1"/>
                <w:color w:val="auto"/>
                <w:w w:val="90"/>
              </w:rPr>
              <w:t>Due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Due</w:t>
            </w:r>
          </w:p>
        </w:tc>
        <w:tc>
          <w:tcPr>
            <w:tcW w:w="140" w:type="dxa"/>
            <w:vAlign w:val="bottom"/>
          </w:tcPr>
          <w:p>
            <w:pPr>
              <w:spacing w:after="0"/>
              <w:rPr>
                <w:sz w:val="14"/>
                <w:szCs w:val="14"/>
                <w:color w:val="auto"/>
              </w:rPr>
            </w:pPr>
          </w:p>
        </w:tc>
        <w:tc>
          <w:tcPr>
            <w:tcW w:w="900" w:type="dxa"/>
            <w:vAlign w:val="bottom"/>
          </w:tcPr>
          <w:p>
            <w:pPr>
              <w:jc w:val="center"/>
              <w:ind w:right="64"/>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17"/>
        </w:trPr>
        <w:tc>
          <w:tcPr>
            <w:tcW w:w="224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QuickStart Leases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04"/>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Inventory, net of reserves, was $11.0 million and $4.6 million as of March 31, 2018 and June 30, 2017, respectively. Inventory consists of finished goods. The Company's inventories are valued at the lower of cost or net realizable value.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establishes allowances for obsolescence of inventory based upon quality considerations and assumptions about future demand and market conditions.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Cantaloupe inventories acquired included a fair market value step-up of $23 thousand. In the nine months ended March 31, 2018, the Company recognized the $23 thousand fair market value step-up as a component of cost of equipment, as the inventory acquired was sold to the Company’s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earnings (loss) per share (“EPS”) and diluted EPS are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Three months ended March 31,</w:t>
            </w: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Net Income</w:t>
            </w:r>
          </w:p>
        </w:tc>
        <w:tc>
          <w:tcPr>
            <w:tcW w:w="1100" w:type="dxa"/>
            <w:vAlign w:val="bottom"/>
            <w:gridSpan w:val="2"/>
          </w:tcPr>
          <w:p>
            <w:pPr>
              <w:jc w:val="center"/>
              <w:ind w:right="68"/>
              <w:spacing w:after="0" w:line="119" w:lineRule="exact"/>
              <w:rPr>
                <w:sz w:val="20"/>
                <w:szCs w:val="20"/>
                <w:color w:val="auto"/>
              </w:rPr>
            </w:pPr>
            <w:r>
              <w:rPr>
                <w:rFonts w:ascii="Arial" w:cs="Arial" w:eastAsia="Arial" w:hAnsi="Arial"/>
                <w:sz w:val="13"/>
                <w:szCs w:val="13"/>
                <w:b w:val="1"/>
                <w:bCs w:val="1"/>
                <w:color w:val="auto"/>
                <w:w w:val="92"/>
              </w:rPr>
              <w:t>Shares</w:t>
            </w:r>
          </w:p>
        </w:tc>
        <w:tc>
          <w:tcPr>
            <w:tcW w:w="100" w:type="dxa"/>
            <w:vAlign w:val="bottom"/>
          </w:tcPr>
          <w:p>
            <w:pPr>
              <w:spacing w:after="0"/>
              <w:rPr>
                <w:sz w:val="10"/>
                <w:szCs w:val="10"/>
                <w:color w:val="auto"/>
              </w:rPr>
            </w:pPr>
          </w:p>
        </w:tc>
        <w:tc>
          <w:tcPr>
            <w:tcW w:w="840" w:type="dxa"/>
            <w:vAlign w:val="bottom"/>
          </w:tcPr>
          <w:p>
            <w:pPr>
              <w:jc w:val="center"/>
              <w:ind w:right="120"/>
              <w:spacing w:after="0" w:line="119" w:lineRule="exact"/>
              <w:rPr>
                <w:sz w:val="20"/>
                <w:szCs w:val="20"/>
                <w:color w:val="auto"/>
              </w:rPr>
            </w:pPr>
            <w:r>
              <w:rPr>
                <w:rFonts w:ascii="Arial" w:cs="Arial" w:eastAsia="Arial" w:hAnsi="Arial"/>
                <w:sz w:val="13"/>
                <w:szCs w:val="13"/>
                <w:b w:val="1"/>
                <w:bCs w:val="1"/>
                <w:color w:val="auto"/>
                <w:w w:val="97"/>
              </w:rPr>
              <w:t>Per-Share</w:t>
            </w:r>
          </w:p>
        </w:tc>
        <w:tc>
          <w:tcPr>
            <w:tcW w:w="94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rPr>
              <w:t>Net Income</w:t>
            </w:r>
          </w:p>
        </w:tc>
        <w:tc>
          <w:tcPr>
            <w:tcW w:w="10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Per-Share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(Numerator)</w:t>
            </w:r>
          </w:p>
        </w:tc>
        <w:tc>
          <w:tcPr>
            <w:tcW w:w="110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96"/>
              </w:rPr>
              <w:t>(Denominator)</w:t>
            </w:r>
          </w:p>
        </w:tc>
        <w:tc>
          <w:tcPr>
            <w:tcW w:w="100" w:type="dxa"/>
            <w:vAlign w:val="bottom"/>
          </w:tcPr>
          <w:p>
            <w:pPr>
              <w:spacing w:after="0"/>
              <w:rPr>
                <w:sz w:val="14"/>
                <w:szCs w:val="14"/>
                <w:color w:val="auto"/>
              </w:rPr>
            </w:pPr>
          </w:p>
        </w:tc>
        <w:tc>
          <w:tcPr>
            <w:tcW w:w="84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(Numerator)</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(Denominator)</w:t>
            </w:r>
          </w:p>
        </w:tc>
        <w:tc>
          <w:tcPr>
            <w:tcW w:w="1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Less: Preferred stock dividends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b w:val="1"/>
                <w:bCs w:val="1"/>
                <w:color w:val="auto"/>
              </w:rPr>
              <w:t>Basic EPS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available to common</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shareholders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53,637,085</w:t>
            </w: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40" w:type="dxa"/>
            <w:vAlign w:val="bottom"/>
            <w:tcBorders>
              <w:right w:val="single" w:sz="8" w:color="CCEEFF"/>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40,327,697</w:t>
            </w: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Incremental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xml:space="preserve">597,481 </w:t>
            </w:r>
            <w:r>
              <w:rPr>
                <w:rFonts w:ascii="Arial" w:cs="Arial" w:eastAsia="Arial" w:hAnsi="Arial"/>
                <w:sz w:val="8"/>
                <w:szCs w:val="8"/>
                <w:color w:val="auto"/>
              </w:rPr>
              <w:t>(a)</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8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8"/>
                <w:szCs w:val="8"/>
                <w:color w:val="auto"/>
              </w:rPr>
              <w:t>(a)</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available to common</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54,234,566</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40,327,697</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8"/>
              </w:rPr>
              <w:t>shareholders plus assumed conversions</w:t>
            </w:r>
          </w:p>
        </w:tc>
        <w:tc>
          <w:tcPr>
            <w:tcW w:w="20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4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940" w:type="dxa"/>
            <w:vAlign w:val="bottom"/>
            <w:tcBorders>
              <w:right w:val="single" w:sz="8" w:color="CCEEFF"/>
            </w:tcBorders>
            <w:gridSpan w:val="2"/>
            <w:shd w:val="clear" w:color="auto" w:fill="000000"/>
          </w:tcPr>
          <w:p>
            <w:pPr>
              <w:spacing w:after="0"/>
              <w:rPr>
                <w:sz w:val="2"/>
                <w:szCs w:val="2"/>
                <w:color w:val="auto"/>
              </w:rPr>
            </w:pPr>
          </w:p>
        </w:tc>
        <w:tc>
          <w:tcPr>
            <w:tcW w:w="840" w:type="dxa"/>
            <w:vAlign w:val="bottom"/>
            <w:gridSpan w:val="2"/>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8"/>
        </w:trPr>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1"/>
              </w:rPr>
              <w:t>Nine months ended March 31,</w:t>
            </w: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8"/>
              </w:rPr>
              <w:t>Net Loss</w:t>
            </w:r>
          </w:p>
        </w:tc>
        <w:tc>
          <w:tcPr>
            <w:tcW w:w="1100" w:type="dxa"/>
            <w:vAlign w:val="bottom"/>
            <w:gridSpan w:val="2"/>
          </w:tcPr>
          <w:p>
            <w:pPr>
              <w:jc w:val="center"/>
              <w:ind w:right="68"/>
              <w:spacing w:after="0" w:line="119" w:lineRule="exact"/>
              <w:rPr>
                <w:sz w:val="20"/>
                <w:szCs w:val="20"/>
                <w:color w:val="auto"/>
              </w:rPr>
            </w:pPr>
            <w:r>
              <w:rPr>
                <w:rFonts w:ascii="Arial" w:cs="Arial" w:eastAsia="Arial" w:hAnsi="Arial"/>
                <w:sz w:val="13"/>
                <w:szCs w:val="13"/>
                <w:b w:val="1"/>
                <w:bCs w:val="1"/>
                <w:color w:val="auto"/>
                <w:w w:val="92"/>
              </w:rPr>
              <w:t>Shares</w:t>
            </w:r>
          </w:p>
        </w:tc>
        <w:tc>
          <w:tcPr>
            <w:tcW w:w="100" w:type="dxa"/>
            <w:vAlign w:val="bottom"/>
          </w:tcPr>
          <w:p>
            <w:pPr>
              <w:spacing w:after="0"/>
              <w:rPr>
                <w:sz w:val="10"/>
                <w:szCs w:val="10"/>
                <w:color w:val="auto"/>
              </w:rPr>
            </w:pPr>
          </w:p>
        </w:tc>
        <w:tc>
          <w:tcPr>
            <w:tcW w:w="840" w:type="dxa"/>
            <w:vAlign w:val="bottom"/>
          </w:tcPr>
          <w:p>
            <w:pPr>
              <w:jc w:val="center"/>
              <w:ind w:right="120"/>
              <w:spacing w:after="0" w:line="119" w:lineRule="exact"/>
              <w:rPr>
                <w:sz w:val="20"/>
                <w:szCs w:val="20"/>
                <w:color w:val="auto"/>
              </w:rPr>
            </w:pPr>
            <w:r>
              <w:rPr>
                <w:rFonts w:ascii="Arial" w:cs="Arial" w:eastAsia="Arial" w:hAnsi="Arial"/>
                <w:sz w:val="13"/>
                <w:szCs w:val="13"/>
                <w:b w:val="1"/>
                <w:bCs w:val="1"/>
                <w:color w:val="auto"/>
                <w:w w:val="97"/>
              </w:rPr>
              <w:t>Per-Share</w:t>
            </w: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4"/>
              </w:rPr>
              <w:t>Net Loss</w:t>
            </w:r>
          </w:p>
        </w:tc>
        <w:tc>
          <w:tcPr>
            <w:tcW w:w="10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Per-Share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(Numerator)</w:t>
            </w:r>
          </w:p>
        </w:tc>
        <w:tc>
          <w:tcPr>
            <w:tcW w:w="110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96"/>
              </w:rPr>
              <w:t>(Denominator)</w:t>
            </w:r>
          </w:p>
        </w:tc>
        <w:tc>
          <w:tcPr>
            <w:tcW w:w="100" w:type="dxa"/>
            <w:vAlign w:val="bottom"/>
          </w:tcPr>
          <w:p>
            <w:pPr>
              <w:spacing w:after="0"/>
              <w:rPr>
                <w:sz w:val="14"/>
                <w:szCs w:val="14"/>
                <w:color w:val="auto"/>
              </w:rPr>
            </w:pPr>
          </w:p>
        </w:tc>
        <w:tc>
          <w:tcPr>
            <w:tcW w:w="84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(Numerator)</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(Denominator)</w:t>
            </w:r>
          </w:p>
        </w:tc>
        <w:tc>
          <w:tcPr>
            <w:tcW w:w="1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(11,569)</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Less: Preferred stock dividends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(668)</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(668)</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b w:val="1"/>
                <w:bCs w:val="1"/>
                <w:color w:val="auto"/>
              </w:rPr>
              <w:t>Basic EPS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1"/>
              </w:rPr>
              <w:t>Net loss available to common shareholders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(12,237)</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51,101,813</w:t>
            </w: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(2,763)</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39,703,690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Incremental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8"/>
                <w:szCs w:val="8"/>
                <w:color w:val="auto"/>
              </w:rPr>
              <w:t>(a)</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8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8"/>
                <w:szCs w:val="8"/>
                <w:color w:val="auto"/>
              </w:rPr>
              <w:t>(a)</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Net loss available to common shareholders</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8"/>
              </w:rPr>
              <w:t>(12,237)</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51,101,813</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(0.24)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(2,763)</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39,703,690</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plus assumed conversions</w:t>
            </w:r>
          </w:p>
        </w:tc>
        <w:tc>
          <w:tcPr>
            <w:tcW w:w="2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4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57543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660" w:hanging="333"/>
        <w:spacing w:after="0" w:line="253"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103,560, 621,428, 393,622 and 698,812 shares were excluded for the three and nine months ended March 31, 2018 and 2017, respectively, as the effects would be anti-dilutive.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changes in the average number of shares that were anti-dilutive in the nine months ended March 31, 2018 compared to the same period last year, were due to warrants exercised in connection with our common stock during September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balances and goodwill consisted of the following:</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3"/>
              </w:rPr>
              <w:t>As of March 31, 2018</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19"/>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00"/>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2 years</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Brand and tradenames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3 - 7 years</w:t>
            </w:r>
          </w:p>
        </w:tc>
        <w:tc>
          <w:tcPr>
            <w:tcW w:w="0" w:type="dxa"/>
            <w:vAlign w:val="bottom"/>
          </w:tcPr>
          <w:p>
            <w:pPr>
              <w:spacing w:after="0"/>
              <w:rPr>
                <w:sz w:val="1"/>
                <w:szCs w:val="1"/>
                <w:color w:val="auto"/>
              </w:rPr>
            </w:pPr>
          </w:p>
        </w:tc>
      </w:tr>
      <w:tr>
        <w:trPr>
          <w:trHeight w:val="216"/>
        </w:trPr>
        <w:tc>
          <w:tcPr>
            <w:tcW w:w="3380" w:type="dxa"/>
            <w:vAlign w:val="bottom"/>
          </w:tcPr>
          <w:p>
            <w:pPr>
              <w:ind w:left="200"/>
              <w:spacing w:after="0"/>
              <w:rPr>
                <w:sz w:val="20"/>
                <w:szCs w:val="20"/>
                <w:color w:val="auto"/>
              </w:rPr>
            </w:pPr>
            <w:r>
              <w:rPr>
                <w:rFonts w:ascii="Arial" w:cs="Arial" w:eastAsia="Arial" w:hAnsi="Arial"/>
                <w:sz w:val="18"/>
                <w:szCs w:val="18"/>
                <w:color w:val="auto"/>
              </w:rPr>
              <w:t>Developed technology</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10,939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(960)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5 - 6 years</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10 - 18 years</w:t>
            </w:r>
          </w:p>
        </w:tc>
        <w:tc>
          <w:tcPr>
            <w:tcW w:w="0" w:type="dxa"/>
            <w:vAlign w:val="bottom"/>
          </w:tcPr>
          <w:p>
            <w:pPr>
              <w:spacing w:after="0"/>
              <w:rPr>
                <w:sz w:val="1"/>
                <w:szCs w:val="1"/>
                <w:color w:val="auto"/>
              </w:rPr>
            </w:pPr>
          </w:p>
        </w:tc>
      </w:tr>
      <w:tr>
        <w:trPr>
          <w:trHeight w:val="210"/>
        </w:trPr>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31,685</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(1,566)</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30,119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64,196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64,196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380" w:type="dxa"/>
            <w:vAlign w:val="bottom"/>
          </w:tcPr>
          <w:p>
            <w:pPr>
              <w:spacing w:after="0"/>
              <w:rPr>
                <w:sz w:val="20"/>
                <w:szCs w:val="20"/>
                <w:color w:val="auto"/>
              </w:rPr>
            </w:pPr>
            <w:r>
              <w:rPr>
                <w:rFonts w:ascii="Arial" w:cs="Arial" w:eastAsia="Arial" w:hAnsi="Arial"/>
                <w:sz w:val="18"/>
                <w:szCs w:val="18"/>
                <w:color w:val="auto"/>
              </w:rPr>
              <w:t>Total intangible assets &amp; goodwill</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95,881</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3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0"/>
              </w:rPr>
              <w:t>As of June 30, 2017</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19"/>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0"/>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00"/>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4"/>
              </w:rPr>
              <w:t>2 years</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Brand</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 years</w:t>
            </w:r>
          </w:p>
        </w:tc>
        <w:tc>
          <w:tcPr>
            <w:tcW w:w="0" w:type="dxa"/>
            <w:vAlign w:val="bottom"/>
          </w:tcPr>
          <w:p>
            <w:pPr>
              <w:spacing w:after="0"/>
              <w:rPr>
                <w:sz w:val="1"/>
                <w:szCs w:val="1"/>
                <w:color w:val="auto"/>
              </w:rPr>
            </w:pPr>
          </w:p>
        </w:tc>
      </w:tr>
      <w:tr>
        <w:trPr>
          <w:trHeight w:val="216"/>
        </w:trPr>
        <w:tc>
          <w:tcPr>
            <w:tcW w:w="3380" w:type="dxa"/>
            <w:vAlign w:val="bottom"/>
          </w:tcPr>
          <w:p>
            <w:pPr>
              <w:ind w:left="200"/>
              <w:spacing w:after="0"/>
              <w:rPr>
                <w:sz w:val="20"/>
                <w:szCs w:val="20"/>
                <w:color w:val="auto"/>
              </w:rPr>
            </w:pPr>
            <w:r>
              <w:rPr>
                <w:rFonts w:ascii="Arial" w:cs="Arial" w:eastAsia="Arial" w:hAnsi="Arial"/>
                <w:sz w:val="18"/>
                <w:szCs w:val="18"/>
                <w:color w:val="auto"/>
              </w:rPr>
              <w:t>Developed technology</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 years</w:t>
            </w:r>
          </w:p>
        </w:tc>
        <w:tc>
          <w:tcPr>
            <w:tcW w:w="0" w:type="dxa"/>
            <w:vAlign w:val="bottom"/>
          </w:tcPr>
          <w:p>
            <w:pPr>
              <w:spacing w:after="0"/>
              <w:rPr>
                <w:sz w:val="1"/>
                <w:szCs w:val="1"/>
                <w:color w:val="auto"/>
              </w:rPr>
            </w:pPr>
          </w:p>
        </w:tc>
      </w:tr>
      <w:tr>
        <w:trPr>
          <w:trHeight w:val="210"/>
        </w:trPr>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11,492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11,492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380" w:type="dxa"/>
            <w:vAlign w:val="bottom"/>
          </w:tcPr>
          <w:p>
            <w:pPr>
              <w:spacing w:after="0"/>
              <w:rPr>
                <w:sz w:val="20"/>
                <w:szCs w:val="20"/>
                <w:color w:val="auto"/>
              </w:rPr>
            </w:pPr>
            <w:r>
              <w:rPr>
                <w:rFonts w:ascii="Arial" w:cs="Arial" w:eastAsia="Arial" w:hAnsi="Arial"/>
                <w:sz w:val="18"/>
                <w:szCs w:val="18"/>
                <w:color w:val="auto"/>
              </w:rPr>
              <w:t>Total intangible assets &amp; goodwill</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12,377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and nine months ended March 31, 2018 there was $0.8 million and $1.3 million in amortization expense related to intangible assets, respectively, as compared to the three and nine months ended March 31, 2017, for which there was $45 thousand and $132 thousand in amortization expense related to intangible assets, respectively.</w:t>
      </w:r>
    </w:p>
    <w:p>
      <w:pPr>
        <w:spacing w:after="0" w:line="3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referenced in Note 3 and set forth in the Merger Agreement, the Company finalized a post-working capital adjustment of $253 thousand during the quarter ended March 31, 2018. Accordingly, this post-working capital adjustment is reflected within goodwill as of March 31, 2018.</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LINE OF CREDIT</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fiscal year ended June 30, 2016, the Company entered into a Loan and Security Agreement and other ancillary documents (as amended, the “Heritage Loan Documents”) with Heritage Bank of Commerce (“Heritage Bank”), providing for a secured asset-based revolving line of credit in an amount of up to $12.0 million (the “Line of Credit”) at an interest rate calculated based on the Federal Reserve’s Prime plus 2.25%. The Line of Credit and the Company’s obligations under the Heritage Loan Documents were secured by substantially all of the Company’s assets, including its intellectual property.</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March 2017, the Company entered into the third amendment with Heritage Bank that extended the maturity date of the Line of Credit from March 29, 2017 to September 30, 2018.</w:t>
      </w:r>
    </w:p>
    <w:p>
      <w:pPr>
        <w:spacing w:after="0" w:line="3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November 9, 2017, the Company paid all amounts due in respect of principal, interest, and fees, and satisfied all of its obligations under the Loan and Security Agreement dated as of March 29, 2016, as amended, and ancillary agreements by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and between the Company and Heritage Bank of Commerce. The Company recorded a charge of $55 thousand to write-off any remaining deferred financing costs related to the Line of Credit to interest expense in the quarter ending December 31, 2017. Pursuant to such payment, all commitments of Heritage Bank of Commerce were terminated, and the Heritage Loan and Security Agreement was terminated. As such, there was no outstanding balance on the Line of Credit at March 31, 2018.</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 and Term Loan</w:t>
      </w:r>
    </w:p>
    <w:p>
      <w:pPr>
        <w:spacing w:after="0" w:line="10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9, 2017, in connection with the acquisition of Cantaloupe, the Company entered into a five year credit agreement among the Company, as the borrower, its subsidiaries, as guarantors, and JPMorgan Chase Bank, N.A., as the lender and administrative agent for the lender (the “Lender”), pursuant to which the Lender (i) made a $25 million Term Loan to the Company and (ii) provided the Company with the Revolving Credit Facility under which the Company may borrow revolving credit loans in an aggregate principal amount not to exceed $12.5 million at any time.</w:t>
      </w:r>
    </w:p>
    <w:p>
      <w:pPr>
        <w:spacing w:after="0" w:line="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proceeds of the Term Loan and borrowings under the Revolving Credit Facility, in an aggregate principal amount equal to $35.0 million, were used by the Company to finance a portion of the purchase price for the acquisition of Cantaloupe ($27.8 million) and repay existing indebtedness to Heritage Bank ($7.2 million). Future borrowings under the Revolving Credit Facility may be used by the Company for working capital and general corporate purposes of the Company and its subsidiaries. The principal amount of the Term Loan is payable quarterly beginning on December 31, 2017. The Term Loan, all advances under the Revolving Credit Facility, and all other obligations must be paid in full at maturity, on November 9, 2022.</w:t>
      </w:r>
    </w:p>
    <w:p>
      <w:pPr>
        <w:spacing w:after="0" w:line="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Loans under the five year credit agreement bear interest, at the Company's option, by reference to a base rate or a rate based on LIBOR, in either case, plus an applicable margin determined quarterly based on the Company's Total Leverage Ratio as of the last day of each fiscal quarter. The applicable interest rate on the loans for the three and nine months ended March 31, 2018 is LIBOR plus 4%. The Term Loan and Revolving Credit Facility contain customary representations and warranties and affirmative and negative covenants and require the Company to maintain a minimum quarterly Total Leverage Ratio and Fixed Charge Coverage Ratio.</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2018, the outstanding balances for the Revolving Credit Facility and the Term Loan were $10.0 million and</w:t>
      </w:r>
    </w:p>
    <w:p>
      <w:pPr>
        <w:spacing w:after="0" w:line="46" w:lineRule="exact"/>
        <w:rPr>
          <w:sz w:val="20"/>
          <w:szCs w:val="20"/>
          <w:color w:val="auto"/>
        </w:rPr>
      </w:pPr>
    </w:p>
    <w:p>
      <w:pPr>
        <w:ind w:left="140" w:hanging="137"/>
        <w:spacing w:after="0"/>
        <w:tabs>
          <w:tab w:leader="none" w:pos="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24.0 million, respectively.</w:t>
      </w:r>
    </w:p>
    <w:p>
      <w:pPr>
        <w:spacing w:after="0" w:line="8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Other Long-Term Borrowings</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periodically enters into capital lease obligations to finance network servers, computers, office furniture and equipment related support for use in its daily operations. During the nine months ended March 31, 2018, the Company entered into capital lease obligations totaling $227 thousand, comprised of monthly installments of $7 thousand due within three years. The value of the acquired equipment is included in property and equipment and depreciated accordingly.</w:t>
      </w:r>
    </w:p>
    <w:p>
      <w:pPr>
        <w:spacing w:after="0" w:line="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acquisition of Cantaloupe, the Company assumed debt of $1.8 million with an outstanding balance of $1.6 million as of March 31, 2018, comprised of: (i) $491 thousand of promissory notes bearing an interest rate of a 5% and maturing on April 5, 2020 with principal and interest payments due monthly; (ii) $769 thousand of promissory notes bearing an interest rate of 10% and maturing on September 30, 2021 with principal and interest payments due quarterly; and (iii) $317 thousand of promissory notes bearing an interest rate of 12% and maturing on December 15, 2019 with principal and interest payments due quarterly.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the Company held no Level 1, Level 2, or Level 3 financial instruments.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June 30, 2016, 2.2 million warrants with a fair value of $3.7 million comprised the Company’s Level 3 financial instruments. The Level 3 financial instruments consisted of common stock warrants issued by the Company in March 2011 to purchase shares of the Company’s common stock. The Level 3 financial instruments included features requiring liability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treatment of the warrants, with the fair value of the common stock based on valuations performed by an independent third-party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 During the three months ended September 30, 2016, all of the aforementioned warrants were exercised resulting in a $5.2 million reclassification to Common Stock and the net difference of $1.5 million was recorded as a loss on fair value associated with the warrant liability.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22, 2017, the “Tax Cuts and Jobs Act” (the “Act”) was signed into law. Substantially all of the provisions of the Act are effective for taxable years beginning after December 31, 2017. The Act includes significant changes to the Internal Revenue Code of 1986 (as amended, the “Code”), including amendments which significantly change the taxation of individuals and business entities. The Act contains numerous provisions impacting the Company, the most significant of which reduces the Federal corporate statutory tax rate from 34% to 21%.</w:t>
      </w:r>
    </w:p>
    <w:p>
      <w:pPr>
        <w:spacing w:after="0" w:line="3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staff of the US Securities and Exchange Commission (“SEC”) has recognized the complexity of reflecting the impacts of the Act, and on December 22, 2017 issued guidance in Staff Accounting Bulletin 118 (“SAB 118”), which clarifies accounting for income taxes under FASB Accounting Standards Codification ASC (“ASC”) 740 if information is not yet available or complete and provides for up to a one year period in which to complete the required analyses and accounting (the measurement period). SAB 118 describes three scenarios (or “buckets”) associated with a company’s status of accounting for income tax reform: (1) a company is complete with its accounting for certain effects of tax reform, (2) a company is able to determine a reasonable estimate for certain effects of tax reform and records that estimate as a provisional amount, or (3) a company is not able to determine a reasonable estimate and therefore continues to apply ASC 740, based on the provisions of the tax laws that were in effect immediately prior to the Act being enacted.</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various provisions under the Act deemed most relevant to the Company have been considered in preparation of its financial statements as of March 31, 2018. To the extent that clarifications or interpretations materialize in the future that would impact upon the effects of the Act incorporated into the March 31, 2018 financial statements, those effects will be reflected in the future as or if they materialize.</w:t>
      </w:r>
    </w:p>
    <w:p>
      <w:pPr>
        <w:spacing w:after="0" w:line="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three months ended March 31, 2018, the Company recorded income tax benefits of $2.1 million (substantially all deferred income taxes). For the nine months ended March 31, 2018 a tax provision of $6.5 million was recorded which included a charge of $6.6 million related to the tax rate reduction of the Act. The benefit and provision are based upon income (loss) before income taxes using an estimated annual effective income tax rate for the year ending June 30, 2018 of 2%, which was impacted by the effect of permanent differences. The tax rate reduction related to the Act was treated as a discrete item in the tax provision for the nine months ended March 31, 2018.</w:t>
      </w:r>
    </w:p>
    <w:p>
      <w:pPr>
        <w:spacing w:after="0" w:line="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for deferred income taxes in the acquisition of Cantaloupe did not consider the potential effects of IRS Code Section 382 relating to the limitation on use of operating loss carryforwards created by Cantaloupe for its changes in ownership because the analysis required for such determination has not yet been completed. If upon completion of such analysis there are limitations on the use of operating loss carryforwards created by Cantaloupe totaling approximately $13.2 million, the potential effect would be to record a valuation allowance in the opening balance sheet, as well as a tax benefit to reverse the provision recorded during the three months ended December 31, 2017 related to the tax rate reduction of the Act for the deferred tax assets acquired.</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and nine months ended March 31, 2017, income tax provisions of $0.2 million and $0.1 million, respectively, (substantially all deferred income taxes) were recorded. The provisions are based upon income before income taxes using an estimated annual effective income tax rate of 31% for the fiscal year ended June 30, 2017. The provision for the nine months ended March 31, 2017 consists of a charge for the tax effect of the change in the fair value of warrant liabilities which was treated discretely offset by a tax benefit based upon income before benefit for income taxes using the estimated annual effective income tax rate of 23% for the fiscal year ended June 30, 2017. All of those warrants were exercised as of September 30, 2016.</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25, 2017, the Company closed its underwritten public offering of 9,583,332 shares of its common stock at a public offering price of $4.50 per share. The foregoing included the full exercise of the underwriters' option to purchase 1,249,999 additional shares from the Company. The gross proceeds to the Company from the offering, before deducting underwriting discounts and commissions and other offering expenses, was approximately $43.1 million.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6, 2017, the Company entered into a Merger Agreement with Cantaloupe for cash and 3,423,367 shares of the company’s stock valued at $19.8 million. Refer to Footnote 3 for details on the Merger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and nine months ended March 31, 2018, no warrants were exercised as compared to the nine months ended March 31, 2017 where 2.4 million warrants were exercised at $2.6058 per share, yielding proceeds of $6.2 million. The following table summarizes warrant activity for the three and nine months ended March 31, 2018 and 2017:</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26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Three months ended</w:t>
            </w:r>
          </w:p>
        </w:tc>
        <w:tc>
          <w:tcPr>
            <w:tcW w:w="2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2100" w:type="dxa"/>
            <w:vAlign w:val="bottom"/>
          </w:tcPr>
          <w:p>
            <w:pPr>
              <w:spacing w:after="0"/>
              <w:rPr>
                <w:sz w:val="14"/>
                <w:szCs w:val="14"/>
                <w:color w:val="auto"/>
              </w:rPr>
            </w:pPr>
          </w:p>
        </w:tc>
        <w:tc>
          <w:tcPr>
            <w:tcW w:w="1660" w:type="dxa"/>
            <w:vAlign w:val="bottom"/>
            <w:tcBorders>
              <w:bottom w:val="single" w:sz="8" w:color="auto"/>
            </w:tcBorders>
            <w:gridSpan w:val="3"/>
          </w:tcPr>
          <w:p>
            <w:pPr>
              <w:jc w:val="center"/>
              <w:ind w:left="716"/>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gridSpan w:val="3"/>
          </w:tcPr>
          <w:p>
            <w:pPr>
              <w:jc w:val="center"/>
              <w:ind w:left="776"/>
              <w:spacing w:after="0"/>
              <w:rPr>
                <w:sz w:val="20"/>
                <w:szCs w:val="20"/>
                <w:color w:val="auto"/>
              </w:rPr>
            </w:pPr>
            <w:r>
              <w:rPr>
                <w:rFonts w:ascii="Arial" w:cs="Arial" w:eastAsia="Arial" w:hAnsi="Arial"/>
                <w:sz w:val="14"/>
                <w:szCs w:val="14"/>
                <w:b w:val="1"/>
                <w:bCs w:val="1"/>
                <w:color w:val="auto"/>
                <w:w w:val="99"/>
              </w:rPr>
              <w:t>March 31,</w:t>
            </w:r>
          </w:p>
        </w:tc>
        <w:tc>
          <w:tcPr>
            <w:tcW w:w="900" w:type="dxa"/>
            <w:vAlign w:val="bottom"/>
            <w:tcBorders>
              <w:bottom w:val="single" w:sz="8" w:color="auto"/>
            </w:tcBorders>
          </w:tcPr>
          <w:p>
            <w:pPr>
              <w:spacing w:after="0"/>
              <w:rPr>
                <w:sz w:val="14"/>
                <w:szCs w:val="14"/>
                <w:color w:val="auto"/>
              </w:rPr>
            </w:pPr>
          </w:p>
        </w:tc>
      </w:tr>
      <w:tr>
        <w:trPr>
          <w:trHeight w:val="142"/>
        </w:trPr>
        <w:tc>
          <w:tcPr>
            <w:tcW w:w="210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23,978</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2,445,653</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Issued</w:t>
            </w:r>
          </w:p>
        </w:tc>
        <w:tc>
          <w:tcPr>
            <w:tcW w:w="16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(2,401,408)</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Expired</w:t>
            </w:r>
          </w:p>
        </w:tc>
        <w:tc>
          <w:tcPr>
            <w:tcW w:w="16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(20,267)</w:t>
            </w:r>
          </w:p>
        </w:tc>
      </w:tr>
      <w:tr>
        <w:trPr>
          <w:trHeight w:val="217"/>
        </w:trPr>
        <w:tc>
          <w:tcPr>
            <w:tcW w:w="2100" w:type="dxa"/>
            <w:vAlign w:val="bottom"/>
          </w:tcPr>
          <w:p>
            <w:pPr>
              <w:spacing w:after="0"/>
              <w:rPr>
                <w:sz w:val="20"/>
                <w:szCs w:val="20"/>
                <w:color w:val="auto"/>
              </w:rPr>
            </w:pPr>
            <w:r>
              <w:rPr>
                <w:rFonts w:ascii="Arial" w:cs="Arial" w:eastAsia="Arial" w:hAnsi="Arial"/>
                <w:sz w:val="18"/>
                <w:szCs w:val="18"/>
                <w:color w:val="auto"/>
              </w:rPr>
              <w:t>Ending balance</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23,978</w:t>
            </w: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23,978</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23,978</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estimates the grant date fair value of the stock options it grants using a Black-Scholes valuation model. The Company’s assumption for expected volatility is based on its historical volatility data related to market trading of its own common stock. The Company bases its assumptions for expected life of the new stock option grants on the life of the option granted, and if relevant, its analysis of the historical exercise patterns of its stock options.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2017, 135,000 stock options were granted for 11 employees vesting 1/3 on July 26, 2018, 1/3 on July 26, 2019 and 1/3 on July 26, 2020 expiring if not exercised prior to July 26, 2022. The options are intended to qualify as incentive stock options under Section 422 of the Internal Revenue Code of 1986, as amended.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2017, the Company awarded stock options to its Chief Executive Officer and Chief Financial Officer to purchase up to 19,047 and 25,000 shares respectively of common stock at an exercise price of $5.25 per share. The Chief Executive Officer options vest on August 16, 2018, expiring if not exercised prior to August 16, 2024. The Chief Financial Officer options vest 1/3 on August 16, 2018, 1/3 on August 16, 2019 and 1/3 on August 16, 2020, expiring if not exercised prior to August 16, 2024. The Chief Executive Officer options are intended to qualify as incentive stock options under Section 422 of the Internal Revenue Code of 1986, as amended, and the Chief Financial Officer options are non-qualified stock options.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options granted during the three and nine months ended March 31, 2018 was determined using the following weighted average assumptions:</w:t>
      </w:r>
    </w:p>
    <w:p>
      <w:pPr>
        <w:spacing w:after="0" w:line="176"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Nine months ended</w:t>
      </w:r>
    </w:p>
    <w:p>
      <w:pPr>
        <w:ind w:left="60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32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1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2"/>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(percent)</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50.2 - 50.9</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49.0 - 50.0</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Expected life (years)</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4.0 - 4.5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3.0 - 4.0</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Risk-free interest rate (percent)</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1.64 - 1.72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1.06 - 1.90</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Number of options granted</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179,047</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125,080</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5.66</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 based compensation related to all stock options for the three and nine months ended March 31, 2018 was $127 thousand and $403 thousand, respectively, and $61 thousand and $155 thousand for the three and nine months ended March 31, 2017,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1, 2017, $90 thousand of stock grants were awarded to each non-employee Director based on the closing price of the Company’s Common Stock on June 8, 2017 (the date for which the stock grants were initially approved), for a total of 98,184 shares. The shares vest ratably on a monthly basis over the two year period following July 1, 2017. The total expense recognized for these grants for the nine months ended March 31, 2018 was $394 thousand.</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nine months ended March 31, 2018, the Company awarded an aggregate of 177,363 shares to its Chief Executive Officer, Chief Financial Officer and Chief Services Officer under its fiscal year 2017 long term stock incentive plan and an aggregate of 9,472 shares to three non-employee Directors in satisfaction of board fees.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 TERM INCENTIVE PLANS</w:t>
      </w:r>
    </w:p>
    <w:p>
      <w:pPr>
        <w:spacing w:after="0" w:line="9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Board approved the Fiscal Year 2018 Long-Term Stock Incentive Plan (the “2018 LTI Stock Plan”) which provides that executive officers would be awarded shares of common stock of the Company in the event that certain metrics relating to the Company’s 2018 fiscal year would result in specified ranges of year-over-year percentage growth. The metrics are total number of connections as of June 30, 2018 as compared to total number of connections as of June 30, 2017 (40% weighting) and adjusted EBITDA earned during the 2018 fiscal year as compared to the adjusted EBITDA earned during the 2017 fiscal year (60% weighting). If none of the minimum threshold year-over-year percentage target goals are achieved, the executive officers would not be awarded any shares. If all of the year-over-year percentage target goals are achieved, the executive officers would be awarded shares having the following value: Chief Executive Officer - $840,000 (160% of base salary), Chief Financial Officer - $300,000 (100% of base salary), Chief Services Officer - $275,000 (100% of base salary), and Chief Product Officer - $280,000 (100% of base salary and to be prorated to reflect the actual period of employment during the fiscal year). If all of the maximum distinguished year over year percentage target goals are achieved, the executive officers would be awarded shares having the following value: Chief Executive Officer - $1,260,000 (240% of base salary), Chief Financial Officer - $450,000 (150% of base salary), Chief Services Officer - $412,500 (150% of base salary), and Chief Product Officer - $420,000 (150% of base salary and to be prorated to reflect the actual period of employment during the fiscal year). Assuming the minimum threshold year-over-year percentage target goal would be achieved for a particular metric, the number of shares to be awarded for that metric would be determined on a pro rata basis, provided that the award would not exceed the maximum distinguished award for that metric. The shares awarded under the 2018 LTI Stock Plan would vest as follows: one-third at the time of issuance; one-third on June 30, 2019; and one-third on June 30, 2020.</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had long-term stock incentive plans (“LTI”) in prior fiscal years for its then executive officers. Stock based compensation related to the LTI plans was as follows in the three and nine months ended March 31, 2018 and 2017:</w:t>
      </w:r>
    </w:p>
    <w:p>
      <w:pPr>
        <w:spacing w:after="0" w:line="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4"/>
          </w:tcPr>
          <w:p>
            <w:pPr>
              <w:jc w:val="right"/>
              <w:ind w:right="45"/>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w w:val="99"/>
              </w:rPr>
              <w:t>($ in thousands, except per share data)</w:t>
            </w: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14"/>
                <w:szCs w:val="14"/>
                <w:b w:val="1"/>
                <w:bCs w:val="1"/>
                <w:color w:val="auto"/>
              </w:rPr>
              <w:t>March 31,</w:t>
            </w: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297"/>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FY18 LTI Plan</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287</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FY17 LTI Plan</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FY16 LTI Plan</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FY15 LTI Plan</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360</w:t>
            </w: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107</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current fiscal year, the Company expanded the leased space for its headquarters in Malvern, Pennsylvania to a total of 23,138 square feet. The company’s monthly base rent now is approximately $47 thousand with a lease expiration date of November 30, 2023.</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Through the Cantaloupe acquisition, the Company acquired a noncancelable operating lease pertaining to Cantaloupe’s headquarters based in San Francisco, California. The leased premise consists of approximately 8,400 square feet and calls for rental payments of approximately $48 thousand due each month through its January 31, 2020 expiration date.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the Company is involved in various legal proceedings arising during the normal course of business. In the opinion of the Company’s management, these proceedings will not have a material adverse effect on the Company’s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14, 2018, the Company and Mr. Arora (Chief Product Officer) entered into a Separation Agreement and Release (the “Separation Agreement”). Pursuant to the Separation Agreement, Mr. Arora resigned as Chief Product Officer effective April 16, 2018. Mr. Arora was a founder and, prior to the acquisition, had been the Chief Executive Officer of Cantaloupe.</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severance and benefits to be provided to Mr. Arora under the Separation Agreement include: (i) an amount equal to his base salary of $280 thousand plus an additional $370 thousand, payable on the Company’s regular payroll dates for a period of one year following the date of his resignation; (ii) group medical and dental insurance coverage for one year to Mr. Arora and his eligible dependents; (iii) subject to achievement of the target goals under the Company’s Fiscal Year 2018 Long-Term Stock Incentive Plan, and subject to the terms thereof, the Company will issue to Mr. Arora the number of shares of common stock which may be earned by him under the plan on a prorated basis to reflect the period of time he was employed by the Company during the fiscal year; and (iv) subject to achievement of the target goals under the Company’s Fiscal Year 2018 Short-Term Cash Incentive Plan, and subject to the terms thereof, the Company will pay to Mr. Arora the cash bonus which may be earned by him under the plan on a prorated basis to reflect the period of time he was employed by the Company during the fiscal year. The Separation Agreement also provides that certain terms of Mr. Arora’s Employment Agreement (relating to, among other things, non-competition, non-solicitation, inventions, and confidentiality) shall remain in full force and effect in accordance with their terms.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severance costs of approximately $700 thousand related to the Separation Agreement are anticipated during the fourth quarter ended June 30, 2018.</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9, 2018, the Company filed a Form S-1 registration statement with the Securities and Exchange Commission relating to the proposed public offering of approximately $50 million of shares of common stock to be sold by the Company, and 553,187 shares to be resold by certain selling shareholders. In addition, the Company expects to grant to the underwriter a 30-day option to purchase up to an additional 15% of the total shares sold in the offering to cover over-allotments.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Form 10-Q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82" w:lineRule="exact"/>
        <w:rPr>
          <w:sz w:val="20"/>
          <w:szCs w:val="20"/>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market or business conditions unrelated to our operating performance;</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or debt financing in order to sustain its operations if an unexpected or unusual event would occur;</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Company’s current or future customers purchase, lease, rent or utilize ePort devices or our other products in the future at levels currently anticipated by our Company;</w:t>
      </w:r>
    </w:p>
    <w:p>
      <w:pPr>
        <w:spacing w:after="0" w:line="170" w:lineRule="exact"/>
        <w:rPr>
          <w:rFonts w:ascii="Arial" w:cs="Arial" w:eastAsia="Arial" w:hAnsi="Arial"/>
          <w:sz w:val="18"/>
          <w:szCs w:val="18"/>
          <w:color w:val="auto"/>
        </w:rPr>
      </w:pPr>
    </w:p>
    <w:p>
      <w:pPr>
        <w:ind w:left="660" w:hanging="333"/>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whether the Company’s customers continue to utilize the Company’s transaction processing and related services, as our customer agreements are generally cancelable by the customer on thirty to sixty days’ notice;</w:t>
      </w:r>
    </w:p>
    <w:p>
      <w:pPr>
        <w:spacing w:after="0" w:line="146" w:lineRule="exact"/>
        <w:rPr>
          <w:rFonts w:ascii="Arial" w:cs="Arial" w:eastAsia="Arial" w:hAnsi="Arial"/>
          <w:sz w:val="17"/>
          <w:szCs w:val="17"/>
          <w:color w:val="auto"/>
        </w:rPr>
      </w:pPr>
    </w:p>
    <w:p>
      <w:pPr>
        <w:ind w:left="660" w:hanging="333"/>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ability of the Company to satisfy its trade obligations included in accounts payable and accrued expenses;</w:t>
      </w:r>
    </w:p>
    <w:p>
      <w:pPr>
        <w:spacing w:after="0" w:line="236" w:lineRule="exact"/>
        <w:rPr>
          <w:rFonts w:ascii="Arial" w:cs="Arial" w:eastAsia="Arial" w:hAnsi="Arial"/>
          <w:sz w:val="17"/>
          <w:szCs w:val="17"/>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Company to sell to third party lenders all or a portion of our finance receivables;</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a sufficient number of our customers to utilize third party financing companies under our QuickStart program in order to improve our net cash used by operating activities;</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would require us to divert our cash resources from achieving our business plan;</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revenues and expenses given the developing and unpredictable market for its products;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ability of the Company to retain key customers from whom a significant portion of its revenues are derived;</w:t>
      </w:r>
    </w:p>
    <w:p>
      <w:pPr>
        <w:spacing w:after="0" w:line="236" w:lineRule="exact"/>
        <w:rPr>
          <w:rFonts w:ascii="Arial" w:cs="Arial" w:eastAsia="Arial" w:hAnsi="Arial"/>
          <w:sz w:val="17"/>
          <w:szCs w:val="17"/>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Company to obtain widespread commercial acceptance of its products and service offerings such as ePort QuickConnect, mobile payment and loyalty programs;</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Company to operate without infringing the intellectual property rights of others;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products and services to avoid unauthorized hacking or credit card fraud;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ind w:left="660" w:hanging="333"/>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utilize the full benefits and synergies anticipated from the Cantaloupe merger because of integration and other challenges;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 and</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for working capital, capital expenditures, acquisitions, general corporate purposes or other purposes may be impaired.</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USA Technologies, Inc. was incorporated in the Commonwealth of Pennsylvania in January 1992. We are a provider of technology-enabled solutions and value-added services that facilitate electronic payment transactions and consumer engagement services primarily within the unattended Point of Sale (“POS”) market. We are a leading provider in the small ticket, beverage and food vending industry and are expanding our solutions and services to other unattended market segments, such as amusement, commercial laundry, kiosk and others. Since our founding, we have designed and marketed systems and solutions that facilitate electronic payment options, as well as telemetry Internet of Things (“IoT”)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recent acquisition of Cantaloupe expanded the Company’s existing platform to become an end-to-end enterprise platform integrating Cantaloupe’s Seed Cloud which provides cloud and mobile solutions for dynamic route scheduling, automated pre-kitting, responsive merchandising, inventory management, warehouse and accounting management, as well as cashless vending. The combined companies complete the value chain for customers by providing both top-line revenue generating services as well as bottom line business efficiency services to help operators of unattended retail machines run their business better. The combined product offering provides the data-rich Seed system with USAT’s consumer benefits, providing operators with valuable consumer data that results in customized experiences. In addition to new technology and services, due to Cantaloupe’s existing customer base, the acquisition expands the Company’s footprint into new global markets.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generates revenue in multiple ways. During the three and nine months ended March 31, 2018, we derived 75.4% and 74.3% of our revenues from recurring license and transaction fees related to our service and 24.6% and 25.7% of our revenue from equipment sales, respectively. We consider a connection to be the utilization by an unattended location owned or operated by our customer of at least one of the services offered by our end-to-end enterprise platform. These services include cashless payment, loyalty, inventory management, warehouse and accounting management, and responsive merchandising. Connections to our service include those resulting from the sale or lease of our POS electronic payment devices or certified payment software or the servicing of similar third-party installed POS terminals. Connections to our service are the most significant driver of the Company’s revenues, particularly the higher margin recurring revenues from license and transaction fees. We believe that our service-approach business model, including our value-added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services, could create a high-margin stream of recurring revenues that could create a foundation for long-term value and continued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Customers can obtain POS electronic payment devices from us in the following ways:</w:t>
      </w:r>
    </w:p>
    <w:p>
      <w:pPr>
        <w:spacing w:after="0" w:line="225" w:lineRule="exact"/>
        <w:rPr>
          <w:sz w:val="20"/>
          <w:szCs w:val="20"/>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Purchasing devices directly from the Company or one of its authorized resellers;</w:t>
      </w:r>
    </w:p>
    <w:p>
      <w:pPr>
        <w:spacing w:after="0" w:line="225" w:lineRule="exact"/>
        <w:rPr>
          <w:rFonts w:ascii="Arial" w:cs="Arial" w:eastAsia="Arial" w:hAnsi="Arial"/>
          <w:sz w:val="18"/>
          <w:szCs w:val="18"/>
          <w:color w:val="auto"/>
        </w:rPr>
      </w:pPr>
    </w:p>
    <w:p>
      <w:pPr>
        <w:ind w:left="660" w:right="380" w:hanging="333"/>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Financing devices under the Company’s QuickStart Program, which are non-cancellable sixty month sales-type leases, through an unrelated equipment financing company, if available, or directly from the Company; and</w:t>
      </w:r>
    </w:p>
    <w:p>
      <w:pPr>
        <w:spacing w:after="0" w:line="123" w:lineRule="exact"/>
        <w:rPr>
          <w:rFonts w:ascii="Arial" w:cs="Arial" w:eastAsia="Arial" w:hAnsi="Arial"/>
          <w:sz w:val="16"/>
          <w:szCs w:val="16"/>
          <w:color w:val="auto"/>
        </w:rPr>
      </w:pPr>
    </w:p>
    <w:p>
      <w:pPr>
        <w:ind w:left="660" w:right="300" w:hanging="333"/>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Renting devices under the Company’s JumpStart Program or Cantaloupe’s rental program, which are cancellable month-to-month operating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highlights of the Company include:</w:t>
      </w:r>
    </w:p>
    <w:p>
      <w:pPr>
        <w:spacing w:after="0" w:line="225" w:lineRule="exact"/>
        <w:rPr>
          <w:sz w:val="20"/>
          <w:szCs w:val="20"/>
          <w:color w:val="auto"/>
        </w:rPr>
      </w:pPr>
    </w:p>
    <w:p>
      <w:pPr>
        <w:ind w:left="660" w:right="200" w:hanging="333"/>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129 employees, primarily located in our corporate headquarters in Malvern, Pennsylvania and a Cantaloupe office location in San Francisco, California;</w:t>
      </w:r>
    </w:p>
    <w:p>
      <w:pPr>
        <w:spacing w:after="0" w:line="170" w:lineRule="exact"/>
        <w:rPr>
          <w:rFonts w:ascii="Arial" w:cs="Arial" w:eastAsia="Arial" w:hAnsi="Arial"/>
          <w:sz w:val="18"/>
          <w:szCs w:val="18"/>
          <w:color w:val="auto"/>
        </w:rPr>
      </w:pPr>
    </w:p>
    <w:p>
      <w:pPr>
        <w:ind w:left="660" w:right="420" w:hanging="333"/>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 15,600 customers and 969,000 connections to our services, including approximately 1,400 customers and 270,000 connections related to the acquisition of Cantaloupe;</w:t>
      </w:r>
    </w:p>
    <w:p>
      <w:pPr>
        <w:spacing w:after="0" w:line="170" w:lineRule="exact"/>
        <w:rPr>
          <w:rFonts w:ascii="Arial" w:cs="Arial" w:eastAsia="Arial" w:hAnsi="Arial"/>
          <w:sz w:val="18"/>
          <w:szCs w:val="18"/>
          <w:color w:val="auto"/>
        </w:rPr>
      </w:pPr>
    </w:p>
    <w:p>
      <w:pPr>
        <w:ind w:left="660" w:right="400" w:hanging="333"/>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Three direct sales teams at the national, regional, and local customer-level and a growing number of OEMs and national distribution partners;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86 United States and foreign patents are in force;</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fiscal year ends June 30</w:t>
      </w:r>
      <w:r>
        <w:rPr>
          <w:rFonts w:ascii="Arial" w:cs="Arial" w:eastAsia="Arial" w:hAnsi="Arial"/>
          <w:sz w:val="8"/>
          <w:szCs w:val="8"/>
          <w:color w:val="auto"/>
        </w:rPr>
        <w:t>th</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has traded on the NASDAQ under the symbol “USAT” since 2007.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net deferred tax assets of approximately $16.9 million predominantly resulting from a series of operating loss carry forwards that may be available to offset future taxable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consolidated financial statements are prepared applying certain critical accounting policies. The Securities and Exchange Commission (“SEC”) defines “critical accounting policies” as those that require application of management’s most difficult, subjective, or complex judgments. Critical accounting policies require numerous estimates and strategic or economic assumptions that may prove inaccurate or subject to variations and may significantly affect our reported results and financial position for the period or in future periods. Changes in underlying factors, assumptions, or estimates in any of these areas could have a material impact on our future financial condition and results of operations. Our financial statements are prepared in accordance with U.S. GAAP, and they conform to general practices in our industry. We apply critical accounting policies consistently from period to period and intend that any change in methodology occur in an appropriate manner. Accounting policies currently deemed critical are listed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from the sale or QuickStart lease of equipment is recognized on the terms of free-on-board shipping point. Activation fee revenue, if applicable,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 and license and transaction fee refunds on a monthly basis.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ePort hardware is available to customers under the QuickStart program pursuant to which the customer would enter into a five-year non-cancelable lease with either the Company or a third-party financing company for the devices. The Company utilizes its best estimate of selling price when calculating the revenue to be recorded under these leases. The QuickStart contracts qualify for sales type lease accounting. Accordingly, the Company recognizes a portion of lease payments as interest income. At the end of the lease period, the customer would have the option to purchase the device at its residual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ASC 360, “Impairment or Disposal of Long-Lived Assets”, the Company reviews its definite lived long-lived assets whenever events or changes in circumstances indicate that the carrying amount of such assets may not be recoverable. If the carrying amount of an asset or group of assets exceeds its net realizable value, the asset will be written down to its fair value. In the period when the plan of sale criteria of ASC 360 are met, definite lived long-lived assets are reported as held for sale, depreciation and amortization cease, and the assets are reported at the lower of carrying value or fair value less costs to sell.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Testing for impairment is to be done at least annually and at other times if events or circumstances arise that indicate that impairment may have occurred.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Company intangible assets include non-compete agreements, brand, developed technology, and customer relationships. They are carried at cost less accumulated amortization, which is calculated on a straight-line basis over their estimated economic life. The Company reviews intangibles, subject to amortization, for impairment whenever events or changes in circumstances indicate that the carrying amount may not be recoverable.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maintains an allowance for doubtful accounts for estimated losses resulting from the inability of its customers to make required payments, including from a shortfall in the customer transaction fund flow from which the Company would normally collect amounts due.</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allowance is determined through an analysis of various factors including the aging of the accounts receivable, the strength of the relationship with the customer, the capacity of the customer transaction fund flow to satisfy the amount due from the customer, an assessment of collection costs and other factors. The allowance for doubtful accounts receivable is management’s best estimate as of the respective reporting date. The Company writes off accounts receivable against the allowance when management determines the balance is uncollectible and the Company ceases collection efforts. Management believes that the allowance recorded is adequate to provide for its estimated credit losses.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Allowance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follows the provisions of FASB ASC 740, Accounting for Uncertainty in Income Taxes, which provides detailed guidance for the financial statement recognition, measurement and disclosure of uncertain tax positions recognized in the consolidated financial statements. Tax positions must meet a “more-likely-than-not” recognition threshold at the effective date to be recognized upon the adoption of ASC 740 and in subsequent periods.</w:t>
      </w:r>
    </w:p>
    <w:p>
      <w:pPr>
        <w:spacing w:after="0" w:line="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that, based on available evidence, it is more likely than not such benefits will be realized. The Company recognizes interest and penalties, if any, related to uncertain tax positions in selling, general and administrative expenses. No interest or penalties related to uncertain tax positions were accrued or incurred during the three and nine months ended March 31, 2018 and 2017.</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See Note 2 to the interim Consolidated Financial Statements for a description of recent accounting pronouncements.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TRENDING QUARTERLY FINANCIAL DATA</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show certain financial and non-financial data that management believes give readers insight into certain trends and relationships about the Company’s financial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 Quarter Select Key Performance Indicators including Connections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7"/>
          </w:tcPr>
          <w:p>
            <w:pPr>
              <w:jc w:val="right"/>
              <w:ind w:right="493"/>
              <w:spacing w:after="0"/>
              <w:rPr>
                <w:sz w:val="20"/>
                <w:szCs w:val="20"/>
                <w:color w:val="auto"/>
              </w:rPr>
            </w:pPr>
            <w:r>
              <w:rPr>
                <w:rFonts w:ascii="Arial" w:cs="Arial" w:eastAsia="Arial" w:hAnsi="Arial"/>
                <w:sz w:val="14"/>
                <w:szCs w:val="14"/>
                <w:b w:val="1"/>
                <w:bCs w:val="1"/>
                <w:color w:val="auto"/>
              </w:rPr>
              <w:t>As of and for the three months ended</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19"/>
        </w:trPr>
        <w:tc>
          <w:tcPr>
            <w:tcW w:w="3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ind w:right="153"/>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80" w:type="dxa"/>
            <w:vAlign w:val="bottom"/>
            <w:gridSpan w:val="2"/>
          </w:tcPr>
          <w:p>
            <w:pPr>
              <w:jc w:val="right"/>
              <w:ind w:right="31"/>
              <w:spacing w:after="0" w:line="119"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right"/>
              <w:ind w:right="193"/>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ind w:right="153"/>
              <w:spacing w:after="0" w:line="119" w:lineRule="exact"/>
              <w:rPr>
                <w:sz w:val="20"/>
                <w:szCs w:val="20"/>
                <w:color w:val="auto"/>
              </w:rPr>
            </w:pPr>
            <w:r>
              <w:rPr>
                <w:rFonts w:ascii="Arial" w:cs="Arial" w:eastAsia="Arial" w:hAnsi="Arial"/>
                <w:sz w:val="13"/>
                <w:szCs w:val="13"/>
                <w:b w:val="1"/>
                <w:bCs w:val="1"/>
                <w:color w:val="auto"/>
              </w:rPr>
              <w:t>March 31,</w:t>
            </w:r>
          </w:p>
        </w:tc>
      </w:tr>
      <w:tr>
        <w:trPr>
          <w:trHeight w:val="171"/>
        </w:trPr>
        <w:tc>
          <w:tcPr>
            <w:tcW w:w="30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Connections: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Gross new connections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317,000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 from existing customer base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 xml:space="preserve">Net new connections </w:t>
            </w:r>
            <w:r>
              <w:rPr>
                <w:rFonts w:ascii="Arial" w:cs="Arial" w:eastAsia="Arial" w:hAnsi="Arial"/>
                <w:sz w:val="8"/>
                <w:szCs w:val="8"/>
                <w:color w:val="auto"/>
              </w:rPr>
              <w:t>(a)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311,000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 connections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504,000</w:t>
            </w:r>
          </w:p>
        </w:tc>
      </w:tr>
      <w:tr>
        <w:trPr>
          <w:trHeight w:val="216"/>
        </w:trPr>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Customers: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 xml:space="preserve">New customers added </w:t>
            </w:r>
            <w:r>
              <w:rPr>
                <w:rFonts w:ascii="Arial" w:cs="Arial" w:eastAsia="Arial" w:hAnsi="Arial"/>
                <w:sz w:val="8"/>
                <w:szCs w:val="8"/>
                <w:color w:val="auto"/>
              </w:rPr>
              <w:t>(a)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 customers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w:t>
            </w:r>
          </w:p>
        </w:tc>
      </w:tr>
      <w:tr>
        <w:trPr>
          <w:trHeight w:val="216"/>
        </w:trPr>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Volumes: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w w:val="97"/>
              </w:rPr>
              <w:t>Total number of transactions (millions)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104.9</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 volume (millions)</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r>
      <w:tr>
        <w:trPr>
          <w:trHeight w:val="216"/>
        </w:trPr>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Financing structure of connections: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JumpStart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QuickStart &amp; all others </w:t>
            </w:r>
            <w:r>
              <w:rPr>
                <w:rFonts w:ascii="Arial" w:cs="Arial" w:eastAsia="Arial" w:hAnsi="Arial"/>
                <w:sz w:val="8"/>
                <w:szCs w:val="8"/>
                <w:color w:val="auto"/>
              </w:rPr>
              <w:t>(b)</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17"/>
        </w:trPr>
        <w:tc>
          <w:tcPr>
            <w:tcW w:w="30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bl>
    <w:p>
      <w:pPr>
        <w:spacing w:after="0" w:line="211" w:lineRule="exact"/>
        <w:rPr>
          <w:sz w:val="20"/>
          <w:szCs w:val="20"/>
          <w:color w:val="auto"/>
        </w:rPr>
      </w:pPr>
    </w:p>
    <w:p>
      <w:pPr>
        <w:ind w:left="660" w:right="20" w:hanging="333"/>
        <w:spacing w:after="0" w:line="230"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Activity for the three months ended December 31, 2017 includes net new connections and new customers related to the acquisition of Cantaloupe of approximately 270,000 and 1,400, respectively.</w:t>
      </w:r>
    </w:p>
    <w:p>
      <w:pPr>
        <w:ind w:left="660" w:hanging="333"/>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credit sales with standard trade receivable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-294640</wp:posOffset>
            </wp:positionV>
            <wp:extent cx="57543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Highlights of USAT’s connections for the quarter ended March 31, 2018 include:</w:t>
      </w:r>
    </w:p>
    <w:p>
      <w:pPr>
        <w:spacing w:after="0" w:line="225" w:lineRule="exact"/>
        <w:rPr>
          <w:sz w:val="20"/>
          <w:szCs w:val="20"/>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64,000 additional net new connections during the quarter; and</w:t>
      </w:r>
    </w:p>
    <w:p>
      <w:pPr>
        <w:spacing w:after="0" w:line="23" w:lineRule="exact"/>
        <w:rPr>
          <w:rFonts w:ascii="Arial" w:cs="Arial" w:eastAsia="Arial" w:hAnsi="Arial"/>
          <w:sz w:val="18"/>
          <w:szCs w:val="18"/>
          <w:color w:val="auto"/>
        </w:rPr>
      </w:pPr>
    </w:p>
    <w:p>
      <w:pPr>
        <w:ind w:left="660" w:right="440" w:hanging="333"/>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969,000 total connections to our service compared to the same quarter last year of approximately 504,000 total connections to our service, an increase of 465,000 connections, or 92%.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2018 Compared to Three Months Ended March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Gross Profit</w:t>
      </w:r>
    </w:p>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8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three months ended March 31,</w:t>
            </w:r>
          </w:p>
        </w:tc>
        <w:tc>
          <w:tcPr>
            <w:tcW w:w="960" w:type="dxa"/>
            <w:vAlign w:val="bottom"/>
          </w:tcPr>
          <w:p>
            <w:pPr>
              <w:jc w:val="right"/>
              <w:ind w:right="153"/>
              <w:spacing w:after="0"/>
              <w:rPr>
                <w:sz w:val="20"/>
                <w:szCs w:val="20"/>
                <w:color w:val="auto"/>
              </w:rPr>
            </w:pPr>
            <w:r>
              <w:rPr>
                <w:rFonts w:ascii="Arial" w:cs="Arial" w:eastAsia="Arial" w:hAnsi="Arial"/>
                <w:sz w:val="14"/>
                <w:szCs w:val="14"/>
                <w:b w:val="1"/>
                <w:bCs w:val="1"/>
                <w:color w:val="auto"/>
              </w:rPr>
              <w:t>Percent</w:t>
            </w:r>
          </w:p>
        </w:tc>
      </w:tr>
      <w:tr>
        <w:trPr>
          <w:trHeight w:val="142"/>
        </w:trPr>
        <w:tc>
          <w:tcPr>
            <w:tcW w:w="36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3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55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59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96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Change</w:t>
            </w:r>
          </w:p>
        </w:tc>
      </w:tr>
      <w:tr>
        <w:trPr>
          <w:trHeight w:val="210"/>
        </w:trPr>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16"/>
        </w:trPr>
        <w:tc>
          <w:tcPr>
            <w:tcW w:w="3600" w:type="dxa"/>
            <w:vAlign w:val="bottom"/>
            <w:gridSpan w:val="2"/>
          </w:tcPr>
          <w:p>
            <w:pPr>
              <w:ind w:left="120"/>
              <w:spacing w:after="0"/>
              <w:rPr>
                <w:sz w:val="20"/>
                <w:szCs w:val="20"/>
                <w:color w:val="auto"/>
              </w:rPr>
            </w:pPr>
            <w:r>
              <w:rPr>
                <w:rFonts w:ascii="Arial" w:cs="Arial" w:eastAsia="Arial" w:hAnsi="Arial"/>
                <w:sz w:val="18"/>
                <w:szCs w:val="18"/>
                <w:color w:val="auto"/>
              </w:rPr>
              <w:t>License and transaction fees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27,020</w:t>
            </w:r>
          </w:p>
        </w:tc>
        <w:tc>
          <w:tcPr>
            <w:tcW w:w="5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17,459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16"/>
        </w:trPr>
        <w:tc>
          <w:tcPr>
            <w:tcW w:w="3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Equipment sales</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9,001</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0"/>
        </w:trPr>
        <w:tc>
          <w:tcPr>
            <w:tcW w:w="3600" w:type="dxa"/>
            <w:vAlign w:val="bottom"/>
            <w:gridSpan w:val="2"/>
          </w:tcPr>
          <w:p>
            <w:pPr>
              <w:ind w:left="22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35,832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26,460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16"/>
        </w:trPr>
        <w:tc>
          <w:tcPr>
            <w:tcW w:w="3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Costs of sales: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Cost of services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16"/>
        </w:trPr>
        <w:tc>
          <w:tcPr>
            <w:tcW w:w="36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Cost of equipment</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7,876</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7,959</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3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costs of sales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23,888</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3600" w:type="dxa"/>
            <w:vAlign w:val="bottom"/>
            <w:gridSpan w:val="2"/>
          </w:tcPr>
          <w:p>
            <w:pPr>
              <w:ind w:left="120"/>
              <w:spacing w:after="0"/>
              <w:rPr>
                <w:sz w:val="20"/>
                <w:szCs w:val="20"/>
                <w:color w:val="auto"/>
              </w:rPr>
            </w:pPr>
            <w:r>
              <w:rPr>
                <w:rFonts w:ascii="Arial" w:cs="Arial" w:eastAsia="Arial" w:hAnsi="Arial"/>
                <w:sz w:val="18"/>
                <w:szCs w:val="18"/>
                <w:color w:val="auto"/>
              </w:rPr>
              <w:t>License and transaction fees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11,008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5,583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97.2%</w:t>
            </w:r>
          </w:p>
        </w:tc>
      </w:tr>
      <w:tr>
        <w:trPr>
          <w:trHeight w:val="216"/>
        </w:trPr>
        <w:tc>
          <w:tcPr>
            <w:tcW w:w="3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Equipment sales</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17"/>
        </w:trPr>
        <w:tc>
          <w:tcPr>
            <w:tcW w:w="3600" w:type="dxa"/>
            <w:vAlign w:val="bottom"/>
            <w:gridSpan w:val="2"/>
          </w:tcPr>
          <w:p>
            <w:pPr>
              <w:ind w:left="220"/>
              <w:spacing w:after="0"/>
              <w:rPr>
                <w:sz w:val="20"/>
                <w:szCs w:val="20"/>
                <w:color w:val="auto"/>
              </w:rPr>
            </w:pPr>
            <w:r>
              <w:rPr>
                <w:rFonts w:ascii="Arial" w:cs="Arial" w:eastAsia="Arial" w:hAnsi="Arial"/>
                <w:sz w:val="18"/>
                <w:szCs w:val="18"/>
                <w:color w:val="auto"/>
              </w:rPr>
              <w:t>Total gross profit</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11,944</w:t>
            </w:r>
          </w:p>
        </w:tc>
        <w:tc>
          <w:tcPr>
            <w:tcW w:w="200" w:type="dxa"/>
            <w:vAlign w:val="bottom"/>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6,625</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$9.4 million for the three months ended March 31, 2018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2017. The growth in total revenue resulted from a $9.6 million increase in license and transaction fee revenue for the quarter ended March 31, 2018 compared to the same period in 2017, partially offset by a $0.2 million decrease in equipment revenue for the three months ended March 31, 2018 compared to the same period last year. This decrease was driven by a large equipment sale made to a strategic customer during the same quarter last year. The overall increase is driven by an increase in connections and the Cantaloupe acquisition.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increased by $4.1 million for the three months ended March 31, 2018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last year. The increase was primarily driven by a $4.1 million increase in license and transaction fee costs due to an increase in connections and the Cantaloupe acquisition.</w:t>
      </w:r>
    </w:p>
    <w:p>
      <w:pPr>
        <w:spacing w:after="0" w:line="2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The total gross margin increased 8.3% from 25.0% for the three months ended March 31, 2017 to 33.3%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March 31, 2018. This increase was driven by an increase in the license fee and transaction margin from 32.0% for the three months ended March 31, 2017 to 40.7% for the three months ended March 31, 2018, which was driven by the impact of the Cantaloupe acquisition, partially offset by a decrease in the equipment margin, from 11.6% for the three months ended March 31, 2017 to 10.6% for three months ended March 31, 2018, reflecting our strategy of using equipment sales as an enabler for driving longer-term, higher margin license and transaction fees.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Expenses</w:t>
      </w:r>
    </w:p>
    <w:p>
      <w:pPr>
        <w:spacing w:after="0" w:line="31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 March 31,</w:t>
            </w:r>
          </w:p>
        </w:tc>
        <w:tc>
          <w:tcPr>
            <w:tcW w:w="1040" w:type="dxa"/>
            <w:vAlign w:val="bottom"/>
          </w:tcPr>
          <w:p>
            <w:pPr>
              <w:jc w:val="right"/>
              <w:ind w:right="196"/>
              <w:spacing w:after="0"/>
              <w:rPr>
                <w:sz w:val="20"/>
                <w:szCs w:val="20"/>
                <w:color w:val="auto"/>
              </w:rPr>
            </w:pPr>
            <w:r>
              <w:rPr>
                <w:rFonts w:ascii="Arial" w:cs="Arial" w:eastAsia="Arial" w:hAnsi="Arial"/>
                <w:sz w:val="14"/>
                <w:szCs w:val="14"/>
                <w:b w:val="1"/>
                <w:bCs w:val="1"/>
                <w:color w:val="auto"/>
              </w:rPr>
              <w:t>Percent</w:t>
            </w:r>
          </w:p>
        </w:tc>
      </w:tr>
      <w:tr>
        <w:trPr>
          <w:trHeight w:val="210"/>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Category ($ in thousands)</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8"/>
                <w:szCs w:val="18"/>
                <w:color w:val="auto"/>
              </w:rPr>
            </w:pPr>
          </w:p>
        </w:tc>
        <w:tc>
          <w:tcPr>
            <w:tcW w:w="1040" w:type="dxa"/>
            <w:vAlign w:val="bottom"/>
          </w:tcPr>
          <w:p>
            <w:pPr>
              <w:jc w:val="right"/>
              <w:ind w:right="196"/>
              <w:spacing w:after="0"/>
              <w:rPr>
                <w:sz w:val="20"/>
                <w:szCs w:val="20"/>
                <w:color w:val="auto"/>
              </w:rPr>
            </w:pPr>
            <w:r>
              <w:rPr>
                <w:rFonts w:ascii="Arial" w:cs="Arial" w:eastAsia="Arial" w:hAnsi="Arial"/>
                <w:sz w:val="14"/>
                <w:szCs w:val="14"/>
                <w:b w:val="1"/>
                <w:bCs w:val="1"/>
                <w:color w:val="auto"/>
              </w:rPr>
              <w:t>Change</w:t>
            </w:r>
          </w:p>
        </w:tc>
      </w:tr>
      <w:tr>
        <w:trPr>
          <w:trHeight w:val="210"/>
        </w:trPr>
        <w:tc>
          <w:tcPr>
            <w:tcW w:w="41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9,572</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30"/>
        </w:trPr>
        <w:tc>
          <w:tcPr>
            <w:tcW w:w="4320" w:type="dxa"/>
            <w:vAlign w:val="bottom"/>
            <w:gridSpan w:val="2"/>
          </w:tcPr>
          <w:p>
            <w:pPr>
              <w:ind w:left="120"/>
              <w:spacing w:after="0"/>
              <w:rPr>
                <w:sz w:val="20"/>
                <w:szCs w:val="20"/>
                <w:color w:val="auto"/>
              </w:rPr>
            </w:pPr>
            <w:r>
              <w:rPr>
                <w:rFonts w:ascii="Arial" w:cs="Arial" w:eastAsia="Arial" w:hAnsi="Arial"/>
                <w:sz w:val="18"/>
                <w:szCs w:val="18"/>
                <w:color w:val="auto"/>
              </w:rPr>
              <w:t>Integration and acquisition costs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4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r>
      <w:tr>
        <w:trPr>
          <w:trHeight w:val="217"/>
        </w:trPr>
        <w:tc>
          <w:tcPr>
            <w:tcW w:w="432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12,444</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6,206</w:t>
            </w:r>
          </w:p>
        </w:tc>
        <w:tc>
          <w:tcPr>
            <w:tcW w:w="1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increased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$3.6 million for the three months ended March 31, 2018, as compared to the same period in 2017. This change was primarily driven by the Cantaloupe acquisition as well as an increase in sales and marketing as we continue to increase our market share in the cashless-transaction vending industry.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Integration and acquisition costs</w:t>
      </w:r>
      <w:r>
        <w:rPr>
          <w:rFonts w:ascii="Arial" w:cs="Arial" w:eastAsia="Arial" w:hAnsi="Arial"/>
          <w:sz w:val="18"/>
          <w:szCs w:val="18"/>
          <w:color w:val="auto"/>
        </w:rPr>
        <w:t>. Integration and acquisition costs increased $1.7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2018 as compared to the same period in 2017, due to the costs incurred in connection with the acquisition of Cantaloupe.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increased $0.9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2018 compared to the same period in 2017, due to the amortization of intangible assets recognized in connection with the Cantaloupe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31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17"/>
              <w:spacing w:after="0"/>
              <w:rPr>
                <w:sz w:val="20"/>
                <w:szCs w:val="20"/>
                <w:color w:val="auto"/>
              </w:rPr>
            </w:pPr>
            <w:r>
              <w:rPr>
                <w:rFonts w:ascii="Arial" w:cs="Arial" w:eastAsia="Arial" w:hAnsi="Arial"/>
                <w:sz w:val="14"/>
                <w:szCs w:val="14"/>
                <w:b w:val="1"/>
                <w:bCs w:val="1"/>
                <w:color w:val="auto"/>
              </w:rPr>
              <w:t>Percent</w:t>
            </w:r>
          </w:p>
        </w:tc>
      </w:tr>
      <w:tr>
        <w:trPr>
          <w:trHeight w:val="210"/>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1060" w:type="dxa"/>
            <w:vAlign w:val="bottom"/>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5"/>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17"/>
              <w:spacing w:after="0"/>
              <w:rPr>
                <w:sz w:val="20"/>
                <w:szCs w:val="20"/>
                <w:color w:val="auto"/>
              </w:rPr>
            </w:pPr>
            <w:r>
              <w:rPr>
                <w:rFonts w:ascii="Arial" w:cs="Arial" w:eastAsia="Arial" w:hAnsi="Arial"/>
                <w:sz w:val="14"/>
                <w:szCs w:val="14"/>
                <w:b w:val="1"/>
                <w:bCs w:val="1"/>
                <w:color w:val="auto"/>
              </w:rPr>
              <w:t>Change</w:t>
            </w: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6"/>
        </w:trPr>
        <w:tc>
          <w:tcPr>
            <w:tcW w:w="3740" w:type="dxa"/>
            <w:vAlign w:val="bottom"/>
            <w:gridSpan w:val="2"/>
          </w:tcPr>
          <w:p>
            <w:pPr>
              <w:ind w:left="120"/>
              <w:spacing w:after="0"/>
              <w:rPr>
                <w:sz w:val="20"/>
                <w:szCs w:val="20"/>
                <w:color w:val="auto"/>
              </w:rPr>
            </w:pPr>
            <w:r>
              <w:rPr>
                <w:rFonts w:ascii="Arial" w:cs="Arial" w:eastAsia="Arial" w:hAnsi="Arial"/>
                <w:sz w:val="18"/>
                <w:szCs w:val="18"/>
                <w:color w:val="auto"/>
              </w:rPr>
              <w:t>Interest income</w:t>
            </w: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1220" w:type="dxa"/>
            <w:vAlign w:val="bottom"/>
            <w:gridSpan w:val="2"/>
          </w:tcPr>
          <w:p>
            <w:pPr>
              <w:jc w:val="right"/>
              <w:ind w:right="985"/>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3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(188)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r>
      <w:tr>
        <w:trPr>
          <w:trHeight w:val="217"/>
        </w:trPr>
        <w:tc>
          <w:tcPr>
            <w:tcW w:w="3740" w:type="dxa"/>
            <w:vAlign w:val="bottom"/>
            <w:gridSpan w:val="2"/>
          </w:tcPr>
          <w:p>
            <w:pPr>
              <w:spacing w:after="0"/>
              <w:rPr>
                <w:sz w:val="20"/>
                <w:szCs w:val="20"/>
                <w:color w:val="auto"/>
              </w:rPr>
            </w:pPr>
            <w:r>
              <w:rPr>
                <w:rFonts w:ascii="Arial" w:cs="Arial" w:eastAsia="Arial" w:hAnsi="Arial"/>
                <w:sz w:val="18"/>
                <w:szCs w:val="18"/>
                <w:color w:val="auto"/>
              </w:rPr>
              <w:t>Total other expense, net</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9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545.9%</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 Other expense, net increased $0.4 million for the three months ended March 31, 2018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2017. The increase was primarily driven by the interest incurred in connection with the Term Loan and Revolving Credit Facility utilized to fund a portion of the acquisition of Cantaloupe.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1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 March 31,</w:t>
            </w:r>
          </w:p>
        </w:tc>
        <w:tc>
          <w:tcPr>
            <w:tcW w:w="1000" w:type="dxa"/>
            <w:vAlign w:val="bottom"/>
          </w:tcPr>
          <w:p>
            <w:pPr>
              <w:ind w:left="280"/>
              <w:spacing w:after="0"/>
              <w:rPr>
                <w:sz w:val="20"/>
                <w:szCs w:val="20"/>
                <w:color w:val="auto"/>
              </w:rPr>
            </w:pPr>
            <w:r>
              <w:rPr>
                <w:rFonts w:ascii="Arial" w:cs="Arial" w:eastAsia="Arial" w:hAnsi="Arial"/>
                <w:sz w:val="14"/>
                <w:szCs w:val="14"/>
                <w:b w:val="1"/>
                <w:bCs w:val="1"/>
                <w:color w:val="auto"/>
              </w:rPr>
              <w:t>Percent</w:t>
            </w:r>
          </w:p>
        </w:tc>
      </w:tr>
      <w:tr>
        <w:trPr>
          <w:trHeight w:val="210"/>
        </w:trPr>
        <w:tc>
          <w:tcPr>
            <w:tcW w:w="3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Change</w:t>
            </w: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three months ended March 31, 2018, the Company recorded income a tax benefit of $2.1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deferred income taxes). The benefit is based upon income (loss) before income taxes using an estimated annual effective income tax rate for the year ending June 30, 2018 of 2%, which was impacted by the effect of permanent differences.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the three months ended March 31, 2017, income tax expense of $209 thousand (substantially all deferred income taxes) were recorded. The expense were based upon income before income taxes using an estimated annual effective income tax rate of 31% for the fiscal year ending June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Adjusted EBITDA</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tcBorders>
              <w:bottom w:val="single" w:sz="8" w:color="auto"/>
            </w:tcBorders>
            <w:gridSpan w:val="5"/>
          </w:tcPr>
          <w:p>
            <w:pPr>
              <w:jc w:val="right"/>
              <w:ind w:right="31"/>
              <w:spacing w:after="0"/>
              <w:rPr>
                <w:sz w:val="20"/>
                <w:szCs w:val="20"/>
                <w:color w:val="auto"/>
              </w:rPr>
            </w:pPr>
            <w:r>
              <w:rPr>
                <w:rFonts w:ascii="Arial" w:cs="Arial" w:eastAsia="Arial" w:hAnsi="Arial"/>
                <w:sz w:val="14"/>
                <w:szCs w:val="14"/>
                <w:b w:val="1"/>
                <w:bCs w:val="1"/>
                <w:color w:val="auto"/>
                <w:w w:val="95"/>
              </w:rPr>
              <w:t>For the three months ended March 31,</w:t>
            </w:r>
          </w:p>
        </w:tc>
      </w:tr>
      <w:tr>
        <w:trPr>
          <w:trHeight w:val="169"/>
        </w:trPr>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r>
      <w:tr>
        <w:trPr>
          <w:trHeight w:val="169"/>
        </w:trPr>
        <w:tc>
          <w:tcPr>
            <w:tcW w:w="53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6"/>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1,160</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5"/>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136</w:t>
            </w:r>
          </w:p>
        </w:tc>
      </w:tr>
      <w:tr>
        <w:trPr>
          <w:trHeight w:val="176"/>
        </w:trPr>
        <w:tc>
          <w:tcPr>
            <w:tcW w:w="5360" w:type="dxa"/>
            <w:vAlign w:val="bottom"/>
          </w:tcPr>
          <w:p>
            <w:pPr>
              <w:ind w:left="120"/>
              <w:spacing w:after="0" w:line="176" w:lineRule="exact"/>
              <w:rPr>
                <w:sz w:val="20"/>
                <w:szCs w:val="20"/>
                <w:color w:val="auto"/>
              </w:rPr>
            </w:pPr>
            <w:r>
              <w:rPr>
                <w:rFonts w:ascii="Arial" w:cs="Arial" w:eastAsia="Arial" w:hAnsi="Arial"/>
                <w:sz w:val="18"/>
                <w:szCs w:val="18"/>
                <w:color w:val="auto"/>
              </w:rPr>
              <w:t>Less interest income</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220"/>
              <w:spacing w:after="0" w:line="176" w:lineRule="exact"/>
              <w:rPr>
                <w:sz w:val="20"/>
                <w:szCs w:val="20"/>
                <w:color w:val="auto"/>
              </w:rPr>
            </w:pPr>
            <w:r>
              <w:rPr>
                <w:rFonts w:ascii="Arial" w:cs="Arial" w:eastAsia="Arial" w:hAnsi="Arial"/>
                <w:sz w:val="16"/>
                <w:szCs w:val="16"/>
                <w:color w:val="auto"/>
              </w:rPr>
              <w:t>(134)</w:t>
            </w:r>
          </w:p>
        </w:tc>
        <w:tc>
          <w:tcPr>
            <w:tcW w:w="26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(114)</w:t>
            </w:r>
          </w:p>
        </w:tc>
      </w:tr>
      <w:tr>
        <w:trPr>
          <w:trHeight w:val="176"/>
        </w:trPr>
        <w:tc>
          <w:tcPr>
            <w:tcW w:w="53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Plus interest expense</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612</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188</w:t>
            </w:r>
          </w:p>
        </w:tc>
      </w:tr>
      <w:tr>
        <w:trPr>
          <w:trHeight w:val="176"/>
        </w:trPr>
        <w:tc>
          <w:tcPr>
            <w:tcW w:w="5360" w:type="dxa"/>
            <w:vAlign w:val="bottom"/>
          </w:tcPr>
          <w:p>
            <w:pPr>
              <w:ind w:left="120"/>
              <w:spacing w:after="0" w:line="176" w:lineRule="exact"/>
              <w:rPr>
                <w:sz w:val="20"/>
                <w:szCs w:val="20"/>
                <w:color w:val="auto"/>
              </w:rPr>
            </w:pPr>
            <w:r>
              <w:rPr>
                <w:rFonts w:ascii="Arial" w:cs="Arial" w:eastAsia="Arial" w:hAnsi="Arial"/>
                <w:sz w:val="18"/>
                <w:szCs w:val="18"/>
                <w:color w:val="auto"/>
              </w:rPr>
              <w:t>Plus income tax (benefit) provision</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(2,138)</w:t>
            </w:r>
          </w:p>
        </w:tc>
        <w:tc>
          <w:tcPr>
            <w:tcW w:w="26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209</w:t>
            </w:r>
          </w:p>
        </w:tc>
      </w:tr>
      <w:tr>
        <w:trPr>
          <w:trHeight w:val="176"/>
        </w:trPr>
        <w:tc>
          <w:tcPr>
            <w:tcW w:w="53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Plus depreciation expense</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1,581</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1,165</w:t>
            </w:r>
          </w:p>
        </w:tc>
      </w:tr>
      <w:tr>
        <w:trPr>
          <w:trHeight w:val="176"/>
        </w:trPr>
        <w:tc>
          <w:tcPr>
            <w:tcW w:w="5360" w:type="dxa"/>
            <w:vAlign w:val="bottom"/>
            <w:tcBorders>
              <w:bottom w:val="single" w:sz="8" w:color="CCEEFF"/>
            </w:tcBorders>
          </w:tcPr>
          <w:p>
            <w:pPr>
              <w:ind w:left="120"/>
              <w:spacing w:after="0" w:line="176" w:lineRule="exact"/>
              <w:rPr>
                <w:sz w:val="20"/>
                <w:szCs w:val="20"/>
                <w:color w:val="auto"/>
              </w:rPr>
            </w:pPr>
            <w:r>
              <w:rPr>
                <w:rFonts w:ascii="Arial" w:cs="Arial" w:eastAsia="Arial" w:hAnsi="Arial"/>
                <w:sz w:val="18"/>
                <w:szCs w:val="18"/>
                <w:color w:val="auto"/>
              </w:rPr>
              <w:t>Plus amortization expense</w:t>
            </w: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801</w:t>
            </w: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45</w:t>
            </w:r>
          </w:p>
        </w:tc>
      </w:tr>
      <w:tr>
        <w:trPr>
          <w:trHeight w:val="169"/>
        </w:trPr>
        <w:tc>
          <w:tcPr>
            <w:tcW w:w="53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EBITDA</w:t>
            </w:r>
          </w:p>
        </w:tc>
        <w:tc>
          <w:tcPr>
            <w:tcW w:w="2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1,882</w:t>
            </w:r>
          </w:p>
        </w:tc>
        <w:tc>
          <w:tcPr>
            <w:tcW w:w="2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1,629</w:t>
            </w:r>
          </w:p>
        </w:tc>
      </w:tr>
      <w:tr>
        <w:trPr>
          <w:trHeight w:val="169"/>
        </w:trPr>
        <w:tc>
          <w:tcPr>
            <w:tcW w:w="5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6"/>
        </w:trPr>
        <w:tc>
          <w:tcPr>
            <w:tcW w:w="53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Plus stock-based compensation</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649</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233</w:t>
            </w:r>
          </w:p>
        </w:tc>
      </w:tr>
      <w:tr>
        <w:trPr>
          <w:trHeight w:val="176"/>
        </w:trPr>
        <w:tc>
          <w:tcPr>
            <w:tcW w:w="5360" w:type="dxa"/>
            <w:vAlign w:val="bottom"/>
            <w:tcBorders>
              <w:bottom w:val="single" w:sz="8" w:color="CCEEFF"/>
            </w:tcBorders>
          </w:tcPr>
          <w:p>
            <w:pPr>
              <w:ind w:left="120"/>
              <w:spacing w:after="0" w:line="176" w:lineRule="exact"/>
              <w:rPr>
                <w:sz w:val="20"/>
                <w:szCs w:val="20"/>
                <w:color w:val="auto"/>
              </w:rPr>
            </w:pPr>
            <w:r>
              <w:rPr>
                <w:rFonts w:ascii="Arial" w:cs="Arial" w:eastAsia="Arial" w:hAnsi="Arial"/>
                <w:sz w:val="18"/>
                <w:szCs w:val="18"/>
                <w:color w:val="auto"/>
              </w:rPr>
              <w:t>Plus integration and acquisition costs</w:t>
            </w: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1,747</w:t>
            </w: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r>
      <w:tr>
        <w:trPr>
          <w:trHeight w:val="169"/>
        </w:trPr>
        <w:tc>
          <w:tcPr>
            <w:tcW w:w="53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Adjustments to EBITDA</w:t>
            </w:r>
          </w:p>
        </w:tc>
        <w:tc>
          <w:tcPr>
            <w:tcW w:w="2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2,396</w:t>
            </w:r>
          </w:p>
        </w:tc>
        <w:tc>
          <w:tcPr>
            <w:tcW w:w="2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233</w:t>
            </w:r>
          </w:p>
        </w:tc>
      </w:tr>
      <w:tr>
        <w:trPr>
          <w:trHeight w:val="176"/>
        </w:trPr>
        <w:tc>
          <w:tcPr>
            <w:tcW w:w="5360" w:type="dxa"/>
            <w:vAlign w:val="bottom"/>
          </w:tcPr>
          <w:p>
            <w:pPr>
              <w:spacing w:after="0" w:line="170" w:lineRule="exact"/>
              <w:rPr>
                <w:sz w:val="20"/>
                <w:szCs w:val="20"/>
                <w:color w:val="auto"/>
              </w:rPr>
            </w:pPr>
            <w:r>
              <w:rPr>
                <w:rFonts w:ascii="Arial" w:cs="Arial" w:eastAsia="Arial" w:hAnsi="Arial"/>
                <w:sz w:val="18"/>
                <w:szCs w:val="18"/>
                <w:color w:val="auto"/>
              </w:rPr>
              <w:t>Adjusted EBITDA</w:t>
            </w:r>
          </w:p>
        </w:tc>
        <w:tc>
          <w:tcPr>
            <w:tcW w:w="220" w:type="dxa"/>
            <w:vAlign w:val="bottom"/>
          </w:tcPr>
          <w:p>
            <w:pPr>
              <w:spacing w:after="0"/>
              <w:rPr>
                <w:sz w:val="15"/>
                <w:szCs w:val="15"/>
                <w:color w:val="auto"/>
              </w:rPr>
            </w:pPr>
          </w:p>
        </w:tc>
        <w:tc>
          <w:tcPr>
            <w:tcW w:w="260" w:type="dxa"/>
            <w:vAlign w:val="bottom"/>
            <w:tcBorders>
              <w:bottom w:val="single" w:sz="8" w:color="auto"/>
            </w:tcBorders>
          </w:tcPr>
          <w:p>
            <w:pPr>
              <w:jc w:val="right"/>
              <w:ind w:right="106"/>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4,278</w:t>
            </w:r>
          </w:p>
        </w:tc>
        <w:tc>
          <w:tcPr>
            <w:tcW w:w="220" w:type="dxa"/>
            <w:vAlign w:val="bottom"/>
          </w:tcPr>
          <w:p>
            <w:pPr>
              <w:spacing w:after="0"/>
              <w:rPr>
                <w:sz w:val="15"/>
                <w:szCs w:val="15"/>
                <w:color w:val="auto"/>
              </w:rPr>
            </w:pPr>
          </w:p>
        </w:tc>
        <w:tc>
          <w:tcPr>
            <w:tcW w:w="260" w:type="dxa"/>
            <w:vAlign w:val="bottom"/>
            <w:tcBorders>
              <w:bottom w:val="single" w:sz="8" w:color="auto"/>
            </w:tcBorders>
          </w:tcPr>
          <w:p>
            <w:pPr>
              <w:jc w:val="right"/>
              <w:ind w:right="105"/>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1,862</w:t>
            </w: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As used herein, Adjusted EBITDA represents net income before interest income, interest expense, income tax (benefit) provision, depreciation, amortization, stock-based compensation expense, and non-recurring integration and acquisition costs that were incurred in connection with the acquisition of Cantaloupe in the current fiscal year and the acquisition of VendScreen, Inc. (“VendScreen”) the previous fiscal year. We have excluded the non-cash expense, stock-based compensation, as it does not reflect the cash-based operations of the Company. We have excluded the integration and acquisition costs incurred in connection with the Cantaloupe acquisition during the current fiscal year and the VendScreen transaction from the previous fiscal year in order to allow for a more accurate comparison of the financial results to historical operations, as they pertain to period operational expenses that are not a core function of our business. Adjusted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Additionally, the Company utilizes Adjusted EBITDA as a metric in its executive officer and management incentive compensation plans.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Operating (Loss) Income to Adjusted Operating Income</w:t>
      </w:r>
    </w:p>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5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6"/>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Plus integration and acquisition costs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Plus amortization expense</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7"/>
        </w:trPr>
        <w:tc>
          <w:tcPr>
            <w:tcW w:w="4540" w:type="dxa"/>
            <w:vAlign w:val="bottom"/>
          </w:tcPr>
          <w:p>
            <w:pPr>
              <w:spacing w:after="0"/>
              <w:rPr>
                <w:sz w:val="20"/>
                <w:szCs w:val="20"/>
                <w:color w:val="auto"/>
              </w:rPr>
            </w:pPr>
            <w:r>
              <w:rPr>
                <w:rFonts w:ascii="Arial" w:cs="Arial" w:eastAsia="Arial" w:hAnsi="Arial"/>
                <w:sz w:val="18"/>
                <w:szCs w:val="18"/>
                <w:color w:val="auto"/>
              </w:rPr>
              <w:t>Adjusted operating income</w:t>
            </w:r>
          </w:p>
        </w:tc>
        <w:tc>
          <w:tcPr>
            <w:tcW w:w="1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w:t>
            </w:r>
          </w:p>
        </w:tc>
        <w:tc>
          <w:tcPr>
            <w:tcW w:w="1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As used herein, adjusted operating income represents operating (loss) income before the non-recurring integration and acquisition costs incurred in connection with the acquisition of Cantaloupe and the VendScreen transaction and amortization expenses related to our acquisition-related intangibles. We have excluded these non-recurring costs and amortization expenses in order to allow for a more accurate comparison of the financial results to historical operations and we believe such a comparison is useful to investors as a measure of comparative operating performance.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Non-GAAP Net Income</w:t>
      </w:r>
    </w:p>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78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portion of income tax (benefit) provision</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(2,138)</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color w:val="auto"/>
              </w:rPr>
              <w:t>Amortization expense</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Integration and acquisition costs</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As used herein, non-GAAP net income represents GAAP net income excluding costs or benefits relating to any non-cash portions of the Company’s income tax (benefit) provision, amortization expenses related to our acquisition-related intangibles, non-recurring integration and acquisition costs that were incurred in connection with the acquisition of Cantaloupe, during the current fiscal year and VendScreen during the prior fiscal year, and non-cash expenses for equity awards under our equity incentive plans. Management believes that non-GAAP net income is an important measure of USAT’s business. Non-GAAP net income is a non-GAAP financial measure which is not required by or defined under GAAP. The presentation of this financial measure is not intended to be considered in isolation or as a substitute for the financial measures prepared and presented in accordance with GAAP, including the net income or net loss of the Company or net cash provided by or (used in) operating activities. Management recognizes that non-GAAP financial measures have limitations in that they do not reflect all of the items associated with the Company’s net (loss) income as determined in accordance with GAAP, and are not a substitute for or a measure of the Company’s profitability or net earnings. Management uses the aforementioned non-GAAP measure to monitor and evaluate ongoing operating results and trends and to gain an understanding of our comparative operating performance. We believe that this non-GAAP financial measure serves as a useful metric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 Additionally, the Company utilizes non-GAAP net income as a metric in its executive officer and management incentive compensation plans.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March 31, 2018 Compared to Nine Months Ended March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Gross Profit</w:t>
      </w:r>
    </w:p>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nine months ended March 31,</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53"/>
              <w:spacing w:after="0"/>
              <w:rPr>
                <w:sz w:val="20"/>
                <w:szCs w:val="20"/>
                <w:color w:val="auto"/>
              </w:rPr>
            </w:pPr>
            <w:r>
              <w:rPr>
                <w:rFonts w:ascii="Arial" w:cs="Arial" w:eastAsia="Arial" w:hAnsi="Arial"/>
                <w:sz w:val="14"/>
                <w:szCs w:val="14"/>
                <w:b w:val="1"/>
                <w:bCs w:val="1"/>
                <w:color w:val="auto"/>
              </w:rPr>
              <w:t>Percent</w:t>
            </w:r>
          </w:p>
        </w:tc>
      </w:tr>
      <w:tr>
        <w:trPr>
          <w:trHeight w:val="142"/>
        </w:trPr>
        <w:tc>
          <w:tcPr>
            <w:tcW w:w="36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9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2"/>
                <w:szCs w:val="12"/>
                <w:color w:val="auto"/>
              </w:rPr>
            </w:pPr>
          </w:p>
        </w:tc>
        <w:tc>
          <w:tcPr>
            <w:tcW w:w="1280" w:type="dxa"/>
            <w:vAlign w:val="bottom"/>
            <w:gridSpan w:val="2"/>
          </w:tcPr>
          <w:p>
            <w:pPr>
              <w:jc w:val="right"/>
              <w:ind w:right="45"/>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Change</w:t>
            </w:r>
          </w:p>
        </w:tc>
      </w:tr>
      <w:tr>
        <w:trPr>
          <w:trHeight w:val="210"/>
        </w:trPr>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16"/>
        </w:trPr>
        <w:tc>
          <w:tcPr>
            <w:tcW w:w="3600" w:type="dxa"/>
            <w:vAlign w:val="bottom"/>
            <w:gridSpan w:val="2"/>
          </w:tcPr>
          <w:p>
            <w:pPr>
              <w:ind w:left="120"/>
              <w:spacing w:after="0"/>
              <w:rPr>
                <w:sz w:val="20"/>
                <w:szCs w:val="20"/>
                <w:color w:val="auto"/>
              </w:rPr>
            </w:pPr>
            <w:r>
              <w:rPr>
                <w:rFonts w:ascii="Arial" w:cs="Arial" w:eastAsia="Arial" w:hAnsi="Arial"/>
                <w:sz w:val="18"/>
                <w:szCs w:val="18"/>
                <w:color w:val="auto"/>
              </w:rPr>
              <w:t>License and transaction fees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69,817</w:t>
            </w:r>
          </w:p>
        </w:tc>
        <w:tc>
          <w:tcPr>
            <w:tcW w:w="1280" w:type="dxa"/>
            <w:vAlign w:val="bottom"/>
            <w:gridSpan w:val="2"/>
          </w:tcPr>
          <w:p>
            <w:pPr>
              <w:jc w:val="right"/>
              <w:ind w:right="92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50,463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16"/>
        </w:trPr>
        <w:tc>
          <w:tcPr>
            <w:tcW w:w="3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Equipment sales</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24,138</w:t>
            </w:r>
          </w:p>
        </w:tc>
        <w:tc>
          <w:tcPr>
            <w:tcW w:w="2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19,341</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10"/>
        </w:trPr>
        <w:tc>
          <w:tcPr>
            <w:tcW w:w="3600" w:type="dxa"/>
            <w:vAlign w:val="bottom"/>
            <w:gridSpan w:val="2"/>
          </w:tcPr>
          <w:p>
            <w:pPr>
              <w:ind w:left="220"/>
              <w:spacing w:after="0"/>
              <w:rPr>
                <w:sz w:val="20"/>
                <w:szCs w:val="20"/>
                <w:color w:val="auto"/>
              </w:rPr>
            </w:pPr>
            <w:r>
              <w:rPr>
                <w:rFonts w:ascii="Arial" w:cs="Arial" w:eastAsia="Arial" w:hAnsi="Arial"/>
                <w:sz w:val="18"/>
                <w:szCs w:val="18"/>
                <w:color w:val="auto"/>
              </w:rPr>
              <w:t>Total revenues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93,955</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69,804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16"/>
        </w:trPr>
        <w:tc>
          <w:tcPr>
            <w:tcW w:w="3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Costs of sales: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Cost of services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43,700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34,508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16"/>
        </w:trPr>
        <w:tc>
          <w:tcPr>
            <w:tcW w:w="36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Cost of equipment</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21,909</w:t>
            </w: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16,170</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r>
      <w:tr>
        <w:trPr>
          <w:trHeight w:val="210"/>
        </w:trPr>
        <w:tc>
          <w:tcPr>
            <w:tcW w:w="3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costs of sales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65,609</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50,678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16"/>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3600" w:type="dxa"/>
            <w:vAlign w:val="bottom"/>
            <w:gridSpan w:val="2"/>
          </w:tcPr>
          <w:p>
            <w:pPr>
              <w:ind w:left="120"/>
              <w:spacing w:after="0"/>
              <w:rPr>
                <w:sz w:val="20"/>
                <w:szCs w:val="20"/>
                <w:color w:val="auto"/>
              </w:rPr>
            </w:pPr>
            <w:r>
              <w:rPr>
                <w:rFonts w:ascii="Arial" w:cs="Arial" w:eastAsia="Arial" w:hAnsi="Arial"/>
                <w:sz w:val="18"/>
                <w:szCs w:val="18"/>
                <w:color w:val="auto"/>
              </w:rPr>
              <w:t>License and transaction fees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26,117</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15,955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16"/>
        </w:trPr>
        <w:tc>
          <w:tcPr>
            <w:tcW w:w="3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Equipment sales</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2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17"/>
        </w:trPr>
        <w:tc>
          <w:tcPr>
            <w:tcW w:w="3600" w:type="dxa"/>
            <w:vAlign w:val="bottom"/>
            <w:gridSpan w:val="2"/>
          </w:tcPr>
          <w:p>
            <w:pPr>
              <w:ind w:left="220"/>
              <w:spacing w:after="0"/>
              <w:rPr>
                <w:sz w:val="20"/>
                <w:szCs w:val="20"/>
                <w:color w:val="auto"/>
              </w:rPr>
            </w:pPr>
            <w:r>
              <w:rPr>
                <w:rFonts w:ascii="Arial" w:cs="Arial" w:eastAsia="Arial" w:hAnsi="Arial"/>
                <w:sz w:val="18"/>
                <w:szCs w:val="18"/>
                <w:color w:val="auto"/>
              </w:rPr>
              <w:t>Total gross profit</w:t>
            </w: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28,346</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ind w:right="92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19,126</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$24.2 million for the nine months ended March 31, 2018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2017. The growth in total revenue resulted from a $19.4 million increase in license and transaction fee revenue for the nine months ended March 31, 2018 compared to the same period in 2017, and a $4.8 million increase in equipment revenue for the nine months ended March 31, 2018 compared to the same period last year; both driven by an increase in connections and the Cantaloupe acquisition.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increased $14.9 million for nine months ended March 31, 2018 compared to the same period last</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 increase was driven by a $9.2 million increase in cost of services and a $5.7 million increase in cost of equipment sales, both arising from an increase in connections and the Cantaloupe acquisition.</w:t>
      </w:r>
    </w:p>
    <w:p>
      <w:pPr>
        <w:spacing w:after="0" w:line="2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Total gross margin increased 2.8%, from 27.4% for the nine months ended March 31, 2017 to 30.2%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March 31, 2018. The increase was driven by an increase in the license fee and transaction margin from 31.6% for the nine months ended March 31, 2017 to 37.4% for the nine months ended March 31, 2018 which was primarily driven by the impact of the Cantaloupe acquisition. The increase was partially offset by a decrease in the equipment margin, from 16.4% for the nine months ended March 31, 2017 to 9.2% for the nine months ended March 31, 2018 reflecting our strategy of using equipment sales as an enabler for driving longer-term, higher margin license and transaction fees.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Expenses</w:t>
      </w:r>
    </w:p>
    <w:p>
      <w:pPr>
        <w:spacing w:after="0" w:line="31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nine months ended March 31,</w:t>
            </w:r>
          </w:p>
        </w:tc>
        <w:tc>
          <w:tcPr>
            <w:tcW w:w="1040" w:type="dxa"/>
            <w:vAlign w:val="bottom"/>
          </w:tcPr>
          <w:p>
            <w:pPr>
              <w:jc w:val="right"/>
              <w:ind w:right="196"/>
              <w:spacing w:after="0"/>
              <w:rPr>
                <w:sz w:val="20"/>
                <w:szCs w:val="20"/>
                <w:color w:val="auto"/>
              </w:rPr>
            </w:pPr>
            <w:r>
              <w:rPr>
                <w:rFonts w:ascii="Arial" w:cs="Arial" w:eastAsia="Arial" w:hAnsi="Arial"/>
                <w:sz w:val="14"/>
                <w:szCs w:val="14"/>
                <w:b w:val="1"/>
                <w:bCs w:val="1"/>
                <w:color w:val="auto"/>
              </w:rPr>
              <w:t>Percent</w:t>
            </w:r>
          </w:p>
        </w:tc>
      </w:tr>
      <w:tr>
        <w:trPr>
          <w:trHeight w:val="210"/>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Category ($ in thousands)</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8"/>
                <w:szCs w:val="18"/>
                <w:color w:val="auto"/>
              </w:rPr>
            </w:pPr>
          </w:p>
        </w:tc>
        <w:tc>
          <w:tcPr>
            <w:tcW w:w="1040" w:type="dxa"/>
            <w:vAlign w:val="bottom"/>
          </w:tcPr>
          <w:p>
            <w:pPr>
              <w:jc w:val="right"/>
              <w:ind w:right="196"/>
              <w:spacing w:after="0"/>
              <w:rPr>
                <w:sz w:val="20"/>
                <w:szCs w:val="20"/>
                <w:color w:val="auto"/>
              </w:rPr>
            </w:pPr>
            <w:r>
              <w:rPr>
                <w:rFonts w:ascii="Arial" w:cs="Arial" w:eastAsia="Arial" w:hAnsi="Arial"/>
                <w:sz w:val="14"/>
                <w:szCs w:val="14"/>
                <w:b w:val="1"/>
                <w:bCs w:val="1"/>
                <w:color w:val="auto"/>
              </w:rPr>
              <w:t>Change</w:t>
            </w:r>
          </w:p>
        </w:tc>
      </w:tr>
      <w:tr>
        <w:trPr>
          <w:trHeight w:val="210"/>
        </w:trPr>
        <w:tc>
          <w:tcPr>
            <w:tcW w:w="41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24,647</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18,540</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30"/>
        </w:trPr>
        <w:tc>
          <w:tcPr>
            <w:tcW w:w="4320" w:type="dxa"/>
            <w:vAlign w:val="bottom"/>
            <w:gridSpan w:val="2"/>
          </w:tcPr>
          <w:p>
            <w:pPr>
              <w:ind w:left="120"/>
              <w:spacing w:after="0"/>
              <w:rPr>
                <w:sz w:val="20"/>
                <w:szCs w:val="20"/>
                <w:color w:val="auto"/>
              </w:rPr>
            </w:pPr>
            <w:r>
              <w:rPr>
                <w:rFonts w:ascii="Arial" w:cs="Arial" w:eastAsia="Arial" w:hAnsi="Arial"/>
                <w:sz w:val="18"/>
                <w:szCs w:val="18"/>
                <w:color w:val="auto"/>
              </w:rPr>
              <w:t>Integration and acquisition costs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5,844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5,261.5%</w:t>
            </w:r>
          </w:p>
        </w:tc>
      </w:tr>
      <w:tr>
        <w:trPr>
          <w:trHeight w:val="230"/>
        </w:trPr>
        <w:tc>
          <w:tcPr>
            <w:tcW w:w="4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4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r>
      <w:tr>
        <w:trPr>
          <w:trHeight w:val="217"/>
        </w:trPr>
        <w:tc>
          <w:tcPr>
            <w:tcW w:w="432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32,598</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19,423</w:t>
            </w:r>
          </w:p>
        </w:tc>
        <w:tc>
          <w:tcPr>
            <w:tcW w:w="1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increased approximately $6.1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March 31, 2018, as compared to the same period in 2017. This change was primarily driven by the Cantaloupe acquisition as well as an increase in sales and marketing as we continue to increase our market share in the cashless-transaction vending industry.</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Integration and acquisition costs</w:t>
      </w:r>
      <w:r>
        <w:rPr>
          <w:rFonts w:ascii="Arial" w:cs="Arial" w:eastAsia="Arial" w:hAnsi="Arial"/>
          <w:sz w:val="17"/>
          <w:szCs w:val="17"/>
          <w:color w:val="auto"/>
        </w:rPr>
        <w:t>. Integration and acquisition costs increased $5.7 million for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2018 as compared to the same period in 2017, due to the $5.8 million incurred in connection with the acquisition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Cantaloupe, partially offset by $0.1 million of acquisition costs incurred in the same period of fiscal year 2017 pertaining to the acquisition of VendScreen.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increased approximately $1.3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2018 primarily due to the amortization of intangible assets recognized in connection with the Cantaloupe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31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nine months ended March 31,</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16"/>
              <w:spacing w:after="0"/>
              <w:rPr>
                <w:sz w:val="20"/>
                <w:szCs w:val="20"/>
                <w:color w:val="auto"/>
              </w:rPr>
            </w:pPr>
            <w:r>
              <w:rPr>
                <w:rFonts w:ascii="Arial" w:cs="Arial" w:eastAsia="Arial" w:hAnsi="Arial"/>
                <w:sz w:val="14"/>
                <w:szCs w:val="14"/>
                <w:b w:val="1"/>
                <w:bCs w:val="1"/>
                <w:color w:val="auto"/>
              </w:rPr>
              <w:t>Percent</w:t>
            </w:r>
          </w:p>
        </w:tc>
      </w:tr>
      <w:tr>
        <w:trPr>
          <w:trHeight w:val="210"/>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5"/>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16"/>
              <w:spacing w:after="0"/>
              <w:rPr>
                <w:sz w:val="20"/>
                <w:szCs w:val="20"/>
                <w:color w:val="auto"/>
              </w:rPr>
            </w:pPr>
            <w:r>
              <w:rPr>
                <w:rFonts w:ascii="Arial" w:cs="Arial" w:eastAsia="Arial" w:hAnsi="Arial"/>
                <w:sz w:val="14"/>
                <w:szCs w:val="14"/>
                <w:b w:val="1"/>
                <w:bCs w:val="1"/>
                <w:color w:val="auto"/>
              </w:rPr>
              <w:t>Change</w:t>
            </w: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6"/>
        </w:trPr>
        <w:tc>
          <w:tcPr>
            <w:tcW w:w="3740" w:type="dxa"/>
            <w:vAlign w:val="bottom"/>
            <w:gridSpan w:val="2"/>
          </w:tcPr>
          <w:p>
            <w:pPr>
              <w:ind w:left="120"/>
              <w:spacing w:after="0"/>
              <w:rPr>
                <w:sz w:val="20"/>
                <w:szCs w:val="20"/>
                <w:color w:val="auto"/>
              </w:rPr>
            </w:pPr>
            <w:r>
              <w:rPr>
                <w:rFonts w:ascii="Arial" w:cs="Arial" w:eastAsia="Arial" w:hAnsi="Arial"/>
                <w:sz w:val="18"/>
                <w:szCs w:val="18"/>
                <w:color w:val="auto"/>
              </w:rPr>
              <w:t>Interest income</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8"/>
                <w:szCs w:val="18"/>
                <w:color w:val="auto"/>
              </w:rPr>
            </w:pPr>
          </w:p>
        </w:tc>
        <w:tc>
          <w:tcPr>
            <w:tcW w:w="1140" w:type="dxa"/>
            <w:vAlign w:val="bottom"/>
            <w:gridSpan w:val="2"/>
          </w:tcPr>
          <w:p>
            <w:pPr>
              <w:jc w:val="right"/>
              <w:ind w:right="90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387</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3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(1,315)</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r>
      <w:tr>
        <w:trPr>
          <w:trHeight w:val="216"/>
        </w:trPr>
        <w:tc>
          <w:tcPr>
            <w:tcW w:w="3740" w:type="dxa"/>
            <w:vAlign w:val="bottom"/>
            <w:gridSpan w:val="2"/>
          </w:tcPr>
          <w:p>
            <w:pPr>
              <w:ind w:left="120"/>
              <w:spacing w:after="0"/>
              <w:rPr>
                <w:sz w:val="20"/>
                <w:szCs w:val="20"/>
                <w:color w:val="auto"/>
              </w:rPr>
            </w:pPr>
            <w:r>
              <w:rPr>
                <w:rFonts w:ascii="Arial" w:cs="Arial" w:eastAsia="Arial" w:hAnsi="Arial"/>
                <w:sz w:val="18"/>
                <w:szCs w:val="18"/>
                <w:color w:val="auto"/>
              </w:rPr>
              <w:t>Change in fair value of warrant liabilities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(1,490)</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7"/>
        </w:trPr>
        <w:tc>
          <w:tcPr>
            <w:tcW w:w="3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(1,704)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 Other expense, net decreased $0.9 million for the nine months ended March 31, 2018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2017. The decrease was primarily driven by the change in fair value associated with the exercised warrants recognized during September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1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nine months ended March 31,</w:t>
            </w:r>
          </w:p>
        </w:tc>
        <w:tc>
          <w:tcPr>
            <w:tcW w:w="3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Arial" w:cs="Arial" w:eastAsia="Arial" w:hAnsi="Arial"/>
                <w:sz w:val="14"/>
                <w:szCs w:val="14"/>
                <w:b w:val="1"/>
                <w:bCs w:val="1"/>
                <w:color w:val="auto"/>
              </w:rPr>
              <w:t>Percent</w:t>
            </w:r>
          </w:p>
        </w:tc>
      </w:tr>
      <w:tr>
        <w:trPr>
          <w:trHeight w:val="210"/>
        </w:trPr>
        <w:tc>
          <w:tcPr>
            <w:tcW w:w="384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59"/>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ind w:left="280"/>
              <w:spacing w:after="0"/>
              <w:rPr>
                <w:sz w:val="20"/>
                <w:szCs w:val="20"/>
                <w:color w:val="auto"/>
              </w:rPr>
            </w:pPr>
            <w:r>
              <w:rPr>
                <w:rFonts w:ascii="Arial" w:cs="Arial" w:eastAsia="Arial" w:hAnsi="Arial"/>
                <w:sz w:val="14"/>
                <w:szCs w:val="14"/>
                <w:b w:val="1"/>
                <w:bCs w:val="1"/>
                <w:color w:val="auto"/>
              </w:rPr>
              <w:t>Change</w:t>
            </w:r>
          </w:p>
        </w:tc>
      </w:tr>
      <w:tr>
        <w:trPr>
          <w:trHeight w:val="210"/>
        </w:trPr>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(6,467)</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(94)</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6,780%</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the nine months ended March 31, 2018, a tax provision of $6.5 million was recorded which included a</w:t>
      </w:r>
      <w:r>
        <w:rPr>
          <w:rFonts w:ascii="Arial" w:cs="Arial" w:eastAsia="Arial" w:hAnsi="Arial"/>
          <w:sz w:val="18"/>
          <w:szCs w:val="18"/>
          <w:i w:val="1"/>
          <w:iCs w:val="1"/>
          <w:color w:val="auto"/>
        </w:rPr>
        <w:t xml:space="preserve"> </w:t>
      </w:r>
      <w:r>
        <w:rPr>
          <w:rFonts w:ascii="Arial" w:cs="Arial" w:eastAsia="Arial" w:hAnsi="Arial"/>
          <w:sz w:val="18"/>
          <w:szCs w:val="18"/>
          <w:color w:val="auto"/>
        </w:rPr>
        <w:t>charge of $6.6 million related to the tax rate reduction of the Act. The provision is based upon income (loss) before income taxes using an estimated annual effective income tax rate for the year ending June 30, 2018 of 2%, which was impacted by the effect of permanent differences. The tax rate reduction related to the Act was treated as a discrete item in the tax provision for the nine months ended March 31, 2018.</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nine months ended March 31, 2017, income tax provisions of $0.1 million (substantially all deferred income taxes) were recorded. The provisions are based upon income before income taxes using an estimated annual effective income tax rate of 31% for the fiscal year ended June 30, 2017. The provision for the nine months ended March 31, 2017 consists of a charge for the tax effect of the change in the fair value of warrant liabilities which was treated discretely offset by a tax benefit based upon income before benefit for income taxes using the estimated annual effective income tax rate of 23% for the fiscal year ended June 30, 2017. All of those warrants were exercised as of September 30, 2016.</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to Adjusted EBITDA</w:t>
      </w:r>
    </w:p>
    <w:p>
      <w:pPr>
        <w:spacing w:after="0" w:line="27"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4"/>
                <w:szCs w:val="14"/>
                <w:b w:val="1"/>
                <w:bCs w:val="1"/>
                <w:color w:val="auto"/>
                <w:w w:val="92"/>
              </w:rPr>
              <w:t>For the nine months ended March 31,</w:t>
            </w:r>
          </w:p>
        </w:tc>
        <w:tc>
          <w:tcPr>
            <w:tcW w:w="0" w:type="dxa"/>
            <w:vAlign w:val="bottom"/>
          </w:tcPr>
          <w:p>
            <w:pPr>
              <w:spacing w:after="0"/>
              <w:rPr>
                <w:sz w:val="1"/>
                <w:szCs w:val="1"/>
                <w:color w:val="auto"/>
              </w:rPr>
            </w:pPr>
          </w:p>
        </w:tc>
      </w:tr>
      <w:tr>
        <w:trPr>
          <w:trHeight w:val="142"/>
        </w:trPr>
        <w:tc>
          <w:tcPr>
            <w:tcW w:w="53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w:t>
            </w: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rPr>
                <w:sz w:val="20"/>
                <w:szCs w:val="20"/>
                <w:color w:val="auto"/>
              </w:rPr>
            </w:pPr>
            <w:r>
              <w:rPr>
                <w:rFonts w:ascii="Arial" w:cs="Arial" w:eastAsia="Arial" w:hAnsi="Arial"/>
                <w:sz w:val="18"/>
                <w:szCs w:val="18"/>
                <w:color w:val="auto"/>
              </w:rPr>
              <w:t>Less interest income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(465)</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Plus interest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rPr>
                <w:sz w:val="20"/>
                <w:szCs w:val="20"/>
                <w:color w:val="auto"/>
              </w:rPr>
            </w:pPr>
            <w:r>
              <w:rPr>
                <w:rFonts w:ascii="Arial" w:cs="Arial" w:eastAsia="Arial" w:hAnsi="Arial"/>
                <w:sz w:val="18"/>
                <w:szCs w:val="18"/>
                <w:color w:val="auto"/>
              </w:rPr>
              <w:t>Plus income tax provision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6,467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Plus depreciation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Plus amortization expense</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Plus loss on fair value of warrant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rPr>
                <w:sz w:val="20"/>
                <w:szCs w:val="20"/>
                <w:color w:val="auto"/>
              </w:rPr>
            </w:pPr>
            <w:r>
              <w:rPr>
                <w:rFonts w:ascii="Arial" w:cs="Arial" w:eastAsia="Arial" w:hAnsi="Arial"/>
                <w:sz w:val="18"/>
                <w:szCs w:val="18"/>
                <w:color w:val="auto"/>
              </w:rPr>
              <w:t>Plus stock-based compensation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Plus litigation related professional fees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Plus integration and acquisition costs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EBITDA</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7,849</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17"/>
        </w:trPr>
        <w:tc>
          <w:tcPr>
            <w:tcW w:w="5360" w:type="dxa"/>
            <w:vAlign w:val="bottom"/>
          </w:tcPr>
          <w:p>
            <w:pPr>
              <w:spacing w:after="0"/>
              <w:rPr>
                <w:sz w:val="20"/>
                <w:szCs w:val="20"/>
                <w:color w:val="auto"/>
              </w:rPr>
            </w:pPr>
            <w:r>
              <w:rPr>
                <w:rFonts w:ascii="Arial" w:cs="Arial" w:eastAsia="Arial" w:hAnsi="Arial"/>
                <w:sz w:val="18"/>
                <w:szCs w:val="18"/>
                <w:color w:val="auto"/>
              </w:rPr>
              <w:t>Adjusted EBITDA</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9,455</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As used herein, Adjusted EBITDA represents net loss before interest income, interest expense, income tax provision (benefit), depreciation, amortization, change in fair value of warrant liabilities, stock-based compensation expense, professional fees incurred in connection with the class action litigation and the special litigation committee investigation, and non-recurring integration and acquisition costs that were incurred in connection with the acquisition of Cantaloupe in the current fiscal year and the acquisition of VendScreen the previous fiscal year. We have excluded the non-operating item, change in fair value of warrant liabilities, because it represents a non-cash gain or charge that is not related to the Company’s operations. We have excluded the non-cash expense, stock-based compensation, as it does not reflect the cash-based operations of the Company. We have excluded the integration and acquisition costs incurred in connection with the Cantaloupe acquisition during the current fiscal year and the VendScreen transaction from the previous fiscal year in order to allow for a more accurate comparison of the financial results to historical operations, as they pertain to period operational expenses that are not a core function of our business.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Additionally, the Company utilizes Adjusted EBITDA as a metric in its executive officer and management incentive compensation plans.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Operating Loss to Adjusted Operating Income (Loss)</w:t>
      </w:r>
    </w:p>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142"/>
        </w:trPr>
        <w:tc>
          <w:tcPr>
            <w:tcW w:w="45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6"/>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Plus integration and acquisition costs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5,844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Plus amortization expense</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7"/>
        </w:trPr>
        <w:tc>
          <w:tcPr>
            <w:tcW w:w="4540" w:type="dxa"/>
            <w:vAlign w:val="bottom"/>
          </w:tcPr>
          <w:p>
            <w:pPr>
              <w:spacing w:after="0"/>
              <w:rPr>
                <w:sz w:val="20"/>
                <w:szCs w:val="20"/>
                <w:color w:val="auto"/>
              </w:rPr>
            </w:pPr>
            <w:r>
              <w:rPr>
                <w:rFonts w:ascii="Arial" w:cs="Arial" w:eastAsia="Arial" w:hAnsi="Arial"/>
                <w:sz w:val="18"/>
                <w:szCs w:val="18"/>
                <w:color w:val="auto"/>
              </w:rPr>
              <w:t>Adjusted operating income (loss)</w:t>
            </w:r>
          </w:p>
        </w:tc>
        <w:tc>
          <w:tcPr>
            <w:tcW w:w="1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2,909</w:t>
            </w:r>
          </w:p>
        </w:tc>
        <w:tc>
          <w:tcPr>
            <w:tcW w:w="1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As used herein, adjusted operating loss represents operating loss before the non-recurring integration and acquisition costs incurred in connection with the acquisition of Cantaloupe and the VendScreen transaction, and the amortization expenses related to our acquisition-related intangibles. We have excluded these non-recurring costs and expenses in order to allow for a more accurate comparison of the financial results to historical operations and we believe such a comparison is useful to investors as a measure of comparative operating performance.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to Non-GAAP Net Income (Loss)</w:t>
      </w:r>
    </w:p>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142"/>
        </w:trPr>
        <w:tc>
          <w:tcPr>
            <w:tcW w:w="478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2"/>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portion of income tax provision</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color w:val="auto"/>
              </w:rPr>
              <w:t>Fair value of warrant adjustment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expense</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 related professional fees</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Integration and acquisition costs</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7"/>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As used herein, non-GAAP net income (loss) represents GAAP net income (loss) excluding costs or benefits relating to any non-cash portions of the Company’s income tax benefit, adjustment for fair value of warrant liabilities, amortization expenses related to our acquisition-related intangibles, professional fees incurred in connection with the class action litigation and the special litigation committee investigation, and non-recurring costs that were incurred in connection with the acquisition and integration of Cantaloupe during the current fiscal year and VendScreen during the prior fiscal year. Management believes that non-GAAP net income (loss) is an important measure of USAT’s business. Non-GAAP net income (loss) is a non-GAAP financial measure which is not required by or defined under GAAP. The presentation of this financial measure is not intended to be considered in isolation or as a substitute for the financial measures prepared and presented in accordance with GAAP, including the net income or net loss of the Company or net cash provided by or (used in) operating activities. Management recognizes that non-GAAP financial measures have limitations in that they do not reflect all of the items associated with the Company’s net loss as determined in accordance with GAAP, and are not a substitute for or a measure of the Company’s profitability or net earnings. Management uses the aforementioned non-GAAP measure to monitor and evaluate ongoing operating results and trends and to gain an understanding of our comparative operating performance. We believe that this non-GAAP financial measure serves as a useful metric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 Additionally, the Company utilizes non-GAAP net income (loss) as a metric in its executive officer and management incentive compensation plans.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provided by operating activities was $8.7 million for the nine months ended March 31, 2018 compared to cash of $4.3 million used in the same period in 2017. The $13.0 million increase in cash provided by operating activities was primarily driven by a cash inflow of $13.2 million from the payment for finance receivables as well as a cash inflow of $15.1 million related to the timing of accounts payable and accrued expenses, partially offset by a $10.6 million increase in receivables primarily due to timing differences related to the remittance of credit card receipts, and a $3.6 million increase related to inventory due to purchases made to support the company’s anticipated future growth.</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used in investing activities was $67.9 million for the nine months ended March 31, 2018 compared to $2.7 million used in the same period in 2017. The $65.2 million increase is primarily related to net cash consideration paid for the acquisition of Cantaloupe.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financing activities was $63.6 million for the nine months ended March 31, 2018 compared to $5.5 million provided by in the same period in 2017. The $58.1 million increase was primarily due to the public offering which closed in July 2017 with net proceeds of $39.9 million as well as an increase of $35.0 million related to the Term Loan and Revolving Credit Facility, partially offset by $6.2 million in proceeds received from the exercise of the warrants during the nine months ended March 31, 2017 and an increase in repayments of debt of $3.2 million and the Line of Credit of $7.1 million during the nine months ended March 31, 2018</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September 2014, the Company reintroduced QuickStart, a program whereby our customers are able to purchase our ePort hardware via a five-year, non-cancellable finance agreement. Under the QuickStart program, the Company sells the equipment to customers and creates a long-term and current finance receivable for five-year agreements. In the third 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fourth quarters of fiscal 2015, the Company signed vendor agreements with two finance companies, whereby our customers would enter into agreements directly with the finance companies as part of our QuickStart program. Under this scenario, the Company invoices the finance company for the equipment financed by our customer, and typically receives full payment within thirty days. Prior to the reintroduction of QuickStart, the Company had financed its customers’ acquisition of ePort equipment primarily through the JumpStart rental program. Under Jumpstart, the Company records an investing capital expenditure cash outflow for the equipment provided and fixed assets on the balance sheet, and then receives rental income from a month-to-month lease. Customers who utilize third party finance companies in connection with the QuickStart program improve our cash flow from operations, and our QuickStart program reduces cash flow needed for investing activities otherwise incurred by us for our JumpStart program.</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Since entering into vendor agreements with third-party finance companies, the majority of QuickStart sales consummated have been with customers entering into agreements directly with the finance companies. Additionally, from time to time during the nine months ended March 31, 2018, we sold finance receivables to financing companies.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customers have shifted from acquiring our products via JumpStart, which accounted for 60% of our gross connections in fiscal year 2014, to QuickStart and sales under normal trade receivable terms, which accounted for 89%, 91%, and 93% of our gross connections in fiscal years 2015, 2016, and 2017 respectively. JumpStart accounted for approximately 1% of our gross new connections for the nine months ended March 31, 2018.</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continually seeking to expand its outside financing partners in order to accommodate expected growth.</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Cash</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net working capital, which is defined as current assets less current liabilities, increased $8.8 million from $5.8 million as of June 30, 2017, to $14.6 million as of March 31, 2018. As of March 31, 2018, the Company’s primary sources of cash include:</w:t>
      </w:r>
    </w:p>
    <w:p>
      <w:pPr>
        <w:spacing w:after="0" w:line="181" w:lineRule="exact"/>
        <w:rPr>
          <w:sz w:val="20"/>
          <w:szCs w:val="20"/>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on hand of approximately $17.1 million;</w:t>
      </w:r>
    </w:p>
    <w:p>
      <w:pPr>
        <w:spacing w:after="0" w:line="225"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$2.5 million available under the Revolving Credit Facility provided we continue to satisfy the various covenants set forth in the loan agreement, including the requirement to meet the minimum quarterly Total Leverage Ratio and Fixed Charge Coverage Ratio;</w:t>
      </w:r>
    </w:p>
    <w:p>
      <w:pPr>
        <w:spacing w:after="0" w:line="181"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to third party lenders of all or a portion of our $13.6 million of finance receivables which may occur in future quarters; and</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Anticipated cash which may be provided by operating activities in future quarters.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its existing cash and available cash resources described above, would provide sufficient capital resources to operate its anticipated business over the next twelve months.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significant changes to our market risk since June 30, 2017. For a discussion of our exposure to market risk, refer to Part II, Item 7A. “Quantitative and Qualitative Disclosures about Market Risk,” contained in our Annual Report on Form 10-K for the year ended June 30, 2017.</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evaluated, with the participation of our chief executive officer and chief financial officer, the effectiveness as of the end of the period covered by this Form 10-Q of our disclosure controls and procedures (as defined in Rule 13a-15(e) under the Securities Exchange Act of 1934 (the "Exchange Act"). We maintain disclosure controls and procedures to ensure that information required to be disclosed by us in reports that we file or submit under the Exchange Act is recorded, processed, summarized and reported within the time periods specified in Securities and Exchange Commission rules, and that such information is accumulated and communicated to our management, including our chief executive officer and chief financial officer, to allow timely decisions regarding required disclosure. Based on this evaluation, our management, including our chief executive officer and chief financial officer, has concluded that our disclosure controls and procedures were effective as of the end of such period.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controls over financial reporting that occurred during the quarter ended March 31, 2018 that materially affected, or are reasonably likely to materially affect, our internal controls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previously reported, on June 1, 2016, a purported shareholder filed a purported derivative action on behalf of the Company in the Chester County, Pennsylvania, Court of Common Pleas (No. 2016-05225-MJ), against certain current and former officers and Directors. On August 17, 2016, the Company filed with the Chester County Court a motion to dismiss the complaint. On March 8, 2017, the Court entered an order granting the Company’s motion to dismiss the complaint. On April 6, 2017, the plaintiff appealed the order to the Superior Court of Pennsylvania. On February 22, 2018, the Superior Court affirmed the Chester County Common Pleas Court’s dismissal of the action. The plaintiff did not file a Petition for Allowance of Appeal with the Pennsylvania Supreme Court, so the action is now concluded.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were no defaults on any senior securities. On February 1, 2018, an additional $334 thousand of dividends were accrued on our cumulative Series A Convertible Preferred Stock. The total accrued and unpaid dividends on our Series A Convertible Preferred Stock as of March 31, 2018 was $14.99 million. The dividend accrual dates for our Preferred Stock are February 1 and August 1. The annual cumulative dividend on our Preferred Stock is $1.50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82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82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7820" w:type="dxa"/>
            <w:vAlign w:val="bottom"/>
            <w:tcBorders>
              <w:top w:val="single" w:sz="8" w:color="auto"/>
            </w:tcBorders>
            <w:gridSpan w:val="7"/>
          </w:tcPr>
          <w:p>
            <w:pPr>
              <w:spacing w:after="0"/>
              <w:rPr>
                <w:rFonts w:ascii="Arial" w:cs="Arial" w:eastAsia="Arial" w:hAnsi="Arial"/>
                <w:sz w:val="18"/>
                <w:szCs w:val="18"/>
                <w:color w:val="0000EE"/>
                <w:w w:val="93"/>
              </w:rPr>
            </w:pPr>
            <w:hyperlink w:anchor="page37">
              <w:r>
                <w:rPr>
                  <w:rFonts w:ascii="Arial" w:cs="Arial" w:eastAsia="Arial" w:hAnsi="Arial"/>
                  <w:sz w:val="18"/>
                  <w:szCs w:val="18"/>
                  <w:color w:val="0000EE"/>
                  <w:w w:val="93"/>
                </w:rPr>
                <w:t>Certifications of Chief Executive Officer pursuant to Rule 13a-14(a) under the Securities Exchange Act of</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7">
              <w:r>
                <w:rPr>
                  <w:rFonts w:ascii="Arial" w:cs="Arial" w:eastAsia="Arial" w:hAnsi="Arial"/>
                  <w:sz w:val="18"/>
                  <w:szCs w:val="18"/>
                  <w:color w:val="0000EE"/>
                  <w:w w:val="84"/>
                </w:rPr>
                <w:t>1934.</w:t>
              </w:r>
            </w:hyperlink>
          </w:p>
        </w:tc>
        <w:tc>
          <w:tcPr>
            <w:tcW w:w="3060" w:type="dxa"/>
            <w:vAlign w:val="bottom"/>
            <w:tcBorders>
              <w:top w:val="single" w:sz="8" w:color="0000EE"/>
            </w:tcBorders>
          </w:tcPr>
          <w:p>
            <w:pPr>
              <w:spacing w:after="0"/>
              <w:rPr>
                <w:sz w:val="17"/>
                <w:szCs w:val="17"/>
                <w:color w:val="auto"/>
              </w:rPr>
            </w:pPr>
          </w:p>
        </w:tc>
        <w:tc>
          <w:tcPr>
            <w:tcW w:w="3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7820" w:type="dxa"/>
            <w:vAlign w:val="bottom"/>
            <w:gridSpan w:val="7"/>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Certifications of Chief Financial Officer pursuant to Rule 13a-14(a) under the Securities Exchange Act of</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8">
              <w:r>
                <w:rPr>
                  <w:rFonts w:ascii="Arial" w:cs="Arial" w:eastAsia="Arial" w:hAnsi="Arial"/>
                  <w:sz w:val="18"/>
                  <w:szCs w:val="18"/>
                  <w:color w:val="0000EE"/>
                  <w:w w:val="84"/>
                </w:rPr>
                <w:t>1934.</w:t>
              </w:r>
            </w:hyperlink>
          </w:p>
        </w:tc>
        <w:tc>
          <w:tcPr>
            <w:tcW w:w="3060" w:type="dxa"/>
            <w:vAlign w:val="bottom"/>
            <w:tcBorders>
              <w:top w:val="single" w:sz="8" w:color="0000EE"/>
            </w:tcBorders>
          </w:tcPr>
          <w:p>
            <w:pPr>
              <w:spacing w:after="0"/>
              <w:rPr>
                <w:sz w:val="17"/>
                <w:szCs w:val="17"/>
                <w:color w:val="auto"/>
              </w:rPr>
            </w:pPr>
          </w:p>
        </w:tc>
        <w:tc>
          <w:tcPr>
            <w:tcW w:w="3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73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Certification of the Chief Executive Officer pursuant to 18 USC Section 1350, as adopted pursuant to</w:t>
              </w:r>
            </w:hyperlink>
          </w:p>
        </w:tc>
        <w:tc>
          <w:tcPr>
            <w:tcW w:w="5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Section 906 of the Sarbanes-Oxley Act of 2002.</w:t>
              </w:r>
            </w:hyperlink>
          </w:p>
        </w:tc>
        <w:tc>
          <w:tcPr>
            <w:tcW w:w="43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7820" w:type="dxa"/>
            <w:vAlign w:val="bottom"/>
            <w:gridSpan w:val="7"/>
          </w:tcPr>
          <w:p>
            <w:pPr>
              <w:spacing w:after="0"/>
              <w:rPr>
                <w:rFonts w:ascii="Arial" w:cs="Arial" w:eastAsia="Arial" w:hAnsi="Arial"/>
                <w:sz w:val="18"/>
                <w:szCs w:val="18"/>
                <w:color w:val="0000EE"/>
                <w:w w:val="98"/>
              </w:rPr>
            </w:pPr>
            <w:hyperlink w:anchor="page40">
              <w:r>
                <w:rPr>
                  <w:rFonts w:ascii="Arial" w:cs="Arial" w:eastAsia="Arial" w:hAnsi="Arial"/>
                  <w:sz w:val="18"/>
                  <w:szCs w:val="18"/>
                  <w:color w:val="0000EE"/>
                  <w:w w:val="98"/>
                </w:rPr>
                <w:t>Certification of the Chief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Section 906 of the Sarbanes-Oxley Act of 2002.</w:t>
              </w:r>
            </w:hyperlink>
          </w:p>
        </w:tc>
        <w:tc>
          <w:tcPr>
            <w:tcW w:w="3780" w:type="dxa"/>
            <w:vAlign w:val="bottom"/>
            <w:tcBorders>
              <w:top w:val="single" w:sz="8" w:color="0000EE"/>
            </w:tcBorders>
          </w:tcPr>
          <w:p>
            <w:pPr>
              <w:spacing w:after="0"/>
              <w:rPr>
                <w:sz w:val="17"/>
                <w:szCs w:val="17"/>
                <w:color w:val="auto"/>
              </w:rPr>
            </w:pPr>
          </w:p>
        </w:tc>
        <w:tc>
          <w:tcPr>
            <w:tcW w:w="5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40" w:right="20" w:hanging="1237"/>
        <w:spacing w:after="0" w:line="284" w:lineRule="auto"/>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following financial information from our Quarterly Report on Form 10-Q for the quarter ended March 31, 2018, filed with the SEC on May 10, 2018, formatted in Extensible Business Reporting Language (XBRL): (1) the Consolidated Balance Sheets as of March 31, 2018 and June 30, 2017, (2) the Consolidated Statements of Operations for the three-month and nine-month periods ended March 31, 2018 and 2017, (3) the Consolidated Statements of Shareholders’ Equity for the nine-month period ended March 31, 2018, (4) the Consolidated Statements of Cash Flows for the nine-month period ended March 31, 2018 and 2017, and</w:t>
      </w:r>
    </w:p>
    <w:p>
      <w:pPr>
        <w:spacing w:after="0" w:line="4" w:lineRule="exact"/>
        <w:rPr>
          <w:rFonts w:ascii="Arial" w:cs="Arial" w:eastAsia="Arial" w:hAnsi="Arial"/>
          <w:sz w:val="16"/>
          <w:szCs w:val="16"/>
          <w:color w:val="auto"/>
        </w:rPr>
      </w:pPr>
    </w:p>
    <w:p>
      <w:pPr>
        <w:ind w:left="1240"/>
        <w:spacing w:after="0"/>
        <w:rPr>
          <w:rFonts w:ascii="Arial" w:cs="Arial" w:eastAsia="Arial" w:hAnsi="Arial"/>
          <w:sz w:val="16"/>
          <w:szCs w:val="16"/>
          <w:color w:val="auto"/>
        </w:rPr>
      </w:pPr>
      <w:r>
        <w:rPr>
          <w:rFonts w:ascii="Arial" w:cs="Arial" w:eastAsia="Arial" w:hAnsi="Arial"/>
          <w:sz w:val="18"/>
          <w:szCs w:val="18"/>
          <w:color w:val="auto"/>
        </w:rPr>
        <w:t>(5) the Notes to Consolidated Financial Statements.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USA TECHNOLOGIES, INC.</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 May 10, 2018</w:t>
            </w:r>
          </w:p>
        </w:tc>
        <w:tc>
          <w:tcPr>
            <w:tcW w:w="160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195"/>
        </w:trPr>
        <w:tc>
          <w:tcPr>
            <w:tcW w:w="2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r>
      <w:tr>
        <w:trPr>
          <w:trHeight w:val="230"/>
        </w:trPr>
        <w:tc>
          <w:tcPr>
            <w:tcW w:w="29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 May 10, 2018</w:t>
            </w:r>
          </w:p>
        </w:tc>
        <w:tc>
          <w:tcPr>
            <w:tcW w:w="160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Priyanka Singh</w:t>
            </w:r>
          </w:p>
        </w:tc>
      </w:tr>
      <w:tr>
        <w:trPr>
          <w:trHeight w:val="195"/>
        </w:trPr>
        <w:tc>
          <w:tcPr>
            <w:tcW w:w="2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Priyanka Singh</w:t>
            </w:r>
          </w:p>
        </w:tc>
      </w:tr>
      <w:tr>
        <w:trPr>
          <w:trHeight w:val="230"/>
        </w:trPr>
        <w:tc>
          <w:tcPr>
            <w:tcW w:w="29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78"/>
        </w:trPr>
        <w:tc>
          <w:tcPr>
            <w:tcW w:w="2940" w:type="dxa"/>
            <w:vAlign w:val="bottom"/>
          </w:tcPr>
          <w:p>
            <w:pPr>
              <w:spacing w:after="0"/>
              <w:rPr>
                <w:sz w:val="24"/>
                <w:szCs w:val="24"/>
                <w:color w:val="auto"/>
              </w:rPr>
            </w:pPr>
          </w:p>
        </w:tc>
        <w:tc>
          <w:tcPr>
            <w:tcW w:w="6120" w:type="dxa"/>
            <w:vAlign w:val="bottom"/>
            <w:gridSpan w:val="2"/>
          </w:tcPr>
          <w:p>
            <w:pPr>
              <w:jc w:val="right"/>
              <w:ind w:right="4350"/>
              <w:spacing w:after="0"/>
              <w:rPr>
                <w:sz w:val="20"/>
                <w:szCs w:val="20"/>
                <w:color w:val="auto"/>
              </w:rPr>
            </w:pPr>
            <w:r>
              <w:rPr>
                <w:rFonts w:ascii="Arial" w:cs="Arial" w:eastAsia="Arial" w:hAnsi="Arial"/>
                <w:sz w:val="18"/>
                <w:szCs w:val="18"/>
                <w:color w:val="auto"/>
              </w:rPr>
              <w:t>36</w:t>
            </w:r>
          </w:p>
        </w:tc>
      </w:tr>
      <w:tr>
        <w:trPr>
          <w:trHeight w:val="345"/>
        </w:trPr>
        <w:tc>
          <w:tcPr>
            <w:tcW w:w="29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Herbert, certify that:</w:t>
      </w:r>
    </w:p>
    <w:p>
      <w:pPr>
        <w:spacing w:after="0" w:line="225" w:lineRule="exact"/>
        <w:rPr>
          <w:sz w:val="20"/>
          <w:szCs w:val="20"/>
          <w:color w:val="auto"/>
        </w:rPr>
      </w:pPr>
    </w:p>
    <w:p>
      <w:pPr>
        <w:ind w:left="660" w:hanging="657"/>
        <w:spacing w:after="0" w:line="207" w:lineRule="exact"/>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USA Technologies, Inc.;</w:t>
      </w:r>
    </w:p>
    <w:p>
      <w:pPr>
        <w:spacing w:after="0" w:line="225" w:lineRule="exact"/>
        <w:rPr>
          <w:rFonts w:ascii="Arial" w:cs="Arial" w:eastAsia="Arial" w:hAnsi="Arial"/>
          <w:sz w:val="18"/>
          <w:szCs w:val="18"/>
          <w:color w:val="auto"/>
        </w:rPr>
      </w:pPr>
    </w:p>
    <w:p>
      <w:pPr>
        <w:jc w:val="both"/>
        <w:ind w:left="660" w:hanging="657"/>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660" w:hanging="657"/>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81" w:lineRule="exact"/>
        <w:rPr>
          <w:rFonts w:ascii="Arial" w:cs="Arial" w:eastAsia="Arial" w:hAnsi="Arial"/>
          <w:sz w:val="18"/>
          <w:szCs w:val="18"/>
          <w:color w:val="auto"/>
        </w:rPr>
      </w:pPr>
    </w:p>
    <w:p>
      <w:pPr>
        <w:jc w:val="both"/>
        <w:ind w:left="660" w:hanging="657"/>
        <w:spacing w:after="0" w:line="221" w:lineRule="exact"/>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202" w:lineRule="exact"/>
        <w:rPr>
          <w:rFonts w:ascii="Arial" w:cs="Arial" w:eastAsia="Arial" w:hAnsi="Arial"/>
          <w:sz w:val="17"/>
          <w:szCs w:val="17"/>
          <w:color w:val="auto"/>
        </w:rPr>
      </w:pPr>
    </w:p>
    <w:p>
      <w:pPr>
        <w:jc w:val="both"/>
        <w:ind w:left="1300" w:hanging="649"/>
        <w:spacing w:after="0" w:line="259" w:lineRule="auto"/>
        <w:tabs>
          <w:tab w:leader="none" w:pos="131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300" w:hanging="649"/>
        <w:spacing w:after="0" w:line="259" w:lineRule="auto"/>
        <w:tabs>
          <w:tab w:leader="none" w:pos="132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300" w:hanging="649"/>
        <w:spacing w:after="0" w:line="264" w:lineRule="auto"/>
        <w:tabs>
          <w:tab w:leader="none" w:pos="1317"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81" w:lineRule="exact"/>
        <w:rPr>
          <w:rFonts w:ascii="Arial" w:cs="Arial" w:eastAsia="Arial" w:hAnsi="Arial"/>
          <w:sz w:val="18"/>
          <w:szCs w:val="18"/>
          <w:color w:val="auto"/>
        </w:rPr>
      </w:pPr>
    </w:p>
    <w:p>
      <w:pPr>
        <w:jc w:val="both"/>
        <w:ind w:left="1300" w:hanging="649"/>
        <w:spacing w:after="0" w:line="259" w:lineRule="auto"/>
        <w:tabs>
          <w:tab w:leader="none" w:pos="132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86" w:lineRule="exact"/>
        <w:rPr>
          <w:rFonts w:ascii="Arial" w:cs="Arial" w:eastAsia="Arial" w:hAnsi="Arial"/>
          <w:sz w:val="18"/>
          <w:szCs w:val="18"/>
          <w:color w:val="auto"/>
        </w:rPr>
      </w:pPr>
    </w:p>
    <w:p>
      <w:pPr>
        <w:jc w:val="both"/>
        <w:ind w:left="660" w:hanging="657"/>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81" w:lineRule="exact"/>
        <w:rPr>
          <w:rFonts w:ascii="Arial" w:cs="Arial" w:eastAsia="Arial" w:hAnsi="Arial"/>
          <w:sz w:val="18"/>
          <w:szCs w:val="18"/>
          <w:color w:val="auto"/>
        </w:rPr>
      </w:pPr>
    </w:p>
    <w:p>
      <w:pPr>
        <w:jc w:val="both"/>
        <w:ind w:left="1300" w:hanging="649"/>
        <w:spacing w:after="0" w:line="264" w:lineRule="auto"/>
        <w:tabs>
          <w:tab w:leader="none" w:pos="131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81" w:lineRule="exact"/>
        <w:rPr>
          <w:rFonts w:ascii="Arial" w:cs="Arial" w:eastAsia="Arial" w:hAnsi="Arial"/>
          <w:sz w:val="18"/>
          <w:szCs w:val="18"/>
          <w:color w:val="auto"/>
        </w:rPr>
      </w:pPr>
    </w:p>
    <w:p>
      <w:pPr>
        <w:ind w:left="1300" w:hanging="649"/>
        <w:spacing w:after="0" w:line="277" w:lineRule="auto"/>
        <w:tabs>
          <w:tab w:leader="none" w:pos="132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Date: May 10, 2018</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777"/>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Priyanka Singh, certify that:</w:t>
      </w:r>
    </w:p>
    <w:p>
      <w:pPr>
        <w:spacing w:after="0" w:line="225" w:lineRule="exact"/>
        <w:rPr>
          <w:sz w:val="20"/>
          <w:szCs w:val="20"/>
          <w:color w:val="auto"/>
        </w:rPr>
      </w:pPr>
    </w:p>
    <w:p>
      <w:pPr>
        <w:ind w:left="660" w:hanging="657"/>
        <w:spacing w:after="0" w:line="207" w:lineRule="exact"/>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USA Technologies, Inc.;</w:t>
      </w:r>
    </w:p>
    <w:p>
      <w:pPr>
        <w:spacing w:after="0" w:line="225" w:lineRule="exact"/>
        <w:rPr>
          <w:rFonts w:ascii="Arial" w:cs="Arial" w:eastAsia="Arial" w:hAnsi="Arial"/>
          <w:sz w:val="18"/>
          <w:szCs w:val="18"/>
          <w:color w:val="auto"/>
        </w:rPr>
      </w:pPr>
    </w:p>
    <w:p>
      <w:pPr>
        <w:jc w:val="both"/>
        <w:ind w:left="660" w:hanging="657"/>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660" w:hanging="657"/>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81" w:lineRule="exact"/>
        <w:rPr>
          <w:rFonts w:ascii="Arial" w:cs="Arial" w:eastAsia="Arial" w:hAnsi="Arial"/>
          <w:sz w:val="18"/>
          <w:szCs w:val="18"/>
          <w:color w:val="auto"/>
        </w:rPr>
      </w:pPr>
    </w:p>
    <w:p>
      <w:pPr>
        <w:jc w:val="both"/>
        <w:ind w:left="660" w:hanging="657"/>
        <w:spacing w:after="0" w:line="221" w:lineRule="exact"/>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202" w:lineRule="exact"/>
        <w:rPr>
          <w:rFonts w:ascii="Arial" w:cs="Arial" w:eastAsia="Arial" w:hAnsi="Arial"/>
          <w:sz w:val="17"/>
          <w:szCs w:val="17"/>
          <w:color w:val="auto"/>
        </w:rPr>
      </w:pPr>
    </w:p>
    <w:p>
      <w:pPr>
        <w:jc w:val="both"/>
        <w:ind w:left="1300" w:hanging="649"/>
        <w:spacing w:after="0" w:line="259" w:lineRule="auto"/>
        <w:tabs>
          <w:tab w:leader="none" w:pos="131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300" w:hanging="649"/>
        <w:spacing w:after="0" w:line="259" w:lineRule="auto"/>
        <w:tabs>
          <w:tab w:leader="none" w:pos="132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300" w:hanging="649"/>
        <w:spacing w:after="0" w:line="264" w:lineRule="auto"/>
        <w:tabs>
          <w:tab w:leader="none" w:pos="1317"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81" w:lineRule="exact"/>
        <w:rPr>
          <w:rFonts w:ascii="Arial" w:cs="Arial" w:eastAsia="Arial" w:hAnsi="Arial"/>
          <w:sz w:val="18"/>
          <w:szCs w:val="18"/>
          <w:color w:val="auto"/>
        </w:rPr>
      </w:pPr>
    </w:p>
    <w:p>
      <w:pPr>
        <w:jc w:val="both"/>
        <w:ind w:left="1300" w:hanging="649"/>
        <w:spacing w:after="0" w:line="259" w:lineRule="auto"/>
        <w:tabs>
          <w:tab w:leader="none" w:pos="132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86" w:lineRule="exact"/>
        <w:rPr>
          <w:rFonts w:ascii="Arial" w:cs="Arial" w:eastAsia="Arial" w:hAnsi="Arial"/>
          <w:sz w:val="18"/>
          <w:szCs w:val="18"/>
          <w:color w:val="auto"/>
        </w:rPr>
      </w:pPr>
    </w:p>
    <w:p>
      <w:pPr>
        <w:jc w:val="both"/>
        <w:ind w:left="660" w:hanging="657"/>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81" w:lineRule="exact"/>
        <w:rPr>
          <w:rFonts w:ascii="Arial" w:cs="Arial" w:eastAsia="Arial" w:hAnsi="Arial"/>
          <w:sz w:val="18"/>
          <w:szCs w:val="18"/>
          <w:color w:val="auto"/>
        </w:rPr>
      </w:pPr>
    </w:p>
    <w:p>
      <w:pPr>
        <w:jc w:val="both"/>
        <w:ind w:left="1300" w:hanging="649"/>
        <w:spacing w:after="0" w:line="264" w:lineRule="auto"/>
        <w:tabs>
          <w:tab w:leader="none" w:pos="131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81" w:lineRule="exact"/>
        <w:rPr>
          <w:rFonts w:ascii="Arial" w:cs="Arial" w:eastAsia="Arial" w:hAnsi="Arial"/>
          <w:sz w:val="18"/>
          <w:szCs w:val="18"/>
          <w:color w:val="auto"/>
        </w:rPr>
      </w:pPr>
    </w:p>
    <w:p>
      <w:pPr>
        <w:ind w:left="1300" w:hanging="649"/>
        <w:spacing w:after="0" w:line="277" w:lineRule="auto"/>
        <w:tabs>
          <w:tab w:leader="none" w:pos="132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Date: May 10, 2018</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Priyanka Singh</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Priyanka Singh</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7"/>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1440" w:right="2180"/>
        <w:spacing w:after="0" w:line="266" w:lineRule="auto"/>
        <w:rPr>
          <w:sz w:val="20"/>
          <w:szCs w:val="20"/>
          <w:color w:val="auto"/>
        </w:rPr>
      </w:pPr>
      <w:r>
        <w:rPr>
          <w:rFonts w:ascii="Arial" w:cs="Arial" w:eastAsia="Arial" w:hAnsi="Arial"/>
          <w:sz w:val="18"/>
          <w:szCs w:val="18"/>
          <w:b w:val="1"/>
          <w:bCs w:val="1"/>
          <w:color w:val="auto"/>
        </w:rPr>
        <w:t>CERTIFICATION PURSUANT TO SECTION 906 OF THE SARBANES-OXLEY ACT OF 2002 (18 U.S.C. SECTION 1350)</w:t>
      </w:r>
    </w:p>
    <w:p>
      <w:pPr>
        <w:spacing w:after="0" w:line="180"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In connection with the accompanying Quarterly Report of USA Technologies,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March 31, 2018 (the “Report”), I, Stephen P. Herbert., Chief Executive Officer of the Company, hereby certify that to my knowledge:</w:t>
      </w:r>
    </w:p>
    <w:p>
      <w:pPr>
        <w:spacing w:after="0" w:line="202" w:lineRule="exact"/>
        <w:rPr>
          <w:sz w:val="20"/>
          <w:szCs w:val="20"/>
          <w:color w:val="auto"/>
        </w:rPr>
      </w:pPr>
    </w:p>
    <w:p>
      <w:pPr>
        <w:ind w:left="660" w:hanging="657"/>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657"/>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Date: May 10, 2018</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777"/>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left="1440" w:right="2180"/>
        <w:spacing w:after="0" w:line="266" w:lineRule="auto"/>
        <w:rPr>
          <w:sz w:val="20"/>
          <w:szCs w:val="20"/>
          <w:color w:val="auto"/>
        </w:rPr>
      </w:pPr>
      <w:r>
        <w:rPr>
          <w:rFonts w:ascii="Arial" w:cs="Arial" w:eastAsia="Arial" w:hAnsi="Arial"/>
          <w:sz w:val="18"/>
          <w:szCs w:val="18"/>
          <w:b w:val="1"/>
          <w:bCs w:val="1"/>
          <w:color w:val="auto"/>
        </w:rPr>
        <w:t>CERTIFICATION PURSUANT TO SECTION 906 OF THE SARBANES-OXLEY ACT OF 2002 (18 U.S.C. SECTION 1350)</w:t>
      </w:r>
    </w:p>
    <w:p>
      <w:pPr>
        <w:spacing w:after="0" w:line="180"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In connection with the accompanying Quarterly Report of USA Technologies,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March 31, 2018 (the “Report”), I, Priyanka Singh, Chief Financial Officer of the Company, hereby certify that to my knowledge:</w:t>
      </w:r>
    </w:p>
    <w:p>
      <w:pPr>
        <w:spacing w:after="0" w:line="202" w:lineRule="exact"/>
        <w:rPr>
          <w:sz w:val="20"/>
          <w:szCs w:val="20"/>
          <w:color w:val="auto"/>
        </w:rPr>
      </w:pPr>
    </w:p>
    <w:p>
      <w:pPr>
        <w:ind w:left="660" w:hanging="657"/>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657"/>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Date: May 10, 2018</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Priyanka Singh</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Priyanka Singh</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7"/>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
      <w:numFmt w:val="bullet"/>
      <w:start w:val="1"/>
    </w:lvl>
  </w:abstractNum>
  <w:abstractNum w:abstractNumId="1">
    <w:nsid w:val="216231B"/>
    <w:multiLevelType w:val="hybridMultilevel"/>
    <w:lvl w:ilvl="0">
      <w:lvlJc w:val="left"/>
      <w:lvlText w:val=" "/>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upperLetter"/>
      <w:start w:val="17"/>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0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2019-12-28T22:20:03Z</dcterms:created>
  <dcterms:modified xsi:type="dcterms:W3CDTF">2019-12-28T22:20:03Z</dcterms:modified>
</cp:coreProperties>
</file>